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A0C82" w14:textId="0A028A7F" w:rsidR="006D0E02" w:rsidRDefault="00E64027" w:rsidP="00E64027">
      <w:pPr>
        <w:pStyle w:val="Pagedecouverture"/>
        <w:rPr>
          <w:noProof/>
        </w:rPr>
      </w:pPr>
      <w:bookmarkStart w:id="0" w:name="LW_BM_COVERPAGE"/>
      <w:r>
        <w:rPr>
          <w:noProof/>
        </w:rPr>
        <w:pict w14:anchorId="6AD274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E3E90B57-C8EB-40CA-95B8-16B602004E6E" style="width:455.25pt;height:271.5pt">
            <v:imagedata r:id="rId14" o:title=""/>
          </v:shape>
        </w:pict>
      </w:r>
    </w:p>
    <w:bookmarkEnd w:id="0"/>
    <w:p w14:paraId="5FD79EF4" w14:textId="2C64E843" w:rsidR="00C37E29" w:rsidRPr="00C37E29" w:rsidRDefault="00C37E29" w:rsidP="00C37E29">
      <w:pPr>
        <w:pStyle w:val="Pagedecouverture"/>
        <w:rPr>
          <w:noProof/>
        </w:rPr>
        <w:sectPr w:rsidR="00C37E29" w:rsidRPr="00C37E29" w:rsidSect="00E64027">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bookmarkStart w:id="1" w:name="_GoBack" w:displacedByCustomXml="next"/>
    <w:bookmarkEnd w:id="1" w:displacedByCustomXml="next"/>
    <w:sdt>
      <w:sdtPr>
        <w:rPr>
          <w:rFonts w:ascii="Times New Roman" w:hAnsi="Times New Roman"/>
          <w:b w:val="0"/>
          <w:noProof/>
          <w:sz w:val="22"/>
          <w:szCs w:val="22"/>
        </w:rPr>
        <w:alias w:val="Съдържание"/>
        <w:tag w:val="eqT1QegFOKAi3zHpinqjV4"/>
        <w:id w:val="-672881034"/>
      </w:sdtPr>
      <w:sdtEndPr/>
      <w:sdtContent>
        <w:p w14:paraId="4BEA0851" w14:textId="77777777" w:rsidR="001315BC" w:rsidRPr="00964B6E" w:rsidRDefault="00E64027">
          <w:pPr>
            <w:pStyle w:val="TOCHeading"/>
            <w:rPr>
              <w:noProof/>
            </w:rPr>
          </w:pPr>
          <w:sdt>
            <w:sdtPr>
              <w:rPr>
                <w:noProof/>
              </w:rPr>
              <w:id w:val="1145164863"/>
              <w:dataBinding w:xpath="/Texts/TOCHeading" w:storeItemID="{4EF90DE6-88B6-4264-9629-4D8DFDFE87D2}"/>
              <w:text w:multiLine="1"/>
            </w:sdtPr>
            <w:sdtEndPr/>
            <w:sdtContent>
              <w:r w:rsidR="00197695">
                <w:rPr>
                  <w:noProof/>
                </w:rPr>
                <w:t>Съдържание</w:t>
              </w:r>
            </w:sdtContent>
          </w:sdt>
        </w:p>
        <w:p w14:paraId="7ADA6E4D" w14:textId="6C3B23EC" w:rsidR="001F2984" w:rsidRDefault="00FF294E">
          <w:pPr>
            <w:pStyle w:val="TOC1"/>
            <w:rPr>
              <w:rFonts w:asciiTheme="minorHAnsi" w:eastAsiaTheme="minorEastAsia" w:hAnsiTheme="minorHAnsi" w:cstheme="minorBidi"/>
              <w:b w:val="0"/>
              <w:noProof/>
              <w:kern w:val="2"/>
              <w:sz w:val="24"/>
              <w:szCs w:val="24"/>
              <w:lang w:val="en-IE"/>
              <w14:ligatures w14:val="standardContextual"/>
            </w:rPr>
          </w:pPr>
          <w:r>
            <w:rPr>
              <w:noProof/>
            </w:rPr>
            <w:fldChar w:fldCharType="begin"/>
          </w:r>
          <w:r>
            <w:rPr>
              <w:noProof/>
            </w:rPr>
            <w:instrText>TOC \o "1-4" \h \z \t "ChapterTitle;5;PartTitle;5;SectionTitle;5;AnnexTitle;6" \* MERGEFORMAT</w:instrText>
          </w:r>
          <w:r>
            <w:rPr>
              <w:noProof/>
            </w:rPr>
            <w:fldChar w:fldCharType="separate"/>
          </w:r>
          <w:hyperlink w:anchor="_Toc215482194" w:history="1">
            <w:r w:rsidR="001F2984" w:rsidRPr="009A36DF">
              <w:rPr>
                <w:rStyle w:val="Hyperlink"/>
                <w:noProof/>
              </w:rPr>
              <w:t>1.</w:t>
            </w:r>
            <w:r w:rsidR="001F2984">
              <w:rPr>
                <w:rFonts w:asciiTheme="minorHAnsi" w:eastAsiaTheme="minorEastAsia" w:hAnsiTheme="minorHAnsi" w:cstheme="minorBidi"/>
                <w:b w:val="0"/>
                <w:noProof/>
                <w:kern w:val="2"/>
                <w:sz w:val="24"/>
                <w:szCs w:val="24"/>
                <w:lang w:val="en-IE"/>
                <w14:ligatures w14:val="standardContextual"/>
              </w:rPr>
              <w:tab/>
            </w:r>
            <w:r w:rsidR="001F2984" w:rsidRPr="009A36DF">
              <w:rPr>
                <w:rStyle w:val="Hyperlink"/>
                <w:noProof/>
              </w:rPr>
              <w:t>Принос на портфейла от проекти към целите на ЕС за неутралност по отношение на климата</w:t>
            </w:r>
            <w:r w:rsidR="001F2984">
              <w:rPr>
                <w:noProof/>
                <w:webHidden/>
              </w:rPr>
              <w:tab/>
            </w:r>
            <w:r w:rsidR="001F2984">
              <w:rPr>
                <w:noProof/>
                <w:webHidden/>
              </w:rPr>
              <w:fldChar w:fldCharType="begin"/>
            </w:r>
            <w:r w:rsidR="001F2984">
              <w:rPr>
                <w:noProof/>
                <w:webHidden/>
              </w:rPr>
              <w:instrText xml:space="preserve"> PAGEREF _Toc215482194 \h </w:instrText>
            </w:r>
            <w:r w:rsidR="001F2984">
              <w:rPr>
                <w:noProof/>
                <w:webHidden/>
              </w:rPr>
            </w:r>
            <w:r w:rsidR="001F2984">
              <w:rPr>
                <w:noProof/>
                <w:webHidden/>
              </w:rPr>
              <w:fldChar w:fldCharType="separate"/>
            </w:r>
            <w:r w:rsidR="001F2984">
              <w:rPr>
                <w:noProof/>
                <w:webHidden/>
              </w:rPr>
              <w:t>2</w:t>
            </w:r>
            <w:r w:rsidR="001F2984">
              <w:rPr>
                <w:noProof/>
                <w:webHidden/>
              </w:rPr>
              <w:fldChar w:fldCharType="end"/>
            </w:r>
          </w:hyperlink>
        </w:p>
        <w:p w14:paraId="28C679F5" w14:textId="4220942E" w:rsidR="001F2984" w:rsidRDefault="00E64027">
          <w:pPr>
            <w:pStyle w:val="TOC1"/>
            <w:rPr>
              <w:rFonts w:asciiTheme="minorHAnsi" w:eastAsiaTheme="minorEastAsia" w:hAnsiTheme="minorHAnsi" w:cstheme="minorBidi"/>
              <w:b w:val="0"/>
              <w:noProof/>
              <w:kern w:val="2"/>
              <w:sz w:val="24"/>
              <w:szCs w:val="24"/>
              <w:lang w:val="en-IE"/>
              <w14:ligatures w14:val="standardContextual"/>
            </w:rPr>
          </w:pPr>
          <w:hyperlink w:anchor="_Toc215482195" w:history="1">
            <w:r w:rsidR="001F2984" w:rsidRPr="009A36DF">
              <w:rPr>
                <w:rStyle w:val="Hyperlink"/>
                <w:noProof/>
              </w:rPr>
              <w:t>2.</w:t>
            </w:r>
            <w:r w:rsidR="001F2984">
              <w:rPr>
                <w:rFonts w:asciiTheme="minorHAnsi" w:eastAsiaTheme="minorEastAsia" w:hAnsiTheme="minorHAnsi" w:cstheme="minorBidi"/>
                <w:b w:val="0"/>
                <w:noProof/>
                <w:kern w:val="2"/>
                <w:sz w:val="24"/>
                <w:szCs w:val="24"/>
                <w:lang w:val="en-IE"/>
                <w14:ligatures w14:val="standardContextual"/>
              </w:rPr>
              <w:tab/>
            </w:r>
            <w:r w:rsidR="001F2984" w:rsidRPr="009A36DF">
              <w:rPr>
                <w:rStyle w:val="Hyperlink"/>
                <w:noProof/>
              </w:rPr>
              <w:t>Ключови етапи за изпълнение за 2024 г.</w:t>
            </w:r>
            <w:r w:rsidR="001F2984">
              <w:rPr>
                <w:noProof/>
                <w:webHidden/>
              </w:rPr>
              <w:tab/>
            </w:r>
            <w:r w:rsidR="001F2984">
              <w:rPr>
                <w:noProof/>
                <w:webHidden/>
              </w:rPr>
              <w:fldChar w:fldCharType="begin"/>
            </w:r>
            <w:r w:rsidR="001F2984">
              <w:rPr>
                <w:noProof/>
                <w:webHidden/>
              </w:rPr>
              <w:instrText xml:space="preserve"> PAGEREF _Toc215482195 \h </w:instrText>
            </w:r>
            <w:r w:rsidR="001F2984">
              <w:rPr>
                <w:noProof/>
                <w:webHidden/>
              </w:rPr>
            </w:r>
            <w:r w:rsidR="001F2984">
              <w:rPr>
                <w:noProof/>
                <w:webHidden/>
              </w:rPr>
              <w:fldChar w:fldCharType="separate"/>
            </w:r>
            <w:r w:rsidR="001F2984">
              <w:rPr>
                <w:noProof/>
                <w:webHidden/>
              </w:rPr>
              <w:t>4</w:t>
            </w:r>
            <w:r w:rsidR="001F2984">
              <w:rPr>
                <w:noProof/>
                <w:webHidden/>
              </w:rPr>
              <w:fldChar w:fldCharType="end"/>
            </w:r>
          </w:hyperlink>
        </w:p>
        <w:p w14:paraId="61417AC0" w14:textId="1185B48D"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196" w:history="1">
            <w:r w:rsidR="001F2984" w:rsidRPr="009A36DF">
              <w:rPr>
                <w:rStyle w:val="Hyperlink"/>
              </w:rPr>
              <w:t>2.1.</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Покани за безвъзмездни средства</w:t>
            </w:r>
            <w:r w:rsidR="001F2984">
              <w:rPr>
                <w:webHidden/>
              </w:rPr>
              <w:tab/>
            </w:r>
            <w:r w:rsidR="001F2984">
              <w:rPr>
                <w:webHidden/>
              </w:rPr>
              <w:fldChar w:fldCharType="begin"/>
            </w:r>
            <w:r w:rsidR="001F2984">
              <w:rPr>
                <w:webHidden/>
              </w:rPr>
              <w:instrText xml:space="preserve"> PAGEREF _Toc215482196 \h </w:instrText>
            </w:r>
            <w:r w:rsidR="001F2984">
              <w:rPr>
                <w:webHidden/>
              </w:rPr>
            </w:r>
            <w:r w:rsidR="001F2984">
              <w:rPr>
                <w:webHidden/>
              </w:rPr>
              <w:fldChar w:fldCharType="separate"/>
            </w:r>
            <w:r w:rsidR="001F2984">
              <w:rPr>
                <w:webHidden/>
              </w:rPr>
              <w:t>4</w:t>
            </w:r>
            <w:r w:rsidR="001F2984">
              <w:rPr>
                <w:webHidden/>
              </w:rPr>
              <w:fldChar w:fldCharType="end"/>
            </w:r>
          </w:hyperlink>
        </w:p>
        <w:p w14:paraId="280F1448" w14:textId="79A6A938" w:rsidR="001F2984" w:rsidRDefault="00E64027">
          <w:pPr>
            <w:pStyle w:val="TOC3"/>
            <w:rPr>
              <w:rFonts w:asciiTheme="minorHAnsi" w:eastAsiaTheme="minorEastAsia" w:hAnsiTheme="minorHAnsi" w:cstheme="minorBidi"/>
              <w:noProof/>
              <w:kern w:val="2"/>
              <w:sz w:val="24"/>
              <w:szCs w:val="24"/>
              <w:lang w:val="en-IE"/>
              <w14:ligatures w14:val="standardContextual"/>
            </w:rPr>
          </w:pPr>
          <w:hyperlink w:anchor="_Toc215482197" w:history="1">
            <w:r w:rsidR="001F2984" w:rsidRPr="009A36DF">
              <w:rPr>
                <w:rStyle w:val="Hyperlink"/>
                <w:noProof/>
              </w:rPr>
              <w:t>2.1.1.</w:t>
            </w:r>
            <w:r w:rsidR="001F2984">
              <w:rPr>
                <w:rFonts w:asciiTheme="minorHAnsi" w:eastAsiaTheme="minorEastAsia" w:hAnsiTheme="minorHAnsi" w:cstheme="minorBidi"/>
                <w:noProof/>
                <w:kern w:val="2"/>
                <w:sz w:val="24"/>
                <w:szCs w:val="24"/>
                <w:lang w:val="en-IE"/>
                <w14:ligatures w14:val="standardContextual"/>
              </w:rPr>
              <w:tab/>
            </w:r>
            <w:r w:rsidR="001F2984" w:rsidRPr="009A36DF">
              <w:rPr>
                <w:rStyle w:val="Hyperlink"/>
                <w:noProof/>
              </w:rPr>
              <w:t>Резултати от поканата ФИ23 ТННЕ</w:t>
            </w:r>
            <w:r w:rsidR="001F2984">
              <w:rPr>
                <w:noProof/>
                <w:webHidden/>
              </w:rPr>
              <w:tab/>
            </w:r>
            <w:r w:rsidR="001F2984">
              <w:rPr>
                <w:noProof/>
                <w:webHidden/>
              </w:rPr>
              <w:fldChar w:fldCharType="begin"/>
            </w:r>
            <w:r w:rsidR="001F2984">
              <w:rPr>
                <w:noProof/>
                <w:webHidden/>
              </w:rPr>
              <w:instrText xml:space="preserve"> PAGEREF _Toc215482197 \h </w:instrText>
            </w:r>
            <w:r w:rsidR="001F2984">
              <w:rPr>
                <w:noProof/>
                <w:webHidden/>
              </w:rPr>
            </w:r>
            <w:r w:rsidR="001F2984">
              <w:rPr>
                <w:noProof/>
                <w:webHidden/>
              </w:rPr>
              <w:fldChar w:fldCharType="separate"/>
            </w:r>
            <w:r w:rsidR="001F2984">
              <w:rPr>
                <w:noProof/>
                <w:webHidden/>
              </w:rPr>
              <w:t>4</w:t>
            </w:r>
            <w:r w:rsidR="001F2984">
              <w:rPr>
                <w:noProof/>
                <w:webHidden/>
              </w:rPr>
              <w:fldChar w:fldCharType="end"/>
            </w:r>
          </w:hyperlink>
        </w:p>
        <w:p w14:paraId="6589E3A6" w14:textId="37848E9C" w:rsidR="001F2984" w:rsidRDefault="00E64027">
          <w:pPr>
            <w:pStyle w:val="TOC3"/>
            <w:rPr>
              <w:rFonts w:asciiTheme="minorHAnsi" w:eastAsiaTheme="minorEastAsia" w:hAnsiTheme="minorHAnsi" w:cstheme="minorBidi"/>
              <w:noProof/>
              <w:kern w:val="2"/>
              <w:sz w:val="24"/>
              <w:szCs w:val="24"/>
              <w:lang w:val="en-IE"/>
              <w14:ligatures w14:val="standardContextual"/>
            </w:rPr>
          </w:pPr>
          <w:hyperlink w:anchor="_Toc215482198" w:history="1">
            <w:r w:rsidR="001F2984" w:rsidRPr="009A36DF">
              <w:rPr>
                <w:rStyle w:val="Hyperlink"/>
                <w:noProof/>
              </w:rPr>
              <w:t>2.1.2.</w:t>
            </w:r>
            <w:r w:rsidR="001F2984">
              <w:rPr>
                <w:rFonts w:asciiTheme="minorHAnsi" w:eastAsiaTheme="minorEastAsia" w:hAnsiTheme="minorHAnsi" w:cstheme="minorBidi"/>
                <w:noProof/>
                <w:kern w:val="2"/>
                <w:sz w:val="24"/>
                <w:szCs w:val="24"/>
                <w:lang w:val="en-IE"/>
                <w14:ligatures w14:val="standardContextual"/>
              </w:rPr>
              <w:tab/>
            </w:r>
            <w:r w:rsidR="001F2984" w:rsidRPr="009A36DF">
              <w:rPr>
                <w:rStyle w:val="Hyperlink"/>
                <w:noProof/>
              </w:rPr>
              <w:t>Обявяване на поканите ФИ24</w:t>
            </w:r>
            <w:r w:rsidR="001F2984">
              <w:rPr>
                <w:noProof/>
                <w:webHidden/>
              </w:rPr>
              <w:tab/>
            </w:r>
            <w:r w:rsidR="001F2984">
              <w:rPr>
                <w:noProof/>
                <w:webHidden/>
              </w:rPr>
              <w:fldChar w:fldCharType="begin"/>
            </w:r>
            <w:r w:rsidR="001F2984">
              <w:rPr>
                <w:noProof/>
                <w:webHidden/>
              </w:rPr>
              <w:instrText xml:space="preserve"> PAGEREF _Toc215482198 \h </w:instrText>
            </w:r>
            <w:r w:rsidR="001F2984">
              <w:rPr>
                <w:noProof/>
                <w:webHidden/>
              </w:rPr>
            </w:r>
            <w:r w:rsidR="001F2984">
              <w:rPr>
                <w:noProof/>
                <w:webHidden/>
              </w:rPr>
              <w:fldChar w:fldCharType="separate"/>
            </w:r>
            <w:r w:rsidR="001F2984">
              <w:rPr>
                <w:noProof/>
                <w:webHidden/>
              </w:rPr>
              <w:t>8</w:t>
            </w:r>
            <w:r w:rsidR="001F2984">
              <w:rPr>
                <w:noProof/>
                <w:webHidden/>
              </w:rPr>
              <w:fldChar w:fldCharType="end"/>
            </w:r>
          </w:hyperlink>
        </w:p>
        <w:p w14:paraId="75EF3ACE" w14:textId="45B0F863"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199" w:history="1">
            <w:r w:rsidR="001F2984" w:rsidRPr="009A36DF">
              <w:rPr>
                <w:rStyle w:val="Hyperlink"/>
              </w:rPr>
              <w:t>2.2.</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Търгове</w:t>
            </w:r>
            <w:r w:rsidR="001F2984">
              <w:rPr>
                <w:webHidden/>
              </w:rPr>
              <w:tab/>
            </w:r>
            <w:r w:rsidR="001F2984">
              <w:rPr>
                <w:webHidden/>
              </w:rPr>
              <w:fldChar w:fldCharType="begin"/>
            </w:r>
            <w:r w:rsidR="001F2984">
              <w:rPr>
                <w:webHidden/>
              </w:rPr>
              <w:instrText xml:space="preserve"> PAGEREF _Toc215482199 \h </w:instrText>
            </w:r>
            <w:r w:rsidR="001F2984">
              <w:rPr>
                <w:webHidden/>
              </w:rPr>
            </w:r>
            <w:r w:rsidR="001F2984">
              <w:rPr>
                <w:webHidden/>
              </w:rPr>
              <w:fldChar w:fldCharType="separate"/>
            </w:r>
            <w:r w:rsidR="001F2984">
              <w:rPr>
                <w:webHidden/>
              </w:rPr>
              <w:t>9</w:t>
            </w:r>
            <w:r w:rsidR="001F2984">
              <w:rPr>
                <w:webHidden/>
              </w:rPr>
              <w:fldChar w:fldCharType="end"/>
            </w:r>
          </w:hyperlink>
        </w:p>
        <w:p w14:paraId="75AFF96D" w14:textId="6D655ADA" w:rsidR="001F2984" w:rsidRDefault="00E64027">
          <w:pPr>
            <w:pStyle w:val="TOC3"/>
            <w:rPr>
              <w:rFonts w:asciiTheme="minorHAnsi" w:eastAsiaTheme="minorEastAsia" w:hAnsiTheme="minorHAnsi" w:cstheme="minorBidi"/>
              <w:noProof/>
              <w:kern w:val="2"/>
              <w:sz w:val="24"/>
              <w:szCs w:val="24"/>
              <w:lang w:val="en-IE"/>
              <w14:ligatures w14:val="standardContextual"/>
            </w:rPr>
          </w:pPr>
          <w:hyperlink w:anchor="_Toc215482200" w:history="1">
            <w:r w:rsidR="001F2984" w:rsidRPr="009A36DF">
              <w:rPr>
                <w:rStyle w:val="Hyperlink"/>
                <w:noProof/>
              </w:rPr>
              <w:t>2.2.1.</w:t>
            </w:r>
            <w:r w:rsidR="001F2984">
              <w:rPr>
                <w:rFonts w:asciiTheme="minorHAnsi" w:eastAsiaTheme="minorEastAsia" w:hAnsiTheme="minorHAnsi" w:cstheme="minorBidi"/>
                <w:noProof/>
                <w:kern w:val="2"/>
                <w:sz w:val="24"/>
                <w:szCs w:val="24"/>
                <w:lang w:val="en-IE"/>
                <w14:ligatures w14:val="standardContextual"/>
              </w:rPr>
              <w:tab/>
            </w:r>
            <w:r w:rsidR="001F2984" w:rsidRPr="009A36DF">
              <w:rPr>
                <w:rStyle w:val="Hyperlink"/>
                <w:noProof/>
              </w:rPr>
              <w:t>Резултати от търга ФИ23</w:t>
            </w:r>
            <w:r w:rsidR="001F2984">
              <w:rPr>
                <w:noProof/>
                <w:webHidden/>
              </w:rPr>
              <w:tab/>
            </w:r>
            <w:r w:rsidR="001F2984">
              <w:rPr>
                <w:noProof/>
                <w:webHidden/>
              </w:rPr>
              <w:fldChar w:fldCharType="begin"/>
            </w:r>
            <w:r w:rsidR="001F2984">
              <w:rPr>
                <w:noProof/>
                <w:webHidden/>
              </w:rPr>
              <w:instrText xml:space="preserve"> PAGEREF _Toc215482200 \h </w:instrText>
            </w:r>
            <w:r w:rsidR="001F2984">
              <w:rPr>
                <w:noProof/>
                <w:webHidden/>
              </w:rPr>
            </w:r>
            <w:r w:rsidR="001F2984">
              <w:rPr>
                <w:noProof/>
                <w:webHidden/>
              </w:rPr>
              <w:fldChar w:fldCharType="separate"/>
            </w:r>
            <w:r w:rsidR="001F2984">
              <w:rPr>
                <w:noProof/>
                <w:webHidden/>
              </w:rPr>
              <w:t>9</w:t>
            </w:r>
            <w:r w:rsidR="001F2984">
              <w:rPr>
                <w:noProof/>
                <w:webHidden/>
              </w:rPr>
              <w:fldChar w:fldCharType="end"/>
            </w:r>
          </w:hyperlink>
        </w:p>
        <w:p w14:paraId="7B00CFE4" w14:textId="34D55EF5" w:rsidR="001F2984" w:rsidRDefault="00E64027">
          <w:pPr>
            <w:pStyle w:val="TOC3"/>
            <w:rPr>
              <w:rFonts w:asciiTheme="minorHAnsi" w:eastAsiaTheme="minorEastAsia" w:hAnsiTheme="minorHAnsi" w:cstheme="minorBidi"/>
              <w:noProof/>
              <w:kern w:val="2"/>
              <w:sz w:val="24"/>
              <w:szCs w:val="24"/>
              <w:lang w:val="en-IE"/>
              <w14:ligatures w14:val="standardContextual"/>
            </w:rPr>
          </w:pPr>
          <w:hyperlink w:anchor="_Toc215482201" w:history="1">
            <w:r w:rsidR="001F2984" w:rsidRPr="009A36DF">
              <w:rPr>
                <w:rStyle w:val="Hyperlink"/>
                <w:noProof/>
              </w:rPr>
              <w:t>2.2.2.</w:t>
            </w:r>
            <w:r w:rsidR="001F2984">
              <w:rPr>
                <w:rFonts w:asciiTheme="minorHAnsi" w:eastAsiaTheme="minorEastAsia" w:hAnsiTheme="minorHAnsi" w:cstheme="minorBidi"/>
                <w:noProof/>
                <w:kern w:val="2"/>
                <w:sz w:val="24"/>
                <w:szCs w:val="24"/>
                <w:lang w:val="en-IE"/>
                <w14:ligatures w14:val="standardContextual"/>
              </w:rPr>
              <w:tab/>
            </w:r>
            <w:r w:rsidR="001F2984" w:rsidRPr="009A36DF">
              <w:rPr>
                <w:rStyle w:val="Hyperlink"/>
                <w:noProof/>
              </w:rPr>
              <w:t>Обявяване на търга ФИ24</w:t>
            </w:r>
            <w:r w:rsidR="001F2984">
              <w:rPr>
                <w:noProof/>
                <w:webHidden/>
              </w:rPr>
              <w:tab/>
            </w:r>
            <w:r w:rsidR="001F2984">
              <w:rPr>
                <w:noProof/>
                <w:webHidden/>
              </w:rPr>
              <w:fldChar w:fldCharType="begin"/>
            </w:r>
            <w:r w:rsidR="001F2984">
              <w:rPr>
                <w:noProof/>
                <w:webHidden/>
              </w:rPr>
              <w:instrText xml:space="preserve"> PAGEREF _Toc215482201 \h </w:instrText>
            </w:r>
            <w:r w:rsidR="001F2984">
              <w:rPr>
                <w:noProof/>
                <w:webHidden/>
              </w:rPr>
            </w:r>
            <w:r w:rsidR="001F2984">
              <w:rPr>
                <w:noProof/>
                <w:webHidden/>
              </w:rPr>
              <w:fldChar w:fldCharType="separate"/>
            </w:r>
            <w:r w:rsidR="001F2984">
              <w:rPr>
                <w:noProof/>
                <w:webHidden/>
              </w:rPr>
              <w:t>10</w:t>
            </w:r>
            <w:r w:rsidR="001F2984">
              <w:rPr>
                <w:noProof/>
                <w:webHidden/>
              </w:rPr>
              <w:fldChar w:fldCharType="end"/>
            </w:r>
          </w:hyperlink>
        </w:p>
        <w:p w14:paraId="6934636C" w14:textId="09AF430F" w:rsidR="001F2984" w:rsidRDefault="00E64027">
          <w:pPr>
            <w:pStyle w:val="TOC3"/>
            <w:rPr>
              <w:rFonts w:asciiTheme="minorHAnsi" w:eastAsiaTheme="minorEastAsia" w:hAnsiTheme="minorHAnsi" w:cstheme="minorBidi"/>
              <w:noProof/>
              <w:kern w:val="2"/>
              <w:sz w:val="24"/>
              <w:szCs w:val="24"/>
              <w:lang w:val="en-IE"/>
              <w14:ligatures w14:val="standardContextual"/>
            </w:rPr>
          </w:pPr>
          <w:hyperlink w:anchor="_Toc215482202" w:history="1">
            <w:r w:rsidR="001F2984" w:rsidRPr="009A36DF">
              <w:rPr>
                <w:rStyle w:val="Hyperlink"/>
                <w:noProof/>
              </w:rPr>
              <w:t>2.2.3.</w:t>
            </w:r>
            <w:r w:rsidR="001F2984">
              <w:rPr>
                <w:rFonts w:asciiTheme="minorHAnsi" w:eastAsiaTheme="minorEastAsia" w:hAnsiTheme="minorHAnsi" w:cstheme="minorBidi"/>
                <w:noProof/>
                <w:kern w:val="2"/>
                <w:sz w:val="24"/>
                <w:szCs w:val="24"/>
                <w:lang w:val="en-IE"/>
                <w14:ligatures w14:val="standardContextual"/>
              </w:rPr>
              <w:tab/>
            </w:r>
            <w:r w:rsidR="001F2984" w:rsidRPr="009A36DF">
              <w:rPr>
                <w:rStyle w:val="Hyperlink"/>
                <w:noProof/>
              </w:rPr>
              <w:t>Търгове като услуга</w:t>
            </w:r>
            <w:r w:rsidR="001F2984">
              <w:rPr>
                <w:noProof/>
                <w:webHidden/>
              </w:rPr>
              <w:tab/>
            </w:r>
            <w:r w:rsidR="001F2984">
              <w:rPr>
                <w:noProof/>
                <w:webHidden/>
              </w:rPr>
              <w:fldChar w:fldCharType="begin"/>
            </w:r>
            <w:r w:rsidR="001F2984">
              <w:rPr>
                <w:noProof/>
                <w:webHidden/>
              </w:rPr>
              <w:instrText xml:space="preserve"> PAGEREF _Toc215482202 \h </w:instrText>
            </w:r>
            <w:r w:rsidR="001F2984">
              <w:rPr>
                <w:noProof/>
                <w:webHidden/>
              </w:rPr>
            </w:r>
            <w:r w:rsidR="001F2984">
              <w:rPr>
                <w:noProof/>
                <w:webHidden/>
              </w:rPr>
              <w:fldChar w:fldCharType="separate"/>
            </w:r>
            <w:r w:rsidR="001F2984">
              <w:rPr>
                <w:noProof/>
                <w:webHidden/>
              </w:rPr>
              <w:t>11</w:t>
            </w:r>
            <w:r w:rsidR="001F2984">
              <w:rPr>
                <w:noProof/>
                <w:webHidden/>
              </w:rPr>
              <w:fldChar w:fldCharType="end"/>
            </w:r>
          </w:hyperlink>
        </w:p>
        <w:p w14:paraId="19D72158" w14:textId="7101D6C4"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203" w:history="1">
            <w:r w:rsidR="001F2984" w:rsidRPr="009A36DF">
              <w:rPr>
                <w:rStyle w:val="Hyperlink"/>
              </w:rPr>
              <w:t>2.3.</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Връзки с други програми</w:t>
            </w:r>
            <w:r w:rsidR="001F2984">
              <w:rPr>
                <w:webHidden/>
              </w:rPr>
              <w:tab/>
            </w:r>
            <w:r w:rsidR="001F2984">
              <w:rPr>
                <w:webHidden/>
              </w:rPr>
              <w:fldChar w:fldCharType="begin"/>
            </w:r>
            <w:r w:rsidR="001F2984">
              <w:rPr>
                <w:webHidden/>
              </w:rPr>
              <w:instrText xml:space="preserve"> PAGEREF _Toc215482203 \h </w:instrText>
            </w:r>
            <w:r w:rsidR="001F2984">
              <w:rPr>
                <w:webHidden/>
              </w:rPr>
            </w:r>
            <w:r w:rsidR="001F2984">
              <w:rPr>
                <w:webHidden/>
              </w:rPr>
              <w:fldChar w:fldCharType="separate"/>
            </w:r>
            <w:r w:rsidR="001F2984">
              <w:rPr>
                <w:webHidden/>
              </w:rPr>
              <w:t>11</w:t>
            </w:r>
            <w:r w:rsidR="001F2984">
              <w:rPr>
                <w:webHidden/>
              </w:rPr>
              <w:fldChar w:fldCharType="end"/>
            </w:r>
          </w:hyperlink>
        </w:p>
        <w:p w14:paraId="6D26F127" w14:textId="7E39AB9D" w:rsidR="001F2984" w:rsidRDefault="00E64027">
          <w:pPr>
            <w:pStyle w:val="TOC3"/>
            <w:rPr>
              <w:rFonts w:asciiTheme="minorHAnsi" w:eastAsiaTheme="minorEastAsia" w:hAnsiTheme="minorHAnsi" w:cstheme="minorBidi"/>
              <w:noProof/>
              <w:kern w:val="2"/>
              <w:sz w:val="24"/>
              <w:szCs w:val="24"/>
              <w:lang w:val="en-IE"/>
              <w14:ligatures w14:val="standardContextual"/>
            </w:rPr>
          </w:pPr>
          <w:hyperlink w:anchor="_Toc215482204" w:history="1">
            <w:r w:rsidR="001F2984" w:rsidRPr="009A36DF">
              <w:rPr>
                <w:rStyle w:val="Hyperlink"/>
                <w:noProof/>
              </w:rPr>
              <w:t>2.3.1.</w:t>
            </w:r>
            <w:r w:rsidR="001F2984">
              <w:rPr>
                <w:rFonts w:asciiTheme="minorHAnsi" w:eastAsiaTheme="minorEastAsia" w:hAnsiTheme="minorHAnsi" w:cstheme="minorBidi"/>
                <w:noProof/>
                <w:kern w:val="2"/>
                <w:sz w:val="24"/>
                <w:szCs w:val="24"/>
                <w:lang w:val="en-IE"/>
                <w14:ligatures w14:val="standardContextual"/>
              </w:rPr>
              <w:tab/>
            </w:r>
            <w:r w:rsidR="001F2984" w:rsidRPr="009A36DF">
              <w:rPr>
                <w:rStyle w:val="Hyperlink"/>
                <w:noProof/>
              </w:rPr>
              <w:t>Европейска инвестиционна банка (ЕИБ)</w:t>
            </w:r>
            <w:r w:rsidR="001F2984">
              <w:rPr>
                <w:noProof/>
                <w:webHidden/>
              </w:rPr>
              <w:tab/>
            </w:r>
            <w:r w:rsidR="001F2984">
              <w:rPr>
                <w:noProof/>
                <w:webHidden/>
              </w:rPr>
              <w:fldChar w:fldCharType="begin"/>
            </w:r>
            <w:r w:rsidR="001F2984">
              <w:rPr>
                <w:noProof/>
                <w:webHidden/>
              </w:rPr>
              <w:instrText xml:space="preserve"> PAGEREF _Toc215482204 \h </w:instrText>
            </w:r>
            <w:r w:rsidR="001F2984">
              <w:rPr>
                <w:noProof/>
                <w:webHidden/>
              </w:rPr>
            </w:r>
            <w:r w:rsidR="001F2984">
              <w:rPr>
                <w:noProof/>
                <w:webHidden/>
              </w:rPr>
              <w:fldChar w:fldCharType="separate"/>
            </w:r>
            <w:r w:rsidR="001F2984">
              <w:rPr>
                <w:noProof/>
                <w:webHidden/>
              </w:rPr>
              <w:t>11</w:t>
            </w:r>
            <w:r w:rsidR="001F2984">
              <w:rPr>
                <w:noProof/>
                <w:webHidden/>
              </w:rPr>
              <w:fldChar w:fldCharType="end"/>
            </w:r>
          </w:hyperlink>
        </w:p>
        <w:p w14:paraId="09FE4A40" w14:textId="102DD6CE" w:rsidR="001F2984" w:rsidRDefault="00E64027">
          <w:pPr>
            <w:pStyle w:val="TOC3"/>
            <w:rPr>
              <w:rFonts w:asciiTheme="minorHAnsi" w:eastAsiaTheme="minorEastAsia" w:hAnsiTheme="minorHAnsi" w:cstheme="minorBidi"/>
              <w:noProof/>
              <w:kern w:val="2"/>
              <w:sz w:val="24"/>
              <w:szCs w:val="24"/>
              <w:lang w:val="en-IE"/>
              <w14:ligatures w14:val="standardContextual"/>
            </w:rPr>
          </w:pPr>
          <w:hyperlink w:anchor="_Toc215482205" w:history="1">
            <w:r w:rsidR="001F2984" w:rsidRPr="009A36DF">
              <w:rPr>
                <w:rStyle w:val="Hyperlink"/>
                <w:noProof/>
              </w:rPr>
              <w:t>2.3.2.</w:t>
            </w:r>
            <w:r w:rsidR="001F2984">
              <w:rPr>
                <w:rFonts w:asciiTheme="minorHAnsi" w:eastAsiaTheme="minorEastAsia" w:hAnsiTheme="minorHAnsi" w:cstheme="minorBidi"/>
                <w:noProof/>
                <w:kern w:val="2"/>
                <w:sz w:val="24"/>
                <w:szCs w:val="24"/>
                <w:lang w:val="en-IE"/>
                <w14:ligatures w14:val="standardContextual"/>
              </w:rPr>
              <w:tab/>
            </w:r>
            <w:r w:rsidR="001F2984" w:rsidRPr="009A36DF">
              <w:rPr>
                <w:rStyle w:val="Hyperlink"/>
                <w:noProof/>
              </w:rPr>
              <w:t>Платформа за стратегически технологии за Европа (STEP)</w:t>
            </w:r>
            <w:r w:rsidR="001F2984">
              <w:rPr>
                <w:noProof/>
                <w:webHidden/>
              </w:rPr>
              <w:tab/>
            </w:r>
            <w:r w:rsidR="001F2984">
              <w:rPr>
                <w:noProof/>
                <w:webHidden/>
              </w:rPr>
              <w:fldChar w:fldCharType="begin"/>
            </w:r>
            <w:r w:rsidR="001F2984">
              <w:rPr>
                <w:noProof/>
                <w:webHidden/>
              </w:rPr>
              <w:instrText xml:space="preserve"> PAGEREF _Toc215482205 \h </w:instrText>
            </w:r>
            <w:r w:rsidR="001F2984">
              <w:rPr>
                <w:noProof/>
                <w:webHidden/>
              </w:rPr>
            </w:r>
            <w:r w:rsidR="001F2984">
              <w:rPr>
                <w:noProof/>
                <w:webHidden/>
              </w:rPr>
              <w:fldChar w:fldCharType="separate"/>
            </w:r>
            <w:r w:rsidR="001F2984">
              <w:rPr>
                <w:noProof/>
                <w:webHidden/>
              </w:rPr>
              <w:t>12</w:t>
            </w:r>
            <w:r w:rsidR="001F2984">
              <w:rPr>
                <w:noProof/>
                <w:webHidden/>
              </w:rPr>
              <w:fldChar w:fldCharType="end"/>
            </w:r>
          </w:hyperlink>
        </w:p>
        <w:p w14:paraId="7B732E12" w14:textId="36F081C2" w:rsidR="001F2984" w:rsidRDefault="00E64027">
          <w:pPr>
            <w:pStyle w:val="TOC1"/>
            <w:rPr>
              <w:rFonts w:asciiTheme="minorHAnsi" w:eastAsiaTheme="minorEastAsia" w:hAnsiTheme="minorHAnsi" w:cstheme="minorBidi"/>
              <w:b w:val="0"/>
              <w:noProof/>
              <w:kern w:val="2"/>
              <w:sz w:val="24"/>
              <w:szCs w:val="24"/>
              <w:lang w:val="en-IE"/>
              <w14:ligatures w14:val="standardContextual"/>
            </w:rPr>
          </w:pPr>
          <w:hyperlink w:anchor="_Toc215482206" w:history="1">
            <w:r w:rsidR="001F2984" w:rsidRPr="009A36DF">
              <w:rPr>
                <w:rStyle w:val="Hyperlink"/>
                <w:noProof/>
              </w:rPr>
              <w:t>3.</w:t>
            </w:r>
            <w:r w:rsidR="001F2984">
              <w:rPr>
                <w:rFonts w:asciiTheme="minorHAnsi" w:eastAsiaTheme="minorEastAsia" w:hAnsiTheme="minorHAnsi" w:cstheme="minorBidi"/>
                <w:b w:val="0"/>
                <w:noProof/>
                <w:kern w:val="2"/>
                <w:sz w:val="24"/>
                <w:szCs w:val="24"/>
                <w:lang w:val="en-IE"/>
                <w14:ligatures w14:val="standardContextual"/>
              </w:rPr>
              <w:tab/>
            </w:r>
            <w:r w:rsidR="001F2984" w:rsidRPr="009A36DF">
              <w:rPr>
                <w:rStyle w:val="Hyperlink"/>
                <w:noProof/>
              </w:rPr>
              <w:t>Състояние на портфейла на Фонда за иновации през 2024 г.</w:t>
            </w:r>
            <w:r w:rsidR="001F2984">
              <w:rPr>
                <w:noProof/>
                <w:webHidden/>
              </w:rPr>
              <w:tab/>
            </w:r>
            <w:r w:rsidR="001F2984">
              <w:rPr>
                <w:noProof/>
                <w:webHidden/>
              </w:rPr>
              <w:fldChar w:fldCharType="begin"/>
            </w:r>
            <w:r w:rsidR="001F2984">
              <w:rPr>
                <w:noProof/>
                <w:webHidden/>
              </w:rPr>
              <w:instrText xml:space="preserve"> PAGEREF _Toc215482206 \h </w:instrText>
            </w:r>
            <w:r w:rsidR="001F2984">
              <w:rPr>
                <w:noProof/>
                <w:webHidden/>
              </w:rPr>
            </w:r>
            <w:r w:rsidR="001F2984">
              <w:rPr>
                <w:noProof/>
                <w:webHidden/>
              </w:rPr>
              <w:fldChar w:fldCharType="separate"/>
            </w:r>
            <w:r w:rsidR="001F2984">
              <w:rPr>
                <w:noProof/>
                <w:webHidden/>
              </w:rPr>
              <w:t>13</w:t>
            </w:r>
            <w:r w:rsidR="001F2984">
              <w:rPr>
                <w:noProof/>
                <w:webHidden/>
              </w:rPr>
              <w:fldChar w:fldCharType="end"/>
            </w:r>
          </w:hyperlink>
        </w:p>
        <w:p w14:paraId="0CBB6AEB" w14:textId="2861EBBA"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207" w:history="1">
            <w:r w:rsidR="001F2984" w:rsidRPr="009A36DF">
              <w:rPr>
                <w:rStyle w:val="Hyperlink"/>
              </w:rPr>
              <w:t>3.1.</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Преглед на резултатите от поканите</w:t>
            </w:r>
            <w:r w:rsidR="001F2984">
              <w:rPr>
                <w:webHidden/>
              </w:rPr>
              <w:tab/>
            </w:r>
            <w:r w:rsidR="001F2984">
              <w:rPr>
                <w:webHidden/>
              </w:rPr>
              <w:fldChar w:fldCharType="begin"/>
            </w:r>
            <w:r w:rsidR="001F2984">
              <w:rPr>
                <w:webHidden/>
              </w:rPr>
              <w:instrText xml:space="preserve"> PAGEREF _Toc215482207 \h </w:instrText>
            </w:r>
            <w:r w:rsidR="001F2984">
              <w:rPr>
                <w:webHidden/>
              </w:rPr>
            </w:r>
            <w:r w:rsidR="001F2984">
              <w:rPr>
                <w:webHidden/>
              </w:rPr>
              <w:fldChar w:fldCharType="separate"/>
            </w:r>
            <w:r w:rsidR="001F2984">
              <w:rPr>
                <w:webHidden/>
              </w:rPr>
              <w:t>13</w:t>
            </w:r>
            <w:r w:rsidR="001F2984">
              <w:rPr>
                <w:webHidden/>
              </w:rPr>
              <w:fldChar w:fldCharType="end"/>
            </w:r>
          </w:hyperlink>
        </w:p>
        <w:p w14:paraId="0D016EF3" w14:textId="40A9FD95"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208" w:history="1">
            <w:r w:rsidR="001F2984" w:rsidRPr="009A36DF">
              <w:rPr>
                <w:rStyle w:val="Hyperlink"/>
              </w:rPr>
              <w:t>3.2.</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Зрялост на проекта, състояние на изпълнението и предизвикателства</w:t>
            </w:r>
            <w:r w:rsidR="001F2984">
              <w:rPr>
                <w:webHidden/>
              </w:rPr>
              <w:tab/>
            </w:r>
            <w:r w:rsidR="001F2984">
              <w:rPr>
                <w:webHidden/>
              </w:rPr>
              <w:fldChar w:fldCharType="begin"/>
            </w:r>
            <w:r w:rsidR="001F2984">
              <w:rPr>
                <w:webHidden/>
              </w:rPr>
              <w:instrText xml:space="preserve"> PAGEREF _Toc215482208 \h </w:instrText>
            </w:r>
            <w:r w:rsidR="001F2984">
              <w:rPr>
                <w:webHidden/>
              </w:rPr>
            </w:r>
            <w:r w:rsidR="001F2984">
              <w:rPr>
                <w:webHidden/>
              </w:rPr>
              <w:fldChar w:fldCharType="separate"/>
            </w:r>
            <w:r w:rsidR="001F2984">
              <w:rPr>
                <w:webHidden/>
              </w:rPr>
              <w:t>13</w:t>
            </w:r>
            <w:r w:rsidR="001F2984">
              <w:rPr>
                <w:webHidden/>
              </w:rPr>
              <w:fldChar w:fldCharType="end"/>
            </w:r>
          </w:hyperlink>
        </w:p>
        <w:p w14:paraId="0B0A0EE3" w14:textId="1AB676F3"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209" w:history="1">
            <w:r w:rsidR="001F2984" w:rsidRPr="009A36DF">
              <w:rPr>
                <w:rStyle w:val="Hyperlink"/>
              </w:rPr>
              <w:t>3.3.</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Портфейл по сектори</w:t>
            </w:r>
            <w:r w:rsidR="001F2984">
              <w:rPr>
                <w:webHidden/>
              </w:rPr>
              <w:tab/>
            </w:r>
            <w:r w:rsidR="001F2984">
              <w:rPr>
                <w:webHidden/>
              </w:rPr>
              <w:fldChar w:fldCharType="begin"/>
            </w:r>
            <w:r w:rsidR="001F2984">
              <w:rPr>
                <w:webHidden/>
              </w:rPr>
              <w:instrText xml:space="preserve"> PAGEREF _Toc215482209 \h </w:instrText>
            </w:r>
            <w:r w:rsidR="001F2984">
              <w:rPr>
                <w:webHidden/>
              </w:rPr>
            </w:r>
            <w:r w:rsidR="001F2984">
              <w:rPr>
                <w:webHidden/>
              </w:rPr>
              <w:fldChar w:fldCharType="separate"/>
            </w:r>
            <w:r w:rsidR="001F2984">
              <w:rPr>
                <w:webHidden/>
              </w:rPr>
              <w:t>14</w:t>
            </w:r>
            <w:r w:rsidR="001F2984">
              <w:rPr>
                <w:webHidden/>
              </w:rPr>
              <w:fldChar w:fldCharType="end"/>
            </w:r>
          </w:hyperlink>
        </w:p>
        <w:p w14:paraId="1BE9CD32" w14:textId="59B51628"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210" w:history="1">
            <w:r w:rsidR="001F2984" w:rsidRPr="009A36DF">
              <w:rPr>
                <w:rStyle w:val="Hyperlink"/>
              </w:rPr>
              <w:t>3.4.</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Географски баланс</w:t>
            </w:r>
            <w:r w:rsidR="001F2984">
              <w:rPr>
                <w:webHidden/>
              </w:rPr>
              <w:tab/>
            </w:r>
            <w:r w:rsidR="001F2984">
              <w:rPr>
                <w:webHidden/>
              </w:rPr>
              <w:fldChar w:fldCharType="begin"/>
            </w:r>
            <w:r w:rsidR="001F2984">
              <w:rPr>
                <w:webHidden/>
              </w:rPr>
              <w:instrText xml:space="preserve"> PAGEREF _Toc215482210 \h </w:instrText>
            </w:r>
            <w:r w:rsidR="001F2984">
              <w:rPr>
                <w:webHidden/>
              </w:rPr>
            </w:r>
            <w:r w:rsidR="001F2984">
              <w:rPr>
                <w:webHidden/>
              </w:rPr>
              <w:fldChar w:fldCharType="separate"/>
            </w:r>
            <w:r w:rsidR="001F2984">
              <w:rPr>
                <w:webHidden/>
              </w:rPr>
              <w:t>17</w:t>
            </w:r>
            <w:r w:rsidR="001F2984">
              <w:rPr>
                <w:webHidden/>
              </w:rPr>
              <w:fldChar w:fldCharType="end"/>
            </w:r>
          </w:hyperlink>
        </w:p>
        <w:p w14:paraId="7371A983" w14:textId="676FFE11"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211" w:history="1">
            <w:r w:rsidR="001F2984" w:rsidRPr="009A36DF">
              <w:rPr>
                <w:rStyle w:val="Hyperlink"/>
              </w:rPr>
              <w:t>3.5.</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Предотвратяване на парникови газове</w:t>
            </w:r>
            <w:r w:rsidR="001F2984">
              <w:rPr>
                <w:webHidden/>
              </w:rPr>
              <w:tab/>
            </w:r>
            <w:r w:rsidR="001F2984">
              <w:rPr>
                <w:webHidden/>
              </w:rPr>
              <w:fldChar w:fldCharType="begin"/>
            </w:r>
            <w:r w:rsidR="001F2984">
              <w:rPr>
                <w:webHidden/>
              </w:rPr>
              <w:instrText xml:space="preserve"> PAGEREF _Toc215482211 \h </w:instrText>
            </w:r>
            <w:r w:rsidR="001F2984">
              <w:rPr>
                <w:webHidden/>
              </w:rPr>
            </w:r>
            <w:r w:rsidR="001F2984">
              <w:rPr>
                <w:webHidden/>
              </w:rPr>
              <w:fldChar w:fldCharType="separate"/>
            </w:r>
            <w:r w:rsidR="001F2984">
              <w:rPr>
                <w:webHidden/>
              </w:rPr>
              <w:t>20</w:t>
            </w:r>
            <w:r w:rsidR="001F2984">
              <w:rPr>
                <w:webHidden/>
              </w:rPr>
              <w:fldChar w:fldCharType="end"/>
            </w:r>
          </w:hyperlink>
        </w:p>
        <w:p w14:paraId="6A810930" w14:textId="65E1D6F1" w:rsidR="001F2984" w:rsidRDefault="00E64027">
          <w:pPr>
            <w:pStyle w:val="TOC1"/>
            <w:rPr>
              <w:rFonts w:asciiTheme="minorHAnsi" w:eastAsiaTheme="minorEastAsia" w:hAnsiTheme="minorHAnsi" w:cstheme="minorBidi"/>
              <w:b w:val="0"/>
              <w:noProof/>
              <w:kern w:val="2"/>
              <w:sz w:val="24"/>
              <w:szCs w:val="24"/>
              <w:lang w:val="en-IE"/>
              <w14:ligatures w14:val="standardContextual"/>
            </w:rPr>
          </w:pPr>
          <w:hyperlink w:anchor="_Toc215482212" w:history="1">
            <w:r w:rsidR="001F2984" w:rsidRPr="009A36DF">
              <w:rPr>
                <w:rStyle w:val="Hyperlink"/>
                <w:noProof/>
              </w:rPr>
              <w:t>4.</w:t>
            </w:r>
            <w:r w:rsidR="001F2984">
              <w:rPr>
                <w:rFonts w:asciiTheme="minorHAnsi" w:eastAsiaTheme="minorEastAsia" w:hAnsiTheme="minorHAnsi" w:cstheme="minorBidi"/>
                <w:b w:val="0"/>
                <w:noProof/>
                <w:kern w:val="2"/>
                <w:sz w:val="24"/>
                <w:szCs w:val="24"/>
                <w:lang w:val="en-IE"/>
                <w14:ligatures w14:val="standardContextual"/>
              </w:rPr>
              <w:tab/>
            </w:r>
            <w:r w:rsidR="001F2984" w:rsidRPr="009A36DF">
              <w:rPr>
                <w:rStyle w:val="Hyperlink"/>
                <w:noProof/>
              </w:rPr>
              <w:t>Комуникация и повишаване на видимостта</w:t>
            </w:r>
            <w:r w:rsidR="001F2984">
              <w:rPr>
                <w:noProof/>
                <w:webHidden/>
              </w:rPr>
              <w:tab/>
            </w:r>
            <w:r w:rsidR="001F2984">
              <w:rPr>
                <w:noProof/>
                <w:webHidden/>
              </w:rPr>
              <w:fldChar w:fldCharType="begin"/>
            </w:r>
            <w:r w:rsidR="001F2984">
              <w:rPr>
                <w:noProof/>
                <w:webHidden/>
              </w:rPr>
              <w:instrText xml:space="preserve"> PAGEREF _Toc215482212 \h </w:instrText>
            </w:r>
            <w:r w:rsidR="001F2984">
              <w:rPr>
                <w:noProof/>
                <w:webHidden/>
              </w:rPr>
            </w:r>
            <w:r w:rsidR="001F2984">
              <w:rPr>
                <w:noProof/>
                <w:webHidden/>
              </w:rPr>
              <w:fldChar w:fldCharType="separate"/>
            </w:r>
            <w:r w:rsidR="001F2984">
              <w:rPr>
                <w:noProof/>
                <w:webHidden/>
              </w:rPr>
              <w:t>20</w:t>
            </w:r>
            <w:r w:rsidR="001F2984">
              <w:rPr>
                <w:noProof/>
                <w:webHidden/>
              </w:rPr>
              <w:fldChar w:fldCharType="end"/>
            </w:r>
          </w:hyperlink>
        </w:p>
        <w:p w14:paraId="734A675A" w14:textId="4ED949F7"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213" w:history="1">
            <w:r w:rsidR="001F2984" w:rsidRPr="009A36DF">
              <w:rPr>
                <w:rStyle w:val="Hyperlink"/>
              </w:rPr>
              <w:t>4.1.</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Мрежа на НЗК</w:t>
            </w:r>
            <w:r w:rsidR="001F2984">
              <w:rPr>
                <w:webHidden/>
              </w:rPr>
              <w:tab/>
            </w:r>
            <w:r w:rsidR="001F2984">
              <w:rPr>
                <w:webHidden/>
              </w:rPr>
              <w:fldChar w:fldCharType="begin"/>
            </w:r>
            <w:r w:rsidR="001F2984">
              <w:rPr>
                <w:webHidden/>
              </w:rPr>
              <w:instrText xml:space="preserve"> PAGEREF _Toc215482213 \h </w:instrText>
            </w:r>
            <w:r w:rsidR="001F2984">
              <w:rPr>
                <w:webHidden/>
              </w:rPr>
            </w:r>
            <w:r w:rsidR="001F2984">
              <w:rPr>
                <w:webHidden/>
              </w:rPr>
              <w:fldChar w:fldCharType="separate"/>
            </w:r>
            <w:r w:rsidR="001F2984">
              <w:rPr>
                <w:webHidden/>
              </w:rPr>
              <w:t>20</w:t>
            </w:r>
            <w:r w:rsidR="001F2984">
              <w:rPr>
                <w:webHidden/>
              </w:rPr>
              <w:fldChar w:fldCharType="end"/>
            </w:r>
          </w:hyperlink>
        </w:p>
        <w:p w14:paraId="086BDDA3" w14:textId="6341BA48"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214" w:history="1">
            <w:r w:rsidR="001F2984" w:rsidRPr="009A36DF">
              <w:rPr>
                <w:rStyle w:val="Hyperlink"/>
              </w:rPr>
              <w:t>4.2.</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Експертна група на Фонда за иновации и ангажираност на заинтересованите страни</w:t>
            </w:r>
            <w:r w:rsidR="001F2984">
              <w:rPr>
                <w:webHidden/>
              </w:rPr>
              <w:tab/>
            </w:r>
            <w:r w:rsidR="001F2984">
              <w:rPr>
                <w:webHidden/>
              </w:rPr>
              <w:fldChar w:fldCharType="begin"/>
            </w:r>
            <w:r w:rsidR="001F2984">
              <w:rPr>
                <w:webHidden/>
              </w:rPr>
              <w:instrText xml:space="preserve"> PAGEREF _Toc215482214 \h </w:instrText>
            </w:r>
            <w:r w:rsidR="001F2984">
              <w:rPr>
                <w:webHidden/>
              </w:rPr>
            </w:r>
            <w:r w:rsidR="001F2984">
              <w:rPr>
                <w:webHidden/>
              </w:rPr>
              <w:fldChar w:fldCharType="separate"/>
            </w:r>
            <w:r w:rsidR="001F2984">
              <w:rPr>
                <w:webHidden/>
              </w:rPr>
              <w:t>21</w:t>
            </w:r>
            <w:r w:rsidR="001F2984">
              <w:rPr>
                <w:webHidden/>
              </w:rPr>
              <w:fldChar w:fldCharType="end"/>
            </w:r>
          </w:hyperlink>
        </w:p>
        <w:p w14:paraId="2D226618" w14:textId="0AB27007"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215" w:history="1">
            <w:r w:rsidR="001F2984" w:rsidRPr="009A36DF">
              <w:rPr>
                <w:rStyle w:val="Hyperlink"/>
              </w:rPr>
              <w:t>4.3.</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Обмен на знания</w:t>
            </w:r>
            <w:r w:rsidR="001F2984">
              <w:rPr>
                <w:webHidden/>
              </w:rPr>
              <w:tab/>
            </w:r>
            <w:r w:rsidR="001F2984">
              <w:rPr>
                <w:webHidden/>
              </w:rPr>
              <w:fldChar w:fldCharType="begin"/>
            </w:r>
            <w:r w:rsidR="001F2984">
              <w:rPr>
                <w:webHidden/>
              </w:rPr>
              <w:instrText xml:space="preserve"> PAGEREF _Toc215482215 \h </w:instrText>
            </w:r>
            <w:r w:rsidR="001F2984">
              <w:rPr>
                <w:webHidden/>
              </w:rPr>
            </w:r>
            <w:r w:rsidR="001F2984">
              <w:rPr>
                <w:webHidden/>
              </w:rPr>
              <w:fldChar w:fldCharType="separate"/>
            </w:r>
            <w:r w:rsidR="001F2984">
              <w:rPr>
                <w:webHidden/>
              </w:rPr>
              <w:t>21</w:t>
            </w:r>
            <w:r w:rsidR="001F2984">
              <w:rPr>
                <w:webHidden/>
              </w:rPr>
              <w:fldChar w:fldCharType="end"/>
            </w:r>
          </w:hyperlink>
        </w:p>
        <w:p w14:paraId="1BB3832F" w14:textId="5689FFCD" w:rsidR="001F2984" w:rsidRDefault="00E64027">
          <w:pPr>
            <w:pStyle w:val="TOC2"/>
            <w:rPr>
              <w:rFonts w:asciiTheme="minorHAnsi" w:eastAsiaTheme="minorEastAsia" w:hAnsiTheme="minorHAnsi" w:cstheme="minorBidi"/>
              <w:kern w:val="2"/>
              <w:sz w:val="24"/>
              <w:szCs w:val="24"/>
              <w:lang w:val="en-IE"/>
              <w14:ligatures w14:val="standardContextual"/>
            </w:rPr>
          </w:pPr>
          <w:hyperlink w:anchor="_Toc215482216" w:history="1">
            <w:r w:rsidR="001F2984" w:rsidRPr="009A36DF">
              <w:rPr>
                <w:rStyle w:val="Hyperlink"/>
              </w:rPr>
              <w:t>4.4.</w:t>
            </w:r>
            <w:r w:rsidR="001F2984">
              <w:rPr>
                <w:rFonts w:asciiTheme="minorHAnsi" w:eastAsiaTheme="minorEastAsia" w:hAnsiTheme="minorHAnsi" w:cstheme="minorBidi"/>
                <w:kern w:val="2"/>
                <w:sz w:val="24"/>
                <w:szCs w:val="24"/>
                <w:lang w:val="en-IE"/>
                <w14:ligatures w14:val="standardContextual"/>
              </w:rPr>
              <w:tab/>
            </w:r>
            <w:r w:rsidR="001F2984" w:rsidRPr="009A36DF">
              <w:rPr>
                <w:rStyle w:val="Hyperlink"/>
              </w:rPr>
              <w:t>Примери за успехи</w:t>
            </w:r>
            <w:r w:rsidR="001F2984">
              <w:rPr>
                <w:webHidden/>
              </w:rPr>
              <w:tab/>
            </w:r>
            <w:r w:rsidR="001F2984">
              <w:rPr>
                <w:webHidden/>
              </w:rPr>
              <w:fldChar w:fldCharType="begin"/>
            </w:r>
            <w:r w:rsidR="001F2984">
              <w:rPr>
                <w:webHidden/>
              </w:rPr>
              <w:instrText xml:space="preserve"> PAGEREF _Toc215482216 \h </w:instrText>
            </w:r>
            <w:r w:rsidR="001F2984">
              <w:rPr>
                <w:webHidden/>
              </w:rPr>
            </w:r>
            <w:r w:rsidR="001F2984">
              <w:rPr>
                <w:webHidden/>
              </w:rPr>
              <w:fldChar w:fldCharType="separate"/>
            </w:r>
            <w:r w:rsidR="001F2984">
              <w:rPr>
                <w:webHidden/>
              </w:rPr>
              <w:t>22</w:t>
            </w:r>
            <w:r w:rsidR="001F2984">
              <w:rPr>
                <w:webHidden/>
              </w:rPr>
              <w:fldChar w:fldCharType="end"/>
            </w:r>
          </w:hyperlink>
        </w:p>
        <w:p w14:paraId="50BC5B18" w14:textId="16F21116" w:rsidR="001F2984" w:rsidRDefault="00E64027">
          <w:pPr>
            <w:pStyle w:val="TOC1"/>
            <w:rPr>
              <w:rFonts w:asciiTheme="minorHAnsi" w:eastAsiaTheme="minorEastAsia" w:hAnsiTheme="minorHAnsi" w:cstheme="minorBidi"/>
              <w:b w:val="0"/>
              <w:noProof/>
              <w:kern w:val="2"/>
              <w:sz w:val="24"/>
              <w:szCs w:val="24"/>
              <w:lang w:val="en-IE"/>
              <w14:ligatures w14:val="standardContextual"/>
            </w:rPr>
          </w:pPr>
          <w:hyperlink w:anchor="_Toc215482217" w:history="1">
            <w:r w:rsidR="001F2984" w:rsidRPr="009A36DF">
              <w:rPr>
                <w:rStyle w:val="Hyperlink"/>
                <w:noProof/>
              </w:rPr>
              <w:t>5.</w:t>
            </w:r>
            <w:r w:rsidR="001F2984">
              <w:rPr>
                <w:rFonts w:asciiTheme="minorHAnsi" w:eastAsiaTheme="minorEastAsia" w:hAnsiTheme="minorHAnsi" w:cstheme="minorBidi"/>
                <w:b w:val="0"/>
                <w:noProof/>
                <w:kern w:val="2"/>
                <w:sz w:val="24"/>
                <w:szCs w:val="24"/>
                <w:lang w:val="en-IE"/>
                <w14:ligatures w14:val="standardContextual"/>
              </w:rPr>
              <w:tab/>
            </w:r>
            <w:r w:rsidR="001F2984" w:rsidRPr="009A36DF">
              <w:rPr>
                <w:rStyle w:val="Hyperlink"/>
                <w:noProof/>
              </w:rPr>
              <w:t>Заключение</w:t>
            </w:r>
            <w:r w:rsidR="001F2984">
              <w:rPr>
                <w:noProof/>
                <w:webHidden/>
              </w:rPr>
              <w:tab/>
            </w:r>
            <w:r w:rsidR="001F2984">
              <w:rPr>
                <w:noProof/>
                <w:webHidden/>
              </w:rPr>
              <w:fldChar w:fldCharType="begin"/>
            </w:r>
            <w:r w:rsidR="001F2984">
              <w:rPr>
                <w:noProof/>
                <w:webHidden/>
              </w:rPr>
              <w:instrText xml:space="preserve"> PAGEREF _Toc215482217 \h </w:instrText>
            </w:r>
            <w:r w:rsidR="001F2984">
              <w:rPr>
                <w:noProof/>
                <w:webHidden/>
              </w:rPr>
            </w:r>
            <w:r w:rsidR="001F2984">
              <w:rPr>
                <w:noProof/>
                <w:webHidden/>
              </w:rPr>
              <w:fldChar w:fldCharType="separate"/>
            </w:r>
            <w:r w:rsidR="001F2984">
              <w:rPr>
                <w:noProof/>
                <w:webHidden/>
              </w:rPr>
              <w:t>22</w:t>
            </w:r>
            <w:r w:rsidR="001F2984">
              <w:rPr>
                <w:noProof/>
                <w:webHidden/>
              </w:rPr>
              <w:fldChar w:fldCharType="end"/>
            </w:r>
          </w:hyperlink>
        </w:p>
        <w:p w14:paraId="6C4DE3B0" w14:textId="64FF8A53" w:rsidR="001315BC" w:rsidRPr="00964B6E" w:rsidRDefault="00FF294E">
          <w:pPr>
            <w:rPr>
              <w:noProof/>
            </w:rPr>
          </w:pPr>
          <w:r>
            <w:rPr>
              <w:noProof/>
            </w:rPr>
            <w:fldChar w:fldCharType="end"/>
          </w:r>
        </w:p>
        <w:p w14:paraId="5BCA71AC" w14:textId="401B01D0" w:rsidR="001315BC" w:rsidRPr="00964B6E" w:rsidRDefault="00FF294E">
          <w:pPr>
            <w:rPr>
              <w:noProof/>
            </w:rPr>
          </w:pPr>
          <w:r>
            <w:rPr>
              <w:noProof/>
            </w:rPr>
            <w:br w:type="page"/>
          </w:r>
        </w:p>
      </w:sdtContent>
    </w:sdt>
    <w:p w14:paraId="2AEBD751" w14:textId="7BD0B388" w:rsidR="00284F55" w:rsidRPr="00964B6E" w:rsidRDefault="00367DC3" w:rsidP="00284F55">
      <w:pPr>
        <w:rPr>
          <w:noProof/>
        </w:rPr>
      </w:pPr>
      <w:r>
        <w:rPr>
          <w:noProof/>
        </w:rPr>
        <w:t xml:space="preserve">Съгласно член 10а, параграф 8 от </w:t>
      </w:r>
      <w:hyperlink r:id="rId21">
        <w:r>
          <w:rPr>
            <w:rStyle w:val="Hyperlink"/>
            <w:noProof/>
          </w:rPr>
          <w:t>Директивата за СТЕ на ЕС</w:t>
        </w:r>
      </w:hyperlink>
      <w:r>
        <w:rPr>
          <w:noProof/>
        </w:rPr>
        <w:t xml:space="preserve"> Европейската комисия трябва да докладва ежегодно пред Комитета по изменението на климата за използването на </w:t>
      </w:r>
      <w:hyperlink r:id="rId22">
        <w:r>
          <w:rPr>
            <w:rStyle w:val="Hyperlink"/>
            <w:noProof/>
          </w:rPr>
          <w:t>Фонда за иновации</w:t>
        </w:r>
      </w:hyperlink>
      <w:r>
        <w:rPr>
          <w:noProof/>
        </w:rPr>
        <w:t xml:space="preserve"> („Фонда“), чиято цел е да предложи на пазара в Европейското икономическо пространство (ЕИП) решения за декарбонизацията на сектори, обхванати от </w:t>
      </w:r>
      <w:hyperlink r:id="rId23">
        <w:r>
          <w:rPr>
            <w:rStyle w:val="Hyperlink"/>
            <w:noProof/>
          </w:rPr>
          <w:t>системата за търговия с емисии</w:t>
        </w:r>
      </w:hyperlink>
      <w:r>
        <w:rPr>
          <w:noProof/>
        </w:rPr>
        <w:t xml:space="preserve"> (СТЕ на ЕС). Този инструмент за финансиране подкрепя внедряването на иновативни технологии и водещи проекти, които имат потенциала значително да намалят емисиите на парникови газове (ПГ) и могат да демонстрират икономическата обосновка за „чиста промишленост“. Той е разработен като част от </w:t>
      </w:r>
      <w:hyperlink r:id="rId24">
        <w:r>
          <w:rPr>
            <w:rStyle w:val="Hyperlink"/>
            <w:noProof/>
          </w:rPr>
          <w:t>Европейския зелен пакт</w:t>
        </w:r>
      </w:hyperlink>
      <w:r>
        <w:rPr>
          <w:noProof/>
        </w:rPr>
        <w:t xml:space="preserve"> и в съответствие с целите на </w:t>
      </w:r>
      <w:hyperlink r:id="rId25">
        <w:r>
          <w:rPr>
            <w:rStyle w:val="Hyperlink"/>
            <w:noProof/>
          </w:rPr>
          <w:t>Парижкото споразумение</w:t>
        </w:r>
      </w:hyperlink>
      <w:r>
        <w:rPr>
          <w:noProof/>
        </w:rPr>
        <w:t xml:space="preserve"> за подкрепа на прехода на Европа към неутралност по отношение на климата, като същевременно засилва нейната конкурентоспособност.</w:t>
      </w:r>
    </w:p>
    <w:p w14:paraId="2A2F11DD" w14:textId="6F8A78A8" w:rsidR="37A415AB" w:rsidRPr="00964B6E" w:rsidRDefault="37A415AB">
      <w:pPr>
        <w:rPr>
          <w:noProof/>
        </w:rPr>
      </w:pPr>
      <w:r>
        <w:rPr>
          <w:noProof/>
        </w:rPr>
        <w:t>Фондът подкрепя проекти чрез еднократни суми безвъзмездни средства (обикновени безвъзмездни средства) и единични вноски (търгове).</w:t>
      </w:r>
    </w:p>
    <w:p w14:paraId="5B3569FF" w14:textId="2C5B2D8C" w:rsidR="00635B6F" w:rsidRPr="00964B6E" w:rsidRDefault="00367DC3" w:rsidP="00184645">
      <w:pPr>
        <w:rPr>
          <w:noProof/>
        </w:rPr>
      </w:pPr>
      <w:r>
        <w:rPr>
          <w:noProof/>
        </w:rPr>
        <w:t>В настоящия доклад се описва подробно разпределението на отпуснатите средства за проекти по сектори и допустими държави и се анализира приносът им към целите на политиката на ЕС, като се обхваща използването на Фонда от 1 януари до 31 декември 2024 г.</w:t>
      </w:r>
    </w:p>
    <w:p w14:paraId="50D7C92D" w14:textId="5B7350DE" w:rsidR="006706FF" w:rsidRPr="00964B6E" w:rsidRDefault="0083365D" w:rsidP="0083365D">
      <w:pPr>
        <w:pStyle w:val="Heading1"/>
        <w:rPr>
          <w:noProof/>
        </w:rPr>
      </w:pPr>
      <w:bookmarkStart w:id="2" w:name="_Toc215482194"/>
      <w:r>
        <w:rPr>
          <w:noProof/>
        </w:rPr>
        <w:t>Принос на портфейла от проекти към целите на ЕС за неутралност по отношение на климата</w:t>
      </w:r>
      <w:bookmarkEnd w:id="2"/>
    </w:p>
    <w:p w14:paraId="2790380A" w14:textId="4F3613D2" w:rsidR="00F801CC" w:rsidRPr="00964B6E" w:rsidRDefault="00E64027" w:rsidP="00DE1511">
      <w:pPr>
        <w:rPr>
          <w:noProof/>
        </w:rPr>
      </w:pPr>
      <w:hyperlink r:id="rId26" w:history="1">
        <w:r w:rsidR="001F51A3">
          <w:rPr>
            <w:rStyle w:val="Hyperlink"/>
            <w:noProof/>
          </w:rPr>
          <w:t>Промишленият план на Зеления пакт</w:t>
        </w:r>
      </w:hyperlink>
      <w:r w:rsidR="001F51A3">
        <w:rPr>
          <w:noProof/>
        </w:rPr>
        <w:t xml:space="preserve"> има за цел да повиши конкурентоспособността на европейската промишленост с нулеви нетни емисии, по-специално чрез </w:t>
      </w:r>
      <w:hyperlink r:id="rId27" w:history="1">
        <w:r w:rsidR="001F51A3">
          <w:rPr>
            <w:rStyle w:val="Hyperlink"/>
            <w:noProof/>
          </w:rPr>
          <w:t>законодателния акт за промишленост с нулеви нетни емисии</w:t>
        </w:r>
      </w:hyperlink>
      <w:r w:rsidR="001F51A3">
        <w:rPr>
          <w:noProof/>
        </w:rPr>
        <w:t> (NZIA), с който се определят цели за промишлен капацитет с нулеви нетни емисии и се ускорява внедряването на такъв капацитет. Фондът подкрепя пряко тези политики, като въвежда специална тема за производството на чисти технологии с бюджет от 1,4 милиарда евро в рамките на поканата за обикновени безвъзмездни средства ФИ23 ТННЕ. Като цяло това доведе до подкрепата от страна на Фонда на солиден портфейл(</w:t>
      </w:r>
      <w:r w:rsidR="001F51A3">
        <w:rPr>
          <w:rStyle w:val="FootnoteReference"/>
          <w:noProof/>
        </w:rPr>
        <w:footnoteReference w:id="2"/>
      </w:r>
      <w:r w:rsidR="001F51A3">
        <w:rPr>
          <w:noProof/>
        </w:rPr>
        <w:t>) от проекти за насърчаване на производството на ключови технологии в прехода към неутралност по отношение на климата. Общо 25 нови проекта за производство на чисти технологии са били избрани в рамките на поканата ФИ23 ТННЕ, в допълнение към всички 15 съществуващи проекта, насочени към разработване, изграждане и експлоатация на производствени съоръжения за ключови компоненти в областта на съхранението на енергия, енергията от възобновяеми източници и енергоемките отрасли.</w:t>
      </w:r>
    </w:p>
    <w:p w14:paraId="1705B6A1" w14:textId="72228EF9" w:rsidR="00F801CC" w:rsidRPr="00964B6E" w:rsidRDefault="00BF218E" w:rsidP="00EE12C7">
      <w:pPr>
        <w:pStyle w:val="ListParagraph"/>
        <w:numPr>
          <w:ilvl w:val="0"/>
          <w:numId w:val="39"/>
        </w:numPr>
        <w:rPr>
          <w:noProof/>
        </w:rPr>
      </w:pPr>
      <w:r>
        <w:rPr>
          <w:noProof/>
        </w:rPr>
        <w:t>Това ще увеличи общата подкрепа на Фонда за производството с нулеви нетни емисии в ЕС (</w:t>
      </w:r>
      <w:r>
        <w:rPr>
          <w:rStyle w:val="FootnoteReference"/>
          <w:noProof/>
        </w:rPr>
        <w:footnoteReference w:id="3"/>
      </w:r>
      <w:r>
        <w:rPr>
          <w:noProof/>
        </w:rPr>
        <w:t>) до 2,4 милиарда евро. Тези проекти имат за цел да осигурят инсталирането на 8,1 GW годишно производствен капацитет за фотоволтаични системи и 11,6 GW годишно производствен капацитет за електролизьори.</w:t>
      </w:r>
    </w:p>
    <w:p w14:paraId="58B59E2D" w14:textId="61928E4D" w:rsidR="00E77AB7" w:rsidRPr="00964B6E" w:rsidRDefault="007B7090" w:rsidP="00962649">
      <w:pPr>
        <w:pStyle w:val="ListParagraph"/>
        <w:numPr>
          <w:ilvl w:val="0"/>
          <w:numId w:val="39"/>
        </w:numPr>
        <w:rPr>
          <w:noProof/>
        </w:rPr>
      </w:pPr>
      <w:r>
        <w:rPr>
          <w:noProof/>
        </w:rPr>
        <w:t>Общо 41 проекта за иновации и над 5 милиарда евро от Фонда за иновации са предназначени за подкрепа на промишленото управление на въглеродните емисии от 2020 г. насам. Това включва до 18,6 милиона тона годишно капацитет за улавяне на CO</w:t>
      </w:r>
      <w:r>
        <w:rPr>
          <w:noProof/>
          <w:vertAlign w:val="subscript"/>
        </w:rPr>
        <w:t>2</w:t>
      </w:r>
      <w:r>
        <w:rPr>
          <w:noProof/>
        </w:rPr>
        <w:t xml:space="preserve"> за улавяне и съхранение на въглерод (УСВ) (което би могло да покрие 37 % от целта за капацитет за нагнетяване на CO</w:t>
      </w:r>
      <w:r>
        <w:rPr>
          <w:noProof/>
          <w:vertAlign w:val="subscript"/>
        </w:rPr>
        <w:t>2</w:t>
      </w:r>
      <w:r>
        <w:rPr>
          <w:noProof/>
        </w:rPr>
        <w:t xml:space="preserve"> съгласно законодателния акт за промишленост с нулеви нетни емисии) и до 11,7 милиона тона годишно капацитет за нагнетяване на CO</w:t>
      </w:r>
      <w:r>
        <w:rPr>
          <w:noProof/>
          <w:vertAlign w:val="subscript"/>
        </w:rPr>
        <w:t>2</w:t>
      </w:r>
      <w:r>
        <w:rPr>
          <w:noProof/>
        </w:rPr>
        <w:t> (23 % от целта за капацитет за нагнетяване на CO</w:t>
      </w:r>
      <w:r>
        <w:rPr>
          <w:noProof/>
          <w:vertAlign w:val="subscript"/>
        </w:rPr>
        <w:t>2</w:t>
      </w:r>
      <w:r>
        <w:rPr>
          <w:noProof/>
        </w:rPr>
        <w:t xml:space="preserve"> съгласно законодателния акт за промишленост с нулеви нетни емисии).</w:t>
      </w:r>
    </w:p>
    <w:p w14:paraId="2CA1CB8E" w14:textId="045AC93E" w:rsidR="008A5EE0" w:rsidRPr="00964B6E" w:rsidRDefault="00C829CF" w:rsidP="001B260D">
      <w:pPr>
        <w:rPr>
          <w:noProof/>
        </w:rPr>
      </w:pPr>
      <w:r>
        <w:rPr>
          <w:noProof/>
        </w:rPr>
        <w:t xml:space="preserve">Фондът ще увеличи също така дела на възобновяемите енергийни източници в електроенергийния микс и ще подобри енергийната сигурност чрез подкрепа за внедряването на целеви технологии, описани в преразгледаната </w:t>
      </w:r>
      <w:hyperlink r:id="rId28">
        <w:r>
          <w:rPr>
            <w:rStyle w:val="Hyperlink"/>
            <w:noProof/>
          </w:rPr>
          <w:t>Директива за енергията от възобновяеми източници</w:t>
        </w:r>
      </w:hyperlink>
      <w:r>
        <w:rPr>
          <w:noProof/>
        </w:rPr>
        <w:t xml:space="preserve">, </w:t>
      </w:r>
      <w:hyperlink r:id="rId29">
        <w:r>
          <w:rPr>
            <w:rStyle w:val="Hyperlink"/>
            <w:noProof/>
          </w:rPr>
          <w:t>Европейския план за действие в областта на вятърната енергия</w:t>
        </w:r>
      </w:hyperlink>
      <w:r>
        <w:rPr>
          <w:noProof/>
        </w:rPr>
        <w:t xml:space="preserve"> и стратегията за </w:t>
      </w:r>
      <w:hyperlink r:id="rId30">
        <w:r>
          <w:rPr>
            <w:rStyle w:val="Hyperlink"/>
            <w:noProof/>
          </w:rPr>
          <w:t>осъществяване на амбициите на ЕС в областта на енергията от възобновяеми източници в морето</w:t>
        </w:r>
      </w:hyperlink>
      <w:r>
        <w:rPr>
          <w:noProof/>
        </w:rPr>
        <w:t>. Фондът за иновации, включително чрез проектите, избрани по ФИ23, подкрепя 11 проекта за вятърна енергия или производство на вятърни турбини (375 милиона евро), 14 проекта за слънчева енергия и производство на слънчеви панели (607 милиона евро), пет проекта за водна и океанска енергия (118 милиона евро) и един проект за геотермална енергия (92 милиона евро).</w:t>
      </w:r>
    </w:p>
    <w:p w14:paraId="75270F70" w14:textId="72341859" w:rsidR="001E3B3D" w:rsidRPr="00964B6E" w:rsidRDefault="00436D3B" w:rsidP="001B260D">
      <w:pPr>
        <w:rPr>
          <w:noProof/>
        </w:rPr>
      </w:pPr>
      <w:r>
        <w:rPr>
          <w:noProof/>
        </w:rPr>
        <w:t xml:space="preserve">В плана </w:t>
      </w:r>
      <w:hyperlink r:id="rId31" w:history="1">
        <w:r>
          <w:rPr>
            <w:rStyle w:val="Hyperlink"/>
            <w:noProof/>
          </w:rPr>
          <w:t>REPowerEU</w:t>
        </w:r>
      </w:hyperlink>
      <w:r>
        <w:rPr>
          <w:noProof/>
        </w:rPr>
        <w:t xml:space="preserve"> водородът, произведен с помощта на електроенергия от възобновяеми енергийни източници, известен като „водород от ВГНБП (</w:t>
      </w:r>
      <w:r>
        <w:rPr>
          <w:rStyle w:val="FootnoteReference"/>
          <w:noProof/>
        </w:rPr>
        <w:footnoteReference w:id="4"/>
      </w:r>
      <w:r>
        <w:rPr>
          <w:noProof/>
        </w:rPr>
        <w:t xml:space="preserve">)“, се посочва като климатично неутрален вариант за сектори, които трудно се декарбонизират. Фондът подкрепя демонстрирането на иновативни технологии, базирани на водород от възобновяеми източници, и по този начин изпълнява съществена роля в реализирането на </w:t>
      </w:r>
      <w:hyperlink r:id="rId32" w:history="1">
        <w:r>
          <w:rPr>
            <w:rStyle w:val="Hyperlink"/>
            <w:noProof/>
          </w:rPr>
          <w:t>стратегията на ЕС за водорода</w:t>
        </w:r>
      </w:hyperlink>
      <w:r>
        <w:rPr>
          <w:noProof/>
        </w:rPr>
        <w:t>. Според обявените и налични резултати от ФИ23 се отпуска финансиране за 27 проекта с капацитет за производство на повече от 750 хиляди тона водород от ВГНБП и нисковъглероден водород годишно.</w:t>
      </w:r>
    </w:p>
    <w:p w14:paraId="3CB63B84" w14:textId="23AC9CB4" w:rsidR="002D3768" w:rsidRPr="00964B6E" w:rsidRDefault="009349F6" w:rsidP="001B260D">
      <w:pPr>
        <w:rPr>
          <w:noProof/>
        </w:rPr>
      </w:pPr>
      <w:r>
        <w:rPr>
          <w:noProof/>
        </w:rPr>
        <w:t>Съхранението на енергия е от ключово значение както за сектора на мобилността, така и за балансирането на електроснабдяването на равнище електропреносна мрежа. Фондът за иновации е отпуснал 752 милиона евро за 13 проекта за мобилност, дневно и дългосрочно съхранение. Те включват акумулиране на топлинна енергия в гранитни скали, подземно съхранение на топлина за системи за централизирано топлоснабдяване, системи за съхранение на енергия в акумулаторни батерии (BESS) в мащаб на електропреносната мрежа и съхранение в помпено-акумулиращи електроцентрали.</w:t>
      </w:r>
    </w:p>
    <w:p w14:paraId="668ECF64" w14:textId="1E940B38" w:rsidR="00297D23" w:rsidRPr="00964B6E" w:rsidRDefault="00104D47" w:rsidP="00E64869">
      <w:pPr>
        <w:rPr>
          <w:noProof/>
        </w:rPr>
      </w:pPr>
      <w:r>
        <w:rPr>
          <w:noProof/>
        </w:rPr>
        <w:t xml:space="preserve">Фондът подкрепя и разработването на алтернативни горива в съответствие с регламентите за </w:t>
      </w:r>
      <w:hyperlink r:id="rId33" w:history="1">
        <w:r>
          <w:rPr>
            <w:rStyle w:val="Hyperlink"/>
            <w:noProof/>
          </w:rPr>
          <w:t>инициативата ReFuelEU — сектор „Авиация“</w:t>
        </w:r>
      </w:hyperlink>
      <w:r>
        <w:rPr>
          <w:noProof/>
        </w:rPr>
        <w:t xml:space="preserve"> и </w:t>
      </w:r>
      <w:hyperlink r:id="rId34" w:history="1">
        <w:r>
          <w:rPr>
            <w:rStyle w:val="Hyperlink"/>
            <w:noProof/>
          </w:rPr>
          <w:t>инициативата FuelEU — сектор „Морско пространство“</w:t>
        </w:r>
      </w:hyperlink>
      <w:r>
        <w:rPr>
          <w:noProof/>
        </w:rPr>
        <w:t>:</w:t>
      </w:r>
    </w:p>
    <w:p w14:paraId="2CE4A12D" w14:textId="71D96DF1" w:rsidR="00327268" w:rsidRPr="00964B6E" w:rsidRDefault="00471F10" w:rsidP="00F72B13">
      <w:pPr>
        <w:pStyle w:val="ListParagraph"/>
        <w:numPr>
          <w:ilvl w:val="0"/>
          <w:numId w:val="45"/>
        </w:numPr>
        <w:rPr>
          <w:noProof/>
        </w:rPr>
      </w:pPr>
      <w:r>
        <w:rPr>
          <w:noProof/>
        </w:rPr>
        <w:t>1,6 милиарда евро за проекти, свързани с горивата, включително 612 милиона евро за горива, произведени изключително за транспортния сектор. Те включват 14 проекта за водород (522 милиона евро), пет за е-метанол (273 милиона евро), три за амоняк (530 милиона евро), два за УАГ (206 милиона евро), два за е-метан (87 милиона евро) и един за био-ВПГ (4 милиона евро).</w:t>
      </w:r>
    </w:p>
    <w:p w14:paraId="1192E317" w14:textId="06AB76F2" w:rsidR="00327268" w:rsidRPr="00964B6E" w:rsidRDefault="00BB113A" w:rsidP="00F72B13">
      <w:pPr>
        <w:pStyle w:val="ListParagraph"/>
        <w:numPr>
          <w:ilvl w:val="0"/>
          <w:numId w:val="45"/>
        </w:numPr>
        <w:rPr>
          <w:noProof/>
        </w:rPr>
      </w:pPr>
      <w:r>
        <w:rPr>
          <w:noProof/>
        </w:rPr>
        <w:t>Осем проекта, съсредоточени върху мобилността, имат за цел да предотвратят 27 милиона тона CO</w:t>
      </w:r>
      <w:r>
        <w:rPr>
          <w:noProof/>
          <w:vertAlign w:val="subscript"/>
        </w:rPr>
        <w:t>2</w:t>
      </w:r>
      <w:r>
        <w:rPr>
          <w:noProof/>
        </w:rPr>
        <w:t>-екв. Те включват шест проекта в морския сектор, които получават специална подкрепа в размер на 211 милиона евро, и 95 милиона евро финансиране за електрически самолет.</w:t>
      </w:r>
    </w:p>
    <w:p w14:paraId="4FA73EE4" w14:textId="1A0DC043" w:rsidR="00104D47" w:rsidRPr="00964B6E" w:rsidRDefault="00AF650D" w:rsidP="009410CC">
      <w:pPr>
        <w:rPr>
          <w:noProof/>
        </w:rPr>
      </w:pPr>
      <w:r>
        <w:rPr>
          <w:noProof/>
        </w:rPr>
        <w:t xml:space="preserve">На последно място, проектите на Фонда имат значителен потенциал да допринесат за постигането на целите на </w:t>
      </w:r>
      <w:hyperlink r:id="rId35" w:history="1">
        <w:r>
          <w:rPr>
            <w:rStyle w:val="Hyperlink"/>
            <w:noProof/>
          </w:rPr>
          <w:t>Европейския закон за климата</w:t>
        </w:r>
      </w:hyperlink>
      <w:r>
        <w:rPr>
          <w:noProof/>
        </w:rPr>
        <w:t xml:space="preserve"> за намаляване на емисиите на парникови газове с 963 милиона тона CO</w:t>
      </w:r>
      <w:r>
        <w:rPr>
          <w:noProof/>
          <w:vertAlign w:val="subscript"/>
        </w:rPr>
        <w:t>2</w:t>
      </w:r>
      <w:r>
        <w:rPr>
          <w:noProof/>
        </w:rPr>
        <w:t>-екв. за период от 10 години (</w:t>
      </w:r>
      <w:r>
        <w:rPr>
          <w:rStyle w:val="FootnoteReference"/>
          <w:noProof/>
        </w:rPr>
        <w:footnoteReference w:id="5"/>
      </w:r>
      <w:r>
        <w:rPr>
          <w:noProof/>
        </w:rPr>
        <w:t>). Предвид високия потенциал за възпроизводимост на внедрените технологии, това ще бъде съществен принос за превръщането на Европа в първия климатично неутрален континент в света до 2050 г.</w:t>
      </w:r>
    </w:p>
    <w:p w14:paraId="1673F0E1" w14:textId="4AD5F45E" w:rsidR="00461E1C" w:rsidRPr="00964B6E" w:rsidRDefault="00461E1C" w:rsidP="00461E1C">
      <w:pPr>
        <w:rPr>
          <w:noProof/>
        </w:rPr>
      </w:pPr>
      <w:r>
        <w:rPr>
          <w:noProof/>
        </w:rPr>
        <w:t>Към края на 2024 г. Фондът за иновации е одобрил или избрал 199 проекта в 26 държави, като е отпуснал общо 11,2 милиарда евро подкрепа.</w:t>
      </w:r>
    </w:p>
    <w:p w14:paraId="78ECA481" w14:textId="0D0CA560" w:rsidR="00461E1C" w:rsidRPr="00964B6E" w:rsidRDefault="00461E1C" w:rsidP="00461E1C">
      <w:pPr>
        <w:rPr>
          <w:rFonts w:ascii="Arial" w:hAnsi="Arial" w:cs="Arial"/>
          <w:noProof/>
          <w:color w:val="000000"/>
          <w:szCs w:val="22"/>
        </w:rPr>
      </w:pPr>
      <w:r>
        <w:rPr>
          <w:noProof/>
        </w:rPr>
        <w:t>В таблицата по-долу е представен преглед на тези проекти по категории:</w:t>
      </w:r>
    </w:p>
    <w:tbl>
      <w:tblPr>
        <w:tblStyle w:val="TableGridLight"/>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50"/>
        <w:gridCol w:w="1839"/>
        <w:gridCol w:w="750"/>
        <w:gridCol w:w="1839"/>
        <w:gridCol w:w="675"/>
        <w:gridCol w:w="1939"/>
      </w:tblGrid>
      <w:tr w:rsidR="00A41838" w:rsidRPr="00964B6E" w14:paraId="37FA1F26" w14:textId="4AC1FCF7" w:rsidTr="00B6721C">
        <w:trPr>
          <w:trHeight w:val="510"/>
          <w:jc w:val="center"/>
        </w:trPr>
        <w:tc>
          <w:tcPr>
            <w:tcW w:w="2410" w:type="dxa"/>
            <w:tcBorders>
              <w:right w:val="single" w:sz="4" w:space="0" w:color="auto"/>
            </w:tcBorders>
            <w:noWrap/>
            <w:vAlign w:val="center"/>
            <w:hideMark/>
          </w:tcPr>
          <w:p w14:paraId="02F7166D" w14:textId="77777777" w:rsidR="00A41838" w:rsidRPr="00964B6E" w:rsidRDefault="00A41838" w:rsidP="005A1765">
            <w:pPr>
              <w:spacing w:after="0" w:line="240" w:lineRule="auto"/>
              <w:jc w:val="center"/>
              <w:rPr>
                <w:noProof/>
                <w:sz w:val="20"/>
              </w:rPr>
            </w:pPr>
          </w:p>
        </w:tc>
        <w:tc>
          <w:tcPr>
            <w:tcW w:w="2268" w:type="dxa"/>
            <w:gridSpan w:val="2"/>
            <w:tcBorders>
              <w:top w:val="single" w:sz="4" w:space="0" w:color="auto"/>
              <w:left w:val="single" w:sz="4" w:space="0" w:color="auto"/>
              <w:bottom w:val="single" w:sz="4" w:space="0" w:color="auto"/>
              <w:right w:val="single" w:sz="4" w:space="0" w:color="auto"/>
            </w:tcBorders>
            <w:noWrap/>
            <w:vAlign w:val="center"/>
            <w:hideMark/>
          </w:tcPr>
          <w:p w14:paraId="40B76867" w14:textId="28897E27" w:rsidR="00A41838" w:rsidRPr="00964B6E" w:rsidRDefault="0041409A" w:rsidP="005A1765">
            <w:pPr>
              <w:spacing w:after="0" w:line="240" w:lineRule="auto"/>
              <w:jc w:val="center"/>
              <w:rPr>
                <w:noProof/>
                <w:color w:val="000000"/>
                <w:sz w:val="20"/>
              </w:rPr>
            </w:pPr>
            <w:r>
              <w:rPr>
                <w:noProof/>
                <w:color w:val="000000"/>
                <w:sz w:val="20"/>
              </w:rPr>
              <w:t>Избрани по ФИ23</w:t>
            </w:r>
          </w:p>
          <w:p w14:paraId="65554E91" w14:textId="2027FC50" w:rsidR="00A41838" w:rsidRPr="00964B6E" w:rsidRDefault="00A41838" w:rsidP="005A1765">
            <w:pPr>
              <w:spacing w:after="0" w:line="240" w:lineRule="auto"/>
              <w:jc w:val="center"/>
              <w:rPr>
                <w:noProof/>
                <w:color w:val="000000"/>
                <w:sz w:val="20"/>
              </w:rPr>
            </w:pPr>
          </w:p>
        </w:tc>
        <w:tc>
          <w:tcPr>
            <w:tcW w:w="2451" w:type="dxa"/>
            <w:gridSpan w:val="2"/>
            <w:tcBorders>
              <w:top w:val="single" w:sz="4" w:space="0" w:color="auto"/>
              <w:left w:val="single" w:sz="4" w:space="0" w:color="auto"/>
              <w:bottom w:val="single" w:sz="4" w:space="0" w:color="auto"/>
              <w:right w:val="single" w:sz="4" w:space="0" w:color="auto"/>
            </w:tcBorders>
            <w:vAlign w:val="center"/>
          </w:tcPr>
          <w:p w14:paraId="6F695BF8" w14:textId="3DB97695" w:rsidR="00A41838" w:rsidRPr="00964B6E" w:rsidRDefault="00A41838" w:rsidP="005A1765">
            <w:pPr>
              <w:spacing w:after="0" w:line="240" w:lineRule="auto"/>
              <w:jc w:val="center"/>
              <w:rPr>
                <w:noProof/>
                <w:color w:val="000000"/>
                <w:sz w:val="20"/>
              </w:rPr>
            </w:pPr>
            <w:r>
              <w:rPr>
                <w:noProof/>
                <w:color w:val="000000"/>
                <w:sz w:val="20"/>
              </w:rPr>
              <w:t>Съществуващ портфейл</w:t>
            </w:r>
          </w:p>
        </w:tc>
        <w:tc>
          <w:tcPr>
            <w:tcW w:w="2510" w:type="dxa"/>
            <w:gridSpan w:val="2"/>
            <w:tcBorders>
              <w:top w:val="single" w:sz="4" w:space="0" w:color="auto"/>
              <w:left w:val="single" w:sz="4" w:space="0" w:color="auto"/>
              <w:bottom w:val="single" w:sz="4" w:space="0" w:color="auto"/>
              <w:right w:val="single" w:sz="4" w:space="0" w:color="auto"/>
            </w:tcBorders>
            <w:vAlign w:val="center"/>
          </w:tcPr>
          <w:p w14:paraId="0F126946" w14:textId="33363C70" w:rsidR="00A41838" w:rsidRPr="00964B6E" w:rsidRDefault="00A41838" w:rsidP="00B6721C">
            <w:pPr>
              <w:spacing w:after="0" w:line="240" w:lineRule="auto"/>
              <w:jc w:val="center"/>
              <w:rPr>
                <w:noProof/>
                <w:color w:val="000000"/>
                <w:sz w:val="20"/>
              </w:rPr>
            </w:pPr>
            <w:r>
              <w:rPr>
                <w:noProof/>
                <w:color w:val="000000"/>
                <w:sz w:val="20"/>
              </w:rPr>
              <w:t>Комбинирано</w:t>
            </w:r>
          </w:p>
        </w:tc>
      </w:tr>
      <w:tr w:rsidR="005C22AF" w:rsidRPr="00964B6E" w14:paraId="7A155A76" w14:textId="52281AA4" w:rsidTr="006950EA">
        <w:trPr>
          <w:trHeight w:val="510"/>
          <w:jc w:val="center"/>
        </w:trPr>
        <w:tc>
          <w:tcPr>
            <w:tcW w:w="2410" w:type="dxa"/>
            <w:tcBorders>
              <w:bottom w:val="single" w:sz="4" w:space="0" w:color="auto"/>
              <w:right w:val="single" w:sz="4" w:space="0" w:color="auto"/>
            </w:tcBorders>
            <w:noWrap/>
            <w:vAlign w:val="center"/>
            <w:hideMark/>
          </w:tcPr>
          <w:p w14:paraId="1189B792" w14:textId="77777777" w:rsidR="00A41838" w:rsidRPr="00964B6E" w:rsidRDefault="00A41838" w:rsidP="00A41838">
            <w:pPr>
              <w:spacing w:after="0" w:line="240" w:lineRule="auto"/>
              <w:jc w:val="center"/>
              <w:rPr>
                <w:b/>
                <w:bCs/>
                <w:noProof/>
                <w:color w:val="000000"/>
                <w:sz w:val="20"/>
              </w:rPr>
            </w:pP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6B540971" w14:textId="77777777" w:rsidR="00A41838" w:rsidRPr="00964B6E" w:rsidRDefault="00A41838" w:rsidP="00A41838">
            <w:pPr>
              <w:spacing w:after="0" w:line="240" w:lineRule="auto"/>
              <w:jc w:val="center"/>
              <w:rPr>
                <w:b/>
                <w:bCs/>
                <w:noProof/>
                <w:color w:val="000000"/>
                <w:sz w:val="20"/>
              </w:rPr>
            </w:pPr>
            <w:r>
              <w:rPr>
                <w:b/>
                <w:noProof/>
                <w:color w:val="000000"/>
                <w:sz w:val="20"/>
              </w:rPr>
              <w:t>Брой</w:t>
            </w:r>
          </w:p>
        </w:tc>
        <w:tc>
          <w:tcPr>
            <w:tcW w:w="1518" w:type="dxa"/>
            <w:tcBorders>
              <w:top w:val="single" w:sz="4" w:space="0" w:color="auto"/>
              <w:left w:val="single" w:sz="4" w:space="0" w:color="auto"/>
              <w:bottom w:val="single" w:sz="4" w:space="0" w:color="auto"/>
              <w:right w:val="single" w:sz="4" w:space="0" w:color="auto"/>
            </w:tcBorders>
            <w:noWrap/>
            <w:vAlign w:val="center"/>
            <w:hideMark/>
          </w:tcPr>
          <w:p w14:paraId="11FB371A" w14:textId="77777777" w:rsidR="00A41838" w:rsidRPr="00964B6E" w:rsidRDefault="00A41838" w:rsidP="00A41838">
            <w:pPr>
              <w:spacing w:after="0" w:line="240" w:lineRule="auto"/>
              <w:jc w:val="center"/>
              <w:rPr>
                <w:b/>
                <w:bCs/>
                <w:noProof/>
                <w:color w:val="000000"/>
                <w:sz w:val="20"/>
              </w:rPr>
            </w:pPr>
            <w:r>
              <w:rPr>
                <w:b/>
                <w:noProof/>
                <w:color w:val="000000"/>
                <w:sz w:val="20"/>
              </w:rPr>
              <w:t>Финансиране</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6D7DAE71" w14:textId="77777777" w:rsidR="00A41838" w:rsidRPr="00964B6E" w:rsidRDefault="00A41838" w:rsidP="00A41838">
            <w:pPr>
              <w:spacing w:after="0" w:line="240" w:lineRule="auto"/>
              <w:jc w:val="center"/>
              <w:rPr>
                <w:b/>
                <w:bCs/>
                <w:noProof/>
                <w:color w:val="000000"/>
                <w:sz w:val="20"/>
              </w:rPr>
            </w:pPr>
            <w:r>
              <w:rPr>
                <w:b/>
                <w:noProof/>
                <w:color w:val="000000"/>
                <w:sz w:val="20"/>
              </w:rPr>
              <w:t>Брой</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99A28A1" w14:textId="77777777" w:rsidR="00A41838" w:rsidRPr="00964B6E" w:rsidRDefault="00A41838" w:rsidP="00A41838">
            <w:pPr>
              <w:spacing w:after="0" w:line="240" w:lineRule="auto"/>
              <w:jc w:val="center"/>
              <w:rPr>
                <w:b/>
                <w:bCs/>
                <w:noProof/>
                <w:color w:val="000000"/>
                <w:sz w:val="20"/>
              </w:rPr>
            </w:pPr>
            <w:r>
              <w:rPr>
                <w:b/>
                <w:noProof/>
                <w:color w:val="000000"/>
                <w:sz w:val="20"/>
              </w:rPr>
              <w:t>Финансиране</w:t>
            </w:r>
          </w:p>
        </w:tc>
        <w:tc>
          <w:tcPr>
            <w:tcW w:w="750" w:type="dxa"/>
            <w:tcBorders>
              <w:top w:val="single" w:sz="4" w:space="0" w:color="auto"/>
              <w:left w:val="single" w:sz="4" w:space="0" w:color="auto"/>
              <w:bottom w:val="single" w:sz="4" w:space="0" w:color="auto"/>
              <w:right w:val="single" w:sz="4" w:space="0" w:color="auto"/>
            </w:tcBorders>
            <w:vAlign w:val="center"/>
          </w:tcPr>
          <w:p w14:paraId="193C5C4D" w14:textId="2FB681D9" w:rsidR="00A41838" w:rsidRPr="00964B6E" w:rsidRDefault="00A41838" w:rsidP="00A41838">
            <w:pPr>
              <w:spacing w:after="0" w:line="240" w:lineRule="auto"/>
              <w:jc w:val="center"/>
              <w:rPr>
                <w:b/>
                <w:bCs/>
                <w:noProof/>
                <w:color w:val="000000"/>
                <w:sz w:val="20"/>
              </w:rPr>
            </w:pPr>
            <w:r>
              <w:rPr>
                <w:b/>
                <w:noProof/>
                <w:color w:val="000000"/>
                <w:sz w:val="20"/>
              </w:rPr>
              <w:t>Брой</w:t>
            </w:r>
          </w:p>
        </w:tc>
        <w:tc>
          <w:tcPr>
            <w:tcW w:w="1760" w:type="dxa"/>
            <w:tcBorders>
              <w:top w:val="single" w:sz="4" w:space="0" w:color="auto"/>
              <w:left w:val="single" w:sz="4" w:space="0" w:color="auto"/>
              <w:bottom w:val="single" w:sz="4" w:space="0" w:color="auto"/>
              <w:right w:val="single" w:sz="4" w:space="0" w:color="auto"/>
            </w:tcBorders>
            <w:vAlign w:val="center"/>
          </w:tcPr>
          <w:p w14:paraId="6792DF6A" w14:textId="07A02D4A" w:rsidR="00A41838" w:rsidRPr="00964B6E" w:rsidRDefault="00A41838" w:rsidP="00A41838">
            <w:pPr>
              <w:spacing w:after="0" w:line="240" w:lineRule="auto"/>
              <w:jc w:val="center"/>
              <w:rPr>
                <w:b/>
                <w:bCs/>
                <w:noProof/>
                <w:color w:val="000000"/>
                <w:sz w:val="20"/>
              </w:rPr>
            </w:pPr>
            <w:r>
              <w:rPr>
                <w:b/>
                <w:noProof/>
                <w:color w:val="000000"/>
                <w:sz w:val="20"/>
              </w:rPr>
              <w:t>Финансиране</w:t>
            </w:r>
          </w:p>
        </w:tc>
      </w:tr>
      <w:tr w:rsidR="00F20D3B" w:rsidRPr="00964B6E" w14:paraId="7D975F03" w14:textId="43C830B1" w:rsidTr="006950EA">
        <w:trPr>
          <w:trHeight w:val="510"/>
          <w:jc w:val="center"/>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203C66FE" w14:textId="77777777" w:rsidR="00F20D3B" w:rsidRPr="00964B6E" w:rsidRDefault="00F20D3B" w:rsidP="00F20D3B">
            <w:pPr>
              <w:spacing w:after="0" w:line="240" w:lineRule="auto"/>
              <w:jc w:val="left"/>
              <w:rPr>
                <w:b/>
                <w:bCs/>
                <w:noProof/>
                <w:color w:val="000000"/>
                <w:sz w:val="20"/>
              </w:rPr>
            </w:pPr>
            <w:r>
              <w:rPr>
                <w:b/>
                <w:noProof/>
                <w:color w:val="000000"/>
                <w:sz w:val="20"/>
              </w:rPr>
              <w:t>Улавяне и съхранение на въглероден диоксид в геоложки формации (УСВ)</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4847D725" w14:textId="77777777" w:rsidR="00F20D3B" w:rsidRPr="00964B6E" w:rsidRDefault="00F20D3B" w:rsidP="00F20D3B">
            <w:pPr>
              <w:spacing w:after="0" w:line="240" w:lineRule="auto"/>
              <w:jc w:val="center"/>
              <w:rPr>
                <w:noProof/>
                <w:color w:val="000000"/>
                <w:sz w:val="20"/>
              </w:rPr>
            </w:pPr>
            <w:r>
              <w:rPr>
                <w:noProof/>
                <w:color w:val="000000"/>
                <w:sz w:val="20"/>
              </w:rPr>
              <w:t>8</w:t>
            </w:r>
          </w:p>
        </w:tc>
        <w:tc>
          <w:tcPr>
            <w:tcW w:w="1518" w:type="dxa"/>
            <w:tcBorders>
              <w:top w:val="single" w:sz="4" w:space="0" w:color="auto"/>
              <w:left w:val="single" w:sz="4" w:space="0" w:color="auto"/>
              <w:bottom w:val="single" w:sz="4" w:space="0" w:color="auto"/>
              <w:right w:val="single" w:sz="4" w:space="0" w:color="auto"/>
            </w:tcBorders>
            <w:noWrap/>
            <w:vAlign w:val="center"/>
            <w:hideMark/>
          </w:tcPr>
          <w:p w14:paraId="07157B1D" w14:textId="57581A52" w:rsidR="00F20D3B" w:rsidRPr="00964B6E" w:rsidRDefault="00F20D3B" w:rsidP="00F20D3B">
            <w:pPr>
              <w:spacing w:after="0" w:line="240" w:lineRule="auto"/>
              <w:jc w:val="center"/>
              <w:rPr>
                <w:noProof/>
                <w:color w:val="000000"/>
                <w:sz w:val="20"/>
              </w:rPr>
            </w:pPr>
            <w:r>
              <w:rPr>
                <w:noProof/>
                <w:color w:val="000000"/>
                <w:sz w:val="20"/>
              </w:rPr>
              <w:t>936 160 409 EUR</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5E20C4C0" w14:textId="77777777" w:rsidR="00F20D3B" w:rsidRPr="00964B6E" w:rsidRDefault="00F20D3B" w:rsidP="00F20D3B">
            <w:pPr>
              <w:spacing w:after="0" w:line="240" w:lineRule="auto"/>
              <w:jc w:val="center"/>
              <w:rPr>
                <w:noProof/>
                <w:color w:val="000000"/>
                <w:sz w:val="20"/>
              </w:rPr>
            </w:pPr>
            <w:r>
              <w:rPr>
                <w:noProof/>
                <w:color w:val="000000"/>
                <w:sz w:val="20"/>
              </w:rPr>
              <w:t>12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A28E2F3" w14:textId="6334F09E" w:rsidR="00F20D3B" w:rsidRPr="00964B6E" w:rsidRDefault="00F20D3B" w:rsidP="00F20D3B">
            <w:pPr>
              <w:spacing w:after="0" w:line="240" w:lineRule="auto"/>
              <w:jc w:val="center"/>
              <w:rPr>
                <w:noProof/>
                <w:color w:val="000000"/>
                <w:sz w:val="20"/>
              </w:rPr>
            </w:pPr>
            <w:r>
              <w:rPr>
                <w:noProof/>
                <w:color w:val="000000"/>
                <w:sz w:val="20"/>
              </w:rPr>
              <w:t>1 987 720 372 EUR</w:t>
            </w:r>
          </w:p>
        </w:tc>
        <w:tc>
          <w:tcPr>
            <w:tcW w:w="750" w:type="dxa"/>
            <w:tcBorders>
              <w:top w:val="single" w:sz="4" w:space="0" w:color="auto"/>
              <w:left w:val="single" w:sz="4" w:space="0" w:color="auto"/>
              <w:bottom w:val="single" w:sz="4" w:space="0" w:color="auto"/>
              <w:right w:val="single" w:sz="4" w:space="0" w:color="auto"/>
            </w:tcBorders>
          </w:tcPr>
          <w:p w14:paraId="5CF7F4B0" w14:textId="0CD5E0E5" w:rsidR="00F20D3B" w:rsidRPr="00964B6E" w:rsidRDefault="00F20D3B" w:rsidP="00F20D3B">
            <w:pPr>
              <w:spacing w:after="0" w:line="240" w:lineRule="auto"/>
              <w:jc w:val="center"/>
              <w:rPr>
                <w:noProof/>
                <w:color w:val="000000"/>
                <w:sz w:val="20"/>
              </w:rPr>
            </w:pPr>
            <w:r>
              <w:rPr>
                <w:noProof/>
                <w:color w:val="000000"/>
                <w:sz w:val="20"/>
              </w:rPr>
              <w:t>20</w:t>
            </w:r>
          </w:p>
        </w:tc>
        <w:tc>
          <w:tcPr>
            <w:tcW w:w="1760" w:type="dxa"/>
            <w:tcBorders>
              <w:top w:val="single" w:sz="4" w:space="0" w:color="auto"/>
              <w:left w:val="single" w:sz="4" w:space="0" w:color="auto"/>
              <w:bottom w:val="single" w:sz="4" w:space="0" w:color="auto"/>
              <w:right w:val="single" w:sz="4" w:space="0" w:color="auto"/>
            </w:tcBorders>
            <w:vAlign w:val="center"/>
          </w:tcPr>
          <w:p w14:paraId="7200C20D" w14:textId="2112C258" w:rsidR="00F20D3B" w:rsidRPr="00964B6E" w:rsidRDefault="00F20D3B" w:rsidP="006950EA">
            <w:pPr>
              <w:spacing w:after="0" w:line="240" w:lineRule="auto"/>
              <w:jc w:val="right"/>
              <w:rPr>
                <w:noProof/>
                <w:color w:val="000000"/>
                <w:sz w:val="20"/>
              </w:rPr>
            </w:pPr>
            <w:r>
              <w:rPr>
                <w:noProof/>
                <w:color w:val="000000"/>
                <w:sz w:val="20"/>
              </w:rPr>
              <w:t>2 923 880 781 EUR</w:t>
            </w:r>
          </w:p>
        </w:tc>
      </w:tr>
      <w:tr w:rsidR="00F20D3B" w:rsidRPr="00964B6E" w14:paraId="0BE449C5" w14:textId="047445EE" w:rsidTr="006950EA">
        <w:trPr>
          <w:trHeight w:val="510"/>
          <w:jc w:val="center"/>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3324F505" w14:textId="68C2AA51" w:rsidR="00F20D3B" w:rsidRPr="00964B6E" w:rsidRDefault="00C10413" w:rsidP="00F20D3B">
            <w:pPr>
              <w:spacing w:after="0" w:line="240" w:lineRule="auto"/>
              <w:jc w:val="left"/>
              <w:rPr>
                <w:b/>
                <w:bCs/>
                <w:noProof/>
                <w:color w:val="000000"/>
                <w:sz w:val="20"/>
              </w:rPr>
            </w:pPr>
            <w:r>
              <w:rPr>
                <w:b/>
                <w:noProof/>
                <w:color w:val="000000"/>
                <w:sz w:val="20"/>
              </w:rPr>
              <w:t>Енергоемки отрасли (ЕЕО)</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2BD88F45" w14:textId="77777777" w:rsidR="00F20D3B" w:rsidRPr="00964B6E" w:rsidRDefault="00F20D3B" w:rsidP="00F20D3B">
            <w:pPr>
              <w:spacing w:after="0" w:line="240" w:lineRule="auto"/>
              <w:jc w:val="center"/>
              <w:rPr>
                <w:noProof/>
                <w:color w:val="000000"/>
                <w:sz w:val="20"/>
              </w:rPr>
            </w:pPr>
            <w:r>
              <w:rPr>
                <w:noProof/>
                <w:color w:val="000000"/>
                <w:sz w:val="20"/>
              </w:rPr>
              <w:t>39</w:t>
            </w:r>
          </w:p>
        </w:tc>
        <w:tc>
          <w:tcPr>
            <w:tcW w:w="1518" w:type="dxa"/>
            <w:tcBorders>
              <w:top w:val="single" w:sz="4" w:space="0" w:color="auto"/>
              <w:left w:val="single" w:sz="4" w:space="0" w:color="auto"/>
              <w:bottom w:val="single" w:sz="4" w:space="0" w:color="auto"/>
              <w:right w:val="single" w:sz="4" w:space="0" w:color="auto"/>
            </w:tcBorders>
            <w:noWrap/>
            <w:vAlign w:val="center"/>
            <w:hideMark/>
          </w:tcPr>
          <w:p w14:paraId="2DFD045D" w14:textId="530DCCDA" w:rsidR="00F20D3B" w:rsidRPr="00964B6E" w:rsidRDefault="00F20D3B" w:rsidP="00F20D3B">
            <w:pPr>
              <w:spacing w:after="0" w:line="240" w:lineRule="auto"/>
              <w:jc w:val="center"/>
              <w:rPr>
                <w:noProof/>
                <w:color w:val="000000"/>
                <w:sz w:val="20"/>
              </w:rPr>
            </w:pPr>
            <w:r>
              <w:rPr>
                <w:noProof/>
                <w:color w:val="000000"/>
                <w:sz w:val="20"/>
              </w:rPr>
              <w:t>1 831 432 232 EUR</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5E9D2366" w14:textId="77777777" w:rsidR="00F20D3B" w:rsidRPr="00964B6E" w:rsidRDefault="00F20D3B" w:rsidP="00F20D3B">
            <w:pPr>
              <w:spacing w:after="0" w:line="240" w:lineRule="auto"/>
              <w:jc w:val="center"/>
              <w:rPr>
                <w:noProof/>
                <w:color w:val="000000"/>
                <w:sz w:val="20"/>
              </w:rPr>
            </w:pPr>
            <w:r>
              <w:rPr>
                <w:noProof/>
                <w:color w:val="000000"/>
                <w:sz w:val="20"/>
              </w:rPr>
              <w:t>61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D63E20F" w14:textId="3E3B1586" w:rsidR="00F20D3B" w:rsidRPr="00964B6E" w:rsidRDefault="00F20D3B" w:rsidP="00F20D3B">
            <w:pPr>
              <w:spacing w:after="0" w:line="240" w:lineRule="auto"/>
              <w:jc w:val="center"/>
              <w:rPr>
                <w:noProof/>
                <w:color w:val="000000"/>
                <w:sz w:val="20"/>
              </w:rPr>
            </w:pPr>
            <w:r>
              <w:rPr>
                <w:noProof/>
                <w:color w:val="000000"/>
                <w:sz w:val="20"/>
              </w:rPr>
              <w:t>3 278 349 963 EUR</w:t>
            </w:r>
          </w:p>
        </w:tc>
        <w:tc>
          <w:tcPr>
            <w:tcW w:w="750" w:type="dxa"/>
            <w:tcBorders>
              <w:top w:val="single" w:sz="4" w:space="0" w:color="auto"/>
              <w:left w:val="single" w:sz="4" w:space="0" w:color="auto"/>
              <w:bottom w:val="single" w:sz="4" w:space="0" w:color="auto"/>
              <w:right w:val="single" w:sz="4" w:space="0" w:color="auto"/>
            </w:tcBorders>
          </w:tcPr>
          <w:p w14:paraId="485D0213" w14:textId="5CAF1420" w:rsidR="00F20D3B" w:rsidRPr="00964B6E" w:rsidRDefault="00F20D3B" w:rsidP="00F20D3B">
            <w:pPr>
              <w:spacing w:after="0" w:line="240" w:lineRule="auto"/>
              <w:jc w:val="center"/>
              <w:rPr>
                <w:noProof/>
                <w:color w:val="000000"/>
                <w:sz w:val="20"/>
              </w:rPr>
            </w:pPr>
            <w:r>
              <w:rPr>
                <w:noProof/>
                <w:color w:val="000000"/>
                <w:sz w:val="20"/>
              </w:rPr>
              <w:t>100</w:t>
            </w:r>
          </w:p>
        </w:tc>
        <w:tc>
          <w:tcPr>
            <w:tcW w:w="1760" w:type="dxa"/>
            <w:tcBorders>
              <w:top w:val="single" w:sz="4" w:space="0" w:color="auto"/>
              <w:left w:val="single" w:sz="4" w:space="0" w:color="auto"/>
              <w:bottom w:val="single" w:sz="4" w:space="0" w:color="auto"/>
              <w:right w:val="single" w:sz="4" w:space="0" w:color="auto"/>
            </w:tcBorders>
            <w:vAlign w:val="center"/>
          </w:tcPr>
          <w:p w14:paraId="7BAB62A5" w14:textId="03C5BCC0" w:rsidR="00F20D3B" w:rsidRPr="00964B6E" w:rsidRDefault="00F20D3B" w:rsidP="006950EA">
            <w:pPr>
              <w:spacing w:after="0" w:line="240" w:lineRule="auto"/>
              <w:jc w:val="right"/>
              <w:rPr>
                <w:noProof/>
                <w:color w:val="000000"/>
                <w:sz w:val="20"/>
              </w:rPr>
            </w:pPr>
            <w:r>
              <w:rPr>
                <w:noProof/>
                <w:color w:val="000000"/>
                <w:sz w:val="20"/>
              </w:rPr>
              <w:t>5 109 782 195 EUR</w:t>
            </w:r>
          </w:p>
        </w:tc>
      </w:tr>
      <w:tr w:rsidR="00F20D3B" w:rsidRPr="00964B6E" w14:paraId="188E38AF" w14:textId="422444DA" w:rsidTr="006950EA">
        <w:trPr>
          <w:trHeight w:val="510"/>
          <w:jc w:val="center"/>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4FEEC8C2" w14:textId="53E6B4BE" w:rsidR="00F20D3B" w:rsidRPr="00964B6E" w:rsidRDefault="00F20D3B" w:rsidP="00F20D3B">
            <w:pPr>
              <w:spacing w:after="0" w:line="240" w:lineRule="auto"/>
              <w:jc w:val="left"/>
              <w:rPr>
                <w:b/>
                <w:bCs/>
                <w:noProof/>
                <w:color w:val="000000"/>
                <w:sz w:val="20"/>
              </w:rPr>
            </w:pPr>
            <w:r>
              <w:rPr>
                <w:b/>
                <w:noProof/>
                <w:color w:val="000000"/>
                <w:sz w:val="20"/>
              </w:rPr>
              <w:t>Съхранение на енергия (СЕ)</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16988B2D" w14:textId="77777777" w:rsidR="00F20D3B" w:rsidRPr="00964B6E" w:rsidRDefault="00F20D3B" w:rsidP="00F20D3B">
            <w:pPr>
              <w:spacing w:after="0" w:line="240" w:lineRule="auto"/>
              <w:jc w:val="center"/>
              <w:rPr>
                <w:noProof/>
                <w:color w:val="000000"/>
                <w:sz w:val="20"/>
              </w:rPr>
            </w:pPr>
            <w:r>
              <w:rPr>
                <w:noProof/>
                <w:color w:val="000000"/>
                <w:sz w:val="20"/>
              </w:rPr>
              <w:t>12</w:t>
            </w:r>
          </w:p>
        </w:tc>
        <w:tc>
          <w:tcPr>
            <w:tcW w:w="1518" w:type="dxa"/>
            <w:tcBorders>
              <w:top w:val="single" w:sz="4" w:space="0" w:color="auto"/>
              <w:left w:val="single" w:sz="4" w:space="0" w:color="auto"/>
              <w:bottom w:val="single" w:sz="4" w:space="0" w:color="auto"/>
              <w:right w:val="single" w:sz="4" w:space="0" w:color="auto"/>
            </w:tcBorders>
            <w:noWrap/>
            <w:vAlign w:val="center"/>
            <w:hideMark/>
          </w:tcPr>
          <w:p w14:paraId="752008DF" w14:textId="7B1C93DE" w:rsidR="00F20D3B" w:rsidRPr="00964B6E" w:rsidRDefault="00F20D3B" w:rsidP="00F20D3B">
            <w:pPr>
              <w:spacing w:after="0" w:line="240" w:lineRule="auto"/>
              <w:jc w:val="center"/>
              <w:rPr>
                <w:noProof/>
                <w:color w:val="000000"/>
                <w:sz w:val="20"/>
              </w:rPr>
            </w:pPr>
            <w:r>
              <w:rPr>
                <w:noProof/>
                <w:color w:val="000000"/>
                <w:sz w:val="20"/>
              </w:rPr>
              <w:t>1 099 273 509 EUR</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690156CF" w14:textId="77777777" w:rsidR="00F20D3B" w:rsidRPr="00964B6E" w:rsidRDefault="00F20D3B" w:rsidP="00F20D3B">
            <w:pPr>
              <w:spacing w:after="0" w:line="240" w:lineRule="auto"/>
              <w:jc w:val="center"/>
              <w:rPr>
                <w:noProof/>
                <w:color w:val="000000"/>
                <w:sz w:val="20"/>
              </w:rPr>
            </w:pPr>
            <w:r>
              <w:rPr>
                <w:noProof/>
                <w:color w:val="000000"/>
                <w:sz w:val="20"/>
              </w:rPr>
              <w:t>16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36C3084" w14:textId="6C771628" w:rsidR="00F20D3B" w:rsidRPr="00964B6E" w:rsidRDefault="00F20D3B" w:rsidP="00F20D3B">
            <w:pPr>
              <w:spacing w:after="0" w:line="240" w:lineRule="auto"/>
              <w:jc w:val="center"/>
              <w:rPr>
                <w:noProof/>
                <w:color w:val="000000"/>
                <w:sz w:val="20"/>
              </w:rPr>
            </w:pPr>
            <w:r>
              <w:rPr>
                <w:noProof/>
                <w:color w:val="000000"/>
                <w:sz w:val="20"/>
              </w:rPr>
              <w:t>374 380 998 EUR</w:t>
            </w:r>
          </w:p>
        </w:tc>
        <w:tc>
          <w:tcPr>
            <w:tcW w:w="750" w:type="dxa"/>
            <w:tcBorders>
              <w:top w:val="single" w:sz="4" w:space="0" w:color="auto"/>
              <w:left w:val="single" w:sz="4" w:space="0" w:color="auto"/>
              <w:bottom w:val="single" w:sz="4" w:space="0" w:color="auto"/>
              <w:right w:val="single" w:sz="4" w:space="0" w:color="auto"/>
            </w:tcBorders>
          </w:tcPr>
          <w:p w14:paraId="38B09DE4" w14:textId="536DBB30" w:rsidR="00F20D3B" w:rsidRPr="00964B6E" w:rsidRDefault="00F20D3B" w:rsidP="00F20D3B">
            <w:pPr>
              <w:spacing w:after="0" w:line="240" w:lineRule="auto"/>
              <w:jc w:val="center"/>
              <w:rPr>
                <w:noProof/>
                <w:color w:val="000000"/>
                <w:sz w:val="20"/>
              </w:rPr>
            </w:pPr>
            <w:r>
              <w:rPr>
                <w:noProof/>
                <w:color w:val="000000"/>
                <w:sz w:val="20"/>
              </w:rPr>
              <w:t>28</w:t>
            </w:r>
          </w:p>
        </w:tc>
        <w:tc>
          <w:tcPr>
            <w:tcW w:w="1760" w:type="dxa"/>
            <w:tcBorders>
              <w:top w:val="single" w:sz="4" w:space="0" w:color="auto"/>
              <w:left w:val="single" w:sz="4" w:space="0" w:color="auto"/>
              <w:bottom w:val="single" w:sz="4" w:space="0" w:color="auto"/>
              <w:right w:val="single" w:sz="4" w:space="0" w:color="auto"/>
            </w:tcBorders>
            <w:vAlign w:val="center"/>
          </w:tcPr>
          <w:p w14:paraId="04722BC7" w14:textId="04BA78CC" w:rsidR="00F20D3B" w:rsidRPr="00964B6E" w:rsidRDefault="00F20D3B" w:rsidP="006950EA">
            <w:pPr>
              <w:spacing w:after="0" w:line="240" w:lineRule="auto"/>
              <w:jc w:val="right"/>
              <w:rPr>
                <w:noProof/>
                <w:color w:val="000000"/>
                <w:sz w:val="20"/>
              </w:rPr>
            </w:pPr>
            <w:r>
              <w:rPr>
                <w:noProof/>
                <w:color w:val="000000"/>
                <w:sz w:val="20"/>
              </w:rPr>
              <w:t>1 473 654 507 EUR</w:t>
            </w:r>
          </w:p>
        </w:tc>
      </w:tr>
      <w:tr w:rsidR="00F20D3B" w:rsidRPr="00964B6E" w14:paraId="1A7CCB20" w14:textId="4F9EECE3" w:rsidTr="006950EA">
        <w:trPr>
          <w:trHeight w:val="510"/>
          <w:jc w:val="center"/>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23214773" w14:textId="00B8CDB4" w:rsidR="00F20D3B" w:rsidRPr="00964B6E" w:rsidRDefault="00F20D3B" w:rsidP="00F20D3B">
            <w:pPr>
              <w:spacing w:after="0" w:line="240" w:lineRule="auto"/>
              <w:jc w:val="left"/>
              <w:rPr>
                <w:b/>
                <w:bCs/>
                <w:noProof/>
                <w:color w:val="000000"/>
                <w:sz w:val="20"/>
              </w:rPr>
            </w:pPr>
            <w:r>
              <w:rPr>
                <w:b/>
                <w:noProof/>
                <w:color w:val="000000"/>
                <w:sz w:val="20"/>
              </w:rPr>
              <w:t>Съхранение на енергия от възобновяеми източници (СЕВИ)</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4EBED141" w14:textId="77777777" w:rsidR="00F20D3B" w:rsidRPr="00964B6E" w:rsidRDefault="00F20D3B" w:rsidP="00F20D3B">
            <w:pPr>
              <w:spacing w:after="0" w:line="240" w:lineRule="auto"/>
              <w:jc w:val="center"/>
              <w:rPr>
                <w:noProof/>
                <w:color w:val="000000"/>
                <w:sz w:val="20"/>
              </w:rPr>
            </w:pPr>
            <w:r>
              <w:rPr>
                <w:noProof/>
                <w:color w:val="000000"/>
                <w:sz w:val="20"/>
              </w:rPr>
              <w:t>18</w:t>
            </w:r>
          </w:p>
        </w:tc>
        <w:tc>
          <w:tcPr>
            <w:tcW w:w="1518" w:type="dxa"/>
            <w:tcBorders>
              <w:top w:val="single" w:sz="4" w:space="0" w:color="auto"/>
              <w:left w:val="single" w:sz="4" w:space="0" w:color="auto"/>
              <w:bottom w:val="single" w:sz="4" w:space="0" w:color="auto"/>
              <w:right w:val="single" w:sz="4" w:space="0" w:color="auto"/>
            </w:tcBorders>
            <w:noWrap/>
            <w:vAlign w:val="center"/>
            <w:hideMark/>
          </w:tcPr>
          <w:p w14:paraId="096E9996" w14:textId="2AAE0225" w:rsidR="00F20D3B" w:rsidRPr="00964B6E" w:rsidRDefault="00F20D3B" w:rsidP="00F20D3B">
            <w:pPr>
              <w:spacing w:after="0" w:line="240" w:lineRule="auto"/>
              <w:jc w:val="center"/>
              <w:rPr>
                <w:noProof/>
                <w:color w:val="000000"/>
                <w:sz w:val="20"/>
              </w:rPr>
            </w:pPr>
            <w:r>
              <w:rPr>
                <w:noProof/>
                <w:color w:val="000000"/>
                <w:sz w:val="20"/>
              </w:rPr>
              <w:t>524 228 263 EUR</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7306C357" w14:textId="77777777" w:rsidR="00F20D3B" w:rsidRPr="00964B6E" w:rsidRDefault="00F20D3B" w:rsidP="00F20D3B">
            <w:pPr>
              <w:spacing w:after="0" w:line="240" w:lineRule="auto"/>
              <w:jc w:val="center"/>
              <w:rPr>
                <w:noProof/>
                <w:color w:val="000000"/>
                <w:sz w:val="20"/>
              </w:rPr>
            </w:pPr>
            <w:r>
              <w:rPr>
                <w:noProof/>
                <w:color w:val="000000"/>
                <w:sz w:val="20"/>
              </w:rPr>
              <w:t>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580D51E" w14:textId="28A01F0D" w:rsidR="00F20D3B" w:rsidRPr="00964B6E" w:rsidRDefault="00F20D3B" w:rsidP="00F20D3B">
            <w:pPr>
              <w:spacing w:after="0" w:line="240" w:lineRule="auto"/>
              <w:jc w:val="center"/>
              <w:rPr>
                <w:noProof/>
                <w:color w:val="000000"/>
                <w:sz w:val="20"/>
              </w:rPr>
            </w:pPr>
            <w:r>
              <w:rPr>
                <w:noProof/>
                <w:color w:val="000000"/>
                <w:sz w:val="20"/>
              </w:rPr>
              <w:t>799 278 346 EUR</w:t>
            </w:r>
          </w:p>
        </w:tc>
        <w:tc>
          <w:tcPr>
            <w:tcW w:w="750" w:type="dxa"/>
            <w:tcBorders>
              <w:top w:val="single" w:sz="4" w:space="0" w:color="auto"/>
              <w:left w:val="single" w:sz="4" w:space="0" w:color="auto"/>
              <w:bottom w:val="single" w:sz="4" w:space="0" w:color="auto"/>
              <w:right w:val="single" w:sz="4" w:space="0" w:color="auto"/>
            </w:tcBorders>
          </w:tcPr>
          <w:p w14:paraId="37D96C38" w14:textId="13B68A00" w:rsidR="00F20D3B" w:rsidRPr="00964B6E" w:rsidRDefault="00F20D3B" w:rsidP="00F20D3B">
            <w:pPr>
              <w:spacing w:after="0" w:line="240" w:lineRule="auto"/>
              <w:jc w:val="center"/>
              <w:rPr>
                <w:noProof/>
                <w:color w:val="000000"/>
                <w:sz w:val="20"/>
              </w:rPr>
            </w:pPr>
            <w:r>
              <w:rPr>
                <w:noProof/>
                <w:color w:val="000000"/>
                <w:sz w:val="20"/>
              </w:rPr>
              <w:t>43</w:t>
            </w:r>
          </w:p>
        </w:tc>
        <w:tc>
          <w:tcPr>
            <w:tcW w:w="1760" w:type="dxa"/>
            <w:tcBorders>
              <w:top w:val="single" w:sz="4" w:space="0" w:color="auto"/>
              <w:left w:val="single" w:sz="4" w:space="0" w:color="auto"/>
              <w:bottom w:val="single" w:sz="4" w:space="0" w:color="auto"/>
              <w:right w:val="single" w:sz="4" w:space="0" w:color="auto"/>
            </w:tcBorders>
            <w:vAlign w:val="center"/>
          </w:tcPr>
          <w:p w14:paraId="1EF295BC" w14:textId="097A01BD" w:rsidR="00F20D3B" w:rsidRPr="00964B6E" w:rsidRDefault="00F20D3B" w:rsidP="006950EA">
            <w:pPr>
              <w:spacing w:after="0" w:line="240" w:lineRule="auto"/>
              <w:jc w:val="right"/>
              <w:rPr>
                <w:noProof/>
                <w:color w:val="000000"/>
                <w:sz w:val="20"/>
              </w:rPr>
            </w:pPr>
            <w:r>
              <w:rPr>
                <w:noProof/>
                <w:color w:val="000000"/>
                <w:sz w:val="20"/>
              </w:rPr>
              <w:t>1 323 506 609EUR</w:t>
            </w:r>
          </w:p>
        </w:tc>
      </w:tr>
      <w:tr w:rsidR="00F20D3B" w:rsidRPr="00964B6E" w14:paraId="3EE9DF89" w14:textId="069212C2" w:rsidTr="006950EA">
        <w:trPr>
          <w:trHeight w:val="510"/>
          <w:jc w:val="center"/>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40893B54" w14:textId="77777777" w:rsidR="00F20D3B" w:rsidRPr="00964B6E" w:rsidRDefault="00F20D3B" w:rsidP="00F20D3B">
            <w:pPr>
              <w:spacing w:after="0" w:line="240" w:lineRule="auto"/>
              <w:jc w:val="left"/>
              <w:rPr>
                <w:b/>
                <w:bCs/>
                <w:noProof/>
                <w:color w:val="000000"/>
                <w:sz w:val="20"/>
              </w:rPr>
            </w:pPr>
            <w:r>
              <w:rPr>
                <w:b/>
                <w:noProof/>
                <w:color w:val="000000"/>
                <w:sz w:val="20"/>
              </w:rPr>
              <w:t>Мобилност (МОБ)</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6BB5E1E6" w14:textId="77777777" w:rsidR="00F20D3B" w:rsidRPr="00964B6E" w:rsidRDefault="00F20D3B" w:rsidP="00F20D3B">
            <w:pPr>
              <w:spacing w:after="0" w:line="240" w:lineRule="auto"/>
              <w:jc w:val="center"/>
              <w:rPr>
                <w:noProof/>
                <w:color w:val="000000"/>
                <w:sz w:val="20"/>
              </w:rPr>
            </w:pPr>
            <w:r>
              <w:rPr>
                <w:noProof/>
                <w:color w:val="000000"/>
                <w:sz w:val="20"/>
              </w:rPr>
              <w:t>8</w:t>
            </w:r>
          </w:p>
        </w:tc>
        <w:tc>
          <w:tcPr>
            <w:tcW w:w="1518" w:type="dxa"/>
            <w:tcBorders>
              <w:top w:val="single" w:sz="4" w:space="0" w:color="auto"/>
              <w:left w:val="single" w:sz="4" w:space="0" w:color="auto"/>
              <w:bottom w:val="single" w:sz="4" w:space="0" w:color="auto"/>
              <w:right w:val="single" w:sz="4" w:space="0" w:color="auto"/>
            </w:tcBorders>
            <w:noWrap/>
            <w:vAlign w:val="center"/>
            <w:hideMark/>
          </w:tcPr>
          <w:p w14:paraId="3BA83355" w14:textId="45DA85C6" w:rsidR="00F20D3B" w:rsidRPr="00964B6E" w:rsidRDefault="00F20D3B" w:rsidP="00F20D3B">
            <w:pPr>
              <w:spacing w:after="0" w:line="240" w:lineRule="auto"/>
              <w:jc w:val="center"/>
              <w:rPr>
                <w:noProof/>
                <w:color w:val="000000"/>
                <w:sz w:val="20"/>
              </w:rPr>
            </w:pPr>
            <w:r>
              <w:rPr>
                <w:noProof/>
                <w:color w:val="000000"/>
                <w:sz w:val="20"/>
              </w:rPr>
              <w:t>377 956 916 EUR</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3EC62A9B" w14:textId="77777777" w:rsidR="00F20D3B" w:rsidRPr="00964B6E" w:rsidRDefault="00F20D3B" w:rsidP="00F20D3B">
            <w:pPr>
              <w:spacing w:after="0" w:line="240" w:lineRule="auto"/>
              <w:jc w:val="center"/>
              <w:rPr>
                <w:noProof/>
                <w:color w:val="000000"/>
                <w:sz w:val="20"/>
              </w:rPr>
            </w:pPr>
            <w:r>
              <w:rPr>
                <w:noProof/>
                <w:color w:val="000000"/>
                <w:sz w:val="20"/>
              </w:rPr>
              <w:t>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35D5745" w14:textId="2FD3841D" w:rsidR="00F20D3B" w:rsidRPr="00964B6E" w:rsidRDefault="00F20D3B" w:rsidP="00F20D3B">
            <w:pPr>
              <w:spacing w:after="0" w:line="240" w:lineRule="auto"/>
              <w:jc w:val="center"/>
              <w:rPr>
                <w:noProof/>
                <w:color w:val="000000"/>
                <w:sz w:val="20"/>
              </w:rPr>
            </w:pPr>
            <w:r>
              <w:rPr>
                <w:noProof/>
                <w:color w:val="000000"/>
                <w:sz w:val="20"/>
              </w:rPr>
              <w:t>— EUR</w:t>
            </w:r>
          </w:p>
        </w:tc>
        <w:tc>
          <w:tcPr>
            <w:tcW w:w="750" w:type="dxa"/>
            <w:tcBorders>
              <w:top w:val="single" w:sz="4" w:space="0" w:color="auto"/>
              <w:left w:val="single" w:sz="4" w:space="0" w:color="auto"/>
              <w:bottom w:val="single" w:sz="4" w:space="0" w:color="auto"/>
              <w:right w:val="single" w:sz="4" w:space="0" w:color="auto"/>
            </w:tcBorders>
          </w:tcPr>
          <w:p w14:paraId="5B028CC4" w14:textId="3075175B" w:rsidR="00F20D3B" w:rsidRPr="00964B6E" w:rsidRDefault="00F20D3B" w:rsidP="00F20D3B">
            <w:pPr>
              <w:spacing w:after="0" w:line="240" w:lineRule="auto"/>
              <w:jc w:val="center"/>
              <w:rPr>
                <w:noProof/>
                <w:color w:val="000000"/>
                <w:sz w:val="20"/>
              </w:rPr>
            </w:pPr>
            <w:r>
              <w:rPr>
                <w:noProof/>
                <w:color w:val="000000"/>
                <w:sz w:val="20"/>
              </w:rPr>
              <w:t>8</w:t>
            </w:r>
          </w:p>
        </w:tc>
        <w:tc>
          <w:tcPr>
            <w:tcW w:w="1760" w:type="dxa"/>
            <w:tcBorders>
              <w:top w:val="single" w:sz="4" w:space="0" w:color="auto"/>
              <w:left w:val="single" w:sz="4" w:space="0" w:color="auto"/>
              <w:bottom w:val="single" w:sz="4" w:space="0" w:color="auto"/>
              <w:right w:val="single" w:sz="4" w:space="0" w:color="auto"/>
            </w:tcBorders>
            <w:vAlign w:val="center"/>
          </w:tcPr>
          <w:p w14:paraId="2CE658DF" w14:textId="239FB759" w:rsidR="00F20D3B" w:rsidRPr="00964B6E" w:rsidRDefault="00F20D3B" w:rsidP="006950EA">
            <w:pPr>
              <w:spacing w:after="0" w:line="240" w:lineRule="auto"/>
              <w:jc w:val="right"/>
              <w:rPr>
                <w:noProof/>
                <w:color w:val="000000"/>
                <w:sz w:val="20"/>
              </w:rPr>
            </w:pPr>
            <w:r>
              <w:rPr>
                <w:noProof/>
                <w:color w:val="000000"/>
                <w:sz w:val="20"/>
              </w:rPr>
              <w:t>377 956 916 EUR</w:t>
            </w:r>
          </w:p>
        </w:tc>
      </w:tr>
      <w:tr w:rsidR="00F20D3B" w:rsidRPr="00964B6E" w14:paraId="0D191A5F" w14:textId="03B8B380" w:rsidTr="006950EA">
        <w:trPr>
          <w:trHeight w:val="510"/>
          <w:jc w:val="center"/>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2D317312" w14:textId="77777777" w:rsidR="00F20D3B" w:rsidRPr="00964B6E" w:rsidRDefault="00F20D3B" w:rsidP="00F20D3B">
            <w:pPr>
              <w:spacing w:after="0" w:line="240" w:lineRule="auto"/>
              <w:jc w:val="left"/>
              <w:rPr>
                <w:b/>
                <w:bCs/>
                <w:noProof/>
                <w:color w:val="000000"/>
                <w:sz w:val="20"/>
              </w:rPr>
            </w:pPr>
            <w:r>
              <w:rPr>
                <w:b/>
                <w:noProof/>
                <w:color w:val="000000"/>
                <w:sz w:val="20"/>
              </w:rPr>
              <w:t>Общо</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5D184D62" w14:textId="77777777" w:rsidR="00F20D3B" w:rsidRPr="00964B6E" w:rsidRDefault="00F20D3B" w:rsidP="00F20D3B">
            <w:pPr>
              <w:spacing w:after="0" w:line="240" w:lineRule="auto"/>
              <w:jc w:val="center"/>
              <w:rPr>
                <w:b/>
                <w:bCs/>
                <w:noProof/>
                <w:color w:val="000000"/>
                <w:sz w:val="20"/>
              </w:rPr>
            </w:pPr>
            <w:r>
              <w:rPr>
                <w:b/>
                <w:noProof/>
                <w:color w:val="000000"/>
                <w:sz w:val="20"/>
              </w:rPr>
              <w:t>85</w:t>
            </w:r>
          </w:p>
        </w:tc>
        <w:tc>
          <w:tcPr>
            <w:tcW w:w="1518" w:type="dxa"/>
            <w:tcBorders>
              <w:top w:val="single" w:sz="4" w:space="0" w:color="auto"/>
              <w:left w:val="single" w:sz="4" w:space="0" w:color="auto"/>
              <w:bottom w:val="single" w:sz="4" w:space="0" w:color="auto"/>
              <w:right w:val="single" w:sz="4" w:space="0" w:color="auto"/>
            </w:tcBorders>
            <w:noWrap/>
            <w:vAlign w:val="center"/>
            <w:hideMark/>
          </w:tcPr>
          <w:p w14:paraId="085D8C43" w14:textId="321ED29D" w:rsidR="00F20D3B" w:rsidRPr="00964B6E" w:rsidRDefault="00F20D3B" w:rsidP="00F20D3B">
            <w:pPr>
              <w:spacing w:after="0" w:line="240" w:lineRule="auto"/>
              <w:jc w:val="center"/>
              <w:rPr>
                <w:b/>
                <w:bCs/>
                <w:noProof/>
                <w:color w:val="000000"/>
                <w:sz w:val="20"/>
              </w:rPr>
            </w:pPr>
            <w:r>
              <w:rPr>
                <w:b/>
                <w:noProof/>
                <w:color w:val="000000"/>
                <w:sz w:val="20"/>
              </w:rPr>
              <w:t>4 769 051 328 EUR</w:t>
            </w:r>
          </w:p>
        </w:tc>
        <w:tc>
          <w:tcPr>
            <w:tcW w:w="750" w:type="dxa"/>
            <w:tcBorders>
              <w:top w:val="single" w:sz="4" w:space="0" w:color="auto"/>
              <w:left w:val="single" w:sz="4" w:space="0" w:color="auto"/>
              <w:bottom w:val="single" w:sz="4" w:space="0" w:color="auto"/>
              <w:right w:val="single" w:sz="4" w:space="0" w:color="auto"/>
            </w:tcBorders>
            <w:noWrap/>
            <w:vAlign w:val="center"/>
            <w:hideMark/>
          </w:tcPr>
          <w:p w14:paraId="07DA89C9" w14:textId="77777777" w:rsidR="00F20D3B" w:rsidRPr="00964B6E" w:rsidRDefault="00F20D3B" w:rsidP="00F20D3B">
            <w:pPr>
              <w:spacing w:after="0" w:line="240" w:lineRule="auto"/>
              <w:jc w:val="center"/>
              <w:rPr>
                <w:b/>
                <w:bCs/>
                <w:noProof/>
                <w:color w:val="000000"/>
                <w:sz w:val="20"/>
              </w:rPr>
            </w:pPr>
            <w:r>
              <w:rPr>
                <w:b/>
                <w:noProof/>
                <w:color w:val="000000"/>
                <w:sz w:val="20"/>
              </w:rPr>
              <w:t>114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5E49445" w14:textId="6483DF40" w:rsidR="00F20D3B" w:rsidRPr="00964B6E" w:rsidRDefault="00F20D3B" w:rsidP="00F20D3B">
            <w:pPr>
              <w:spacing w:after="0" w:line="240" w:lineRule="auto"/>
              <w:jc w:val="center"/>
              <w:rPr>
                <w:b/>
                <w:bCs/>
                <w:noProof/>
                <w:color w:val="000000"/>
                <w:sz w:val="20"/>
              </w:rPr>
            </w:pPr>
            <w:r>
              <w:rPr>
                <w:b/>
                <w:noProof/>
                <w:color w:val="000000"/>
                <w:sz w:val="20"/>
              </w:rPr>
              <w:t>6 439 729 680 EUR</w:t>
            </w:r>
          </w:p>
        </w:tc>
        <w:tc>
          <w:tcPr>
            <w:tcW w:w="750" w:type="dxa"/>
            <w:tcBorders>
              <w:top w:val="single" w:sz="4" w:space="0" w:color="auto"/>
              <w:left w:val="single" w:sz="4" w:space="0" w:color="auto"/>
              <w:bottom w:val="single" w:sz="4" w:space="0" w:color="auto"/>
              <w:right w:val="single" w:sz="4" w:space="0" w:color="auto"/>
            </w:tcBorders>
          </w:tcPr>
          <w:p w14:paraId="2174EB08" w14:textId="13765237" w:rsidR="00F20D3B" w:rsidRPr="00964B6E" w:rsidRDefault="00F20D3B" w:rsidP="00F20D3B">
            <w:pPr>
              <w:spacing w:after="0" w:line="240" w:lineRule="auto"/>
              <w:jc w:val="center"/>
              <w:rPr>
                <w:b/>
                <w:bCs/>
                <w:noProof/>
                <w:color w:val="000000"/>
                <w:sz w:val="20"/>
              </w:rPr>
            </w:pPr>
            <w:r>
              <w:rPr>
                <w:b/>
                <w:noProof/>
                <w:color w:val="000000"/>
                <w:sz w:val="20"/>
              </w:rPr>
              <w:t>199</w:t>
            </w:r>
          </w:p>
        </w:tc>
        <w:tc>
          <w:tcPr>
            <w:tcW w:w="1760" w:type="dxa"/>
            <w:tcBorders>
              <w:top w:val="single" w:sz="4" w:space="0" w:color="auto"/>
              <w:left w:val="single" w:sz="4" w:space="0" w:color="auto"/>
              <w:bottom w:val="single" w:sz="4" w:space="0" w:color="auto"/>
              <w:right w:val="single" w:sz="4" w:space="0" w:color="auto"/>
            </w:tcBorders>
            <w:vAlign w:val="center"/>
          </w:tcPr>
          <w:p w14:paraId="5FCADDCF" w14:textId="210622F0" w:rsidR="00F20D3B" w:rsidRPr="00964B6E" w:rsidRDefault="00F20D3B" w:rsidP="006950EA">
            <w:pPr>
              <w:spacing w:after="0" w:line="240" w:lineRule="auto"/>
              <w:jc w:val="right"/>
              <w:rPr>
                <w:b/>
                <w:bCs/>
                <w:noProof/>
                <w:color w:val="000000"/>
                <w:sz w:val="20"/>
              </w:rPr>
            </w:pPr>
            <w:r>
              <w:rPr>
                <w:b/>
                <w:noProof/>
                <w:color w:val="000000"/>
                <w:sz w:val="20"/>
              </w:rPr>
              <w:t>11 208 781 008 EUR</w:t>
            </w:r>
          </w:p>
        </w:tc>
      </w:tr>
    </w:tbl>
    <w:p w14:paraId="479602B5" w14:textId="07AD6E86" w:rsidR="00461E1C" w:rsidRPr="00964B6E" w:rsidRDefault="00461E1C" w:rsidP="00461E1C">
      <w:pPr>
        <w:rPr>
          <w:noProof/>
        </w:rPr>
      </w:pPr>
    </w:p>
    <w:p w14:paraId="7E663493" w14:textId="30CAD8D6" w:rsidR="005D4FF6" w:rsidRPr="00964B6E" w:rsidRDefault="005413D1" w:rsidP="005D4FF6">
      <w:pPr>
        <w:pStyle w:val="Heading1"/>
        <w:rPr>
          <w:noProof/>
        </w:rPr>
      </w:pPr>
      <w:bookmarkStart w:id="3" w:name="_Toc215482195"/>
      <w:r>
        <w:rPr>
          <w:noProof/>
        </w:rPr>
        <w:t>Ключови етапи за изпълнение за 2024 г.</w:t>
      </w:r>
      <w:bookmarkEnd w:id="3"/>
    </w:p>
    <w:p w14:paraId="4DA4F959" w14:textId="30218294" w:rsidR="00E0669F" w:rsidRPr="00964B6E" w:rsidRDefault="006D02BE" w:rsidP="00C92B7C">
      <w:pPr>
        <w:pStyle w:val="Heading2"/>
        <w:rPr>
          <w:noProof/>
        </w:rPr>
      </w:pPr>
      <w:bookmarkStart w:id="4" w:name="_Toc215482196"/>
      <w:r>
        <w:rPr>
          <w:noProof/>
        </w:rPr>
        <w:t>Покани за безвъзмездни средства</w:t>
      </w:r>
      <w:bookmarkEnd w:id="4"/>
    </w:p>
    <w:p w14:paraId="3A94919D" w14:textId="5D4C0DC8" w:rsidR="00244311" w:rsidRPr="00964B6E" w:rsidRDefault="00C707BC" w:rsidP="00244311">
      <w:pPr>
        <w:pStyle w:val="Heading3"/>
        <w:rPr>
          <w:noProof/>
        </w:rPr>
      </w:pPr>
      <w:bookmarkStart w:id="5" w:name="_Toc215482197"/>
      <w:r>
        <w:rPr>
          <w:noProof/>
        </w:rPr>
        <w:t>Резултати от поканата ФИ23 ТННЕ</w:t>
      </w:r>
      <w:bookmarkEnd w:id="5"/>
    </w:p>
    <w:p w14:paraId="3FF8C0F7" w14:textId="2E16EBF4" w:rsidR="00791BC4" w:rsidRPr="00964B6E" w:rsidRDefault="3D6626D1" w:rsidP="00791BC4">
      <w:pPr>
        <w:rPr>
          <w:noProof/>
        </w:rPr>
      </w:pPr>
      <w:r>
        <w:rPr>
          <w:noProof/>
        </w:rPr>
        <w:t xml:space="preserve">На 12 април 2024 г. генерална дирекция „Действия по климата“ (DG CLIMA) обяви, че са подадени </w:t>
      </w:r>
      <w:hyperlink r:id="rId36" w:history="1">
        <w:r>
          <w:rPr>
            <w:rStyle w:val="Hyperlink"/>
            <w:noProof/>
          </w:rPr>
          <w:t>337 предложения от 27 държави</w:t>
        </w:r>
      </w:hyperlink>
      <w:r>
        <w:rPr>
          <w:noProof/>
        </w:rPr>
        <w:t xml:space="preserve"> в рамките на поканата на Фонда за иновации за представяне на предложения за 2023 г. за технологии с нулеви нетни емисии (покана ФИ23 ТННЕ) (</w:t>
      </w:r>
      <w:r>
        <w:rPr>
          <w:rStyle w:val="FootnoteReference"/>
          <w:noProof/>
        </w:rPr>
        <w:footnoteReference w:id="6"/>
      </w:r>
      <w:r>
        <w:rPr>
          <w:noProof/>
        </w:rPr>
        <w:t>). Информационното бюро беше отворено по време на периода за подаване на предложения и отговори на 1 106 въпроса от кандидатите.</w:t>
      </w:r>
    </w:p>
    <w:p w14:paraId="03E808C4" w14:textId="0787A8E2" w:rsidR="00BA54BA" w:rsidRPr="00964B6E" w:rsidRDefault="00302F1F" w:rsidP="00791BC4">
      <w:pPr>
        <w:rPr>
          <w:noProof/>
        </w:rPr>
      </w:pPr>
      <w:r>
        <w:rPr>
          <w:noProof/>
        </w:rPr>
        <w:t>Предложенията, които имат за цел да намалят емисиите на парникови газове с близо 1,4 милиарда тона CO</w:t>
      </w:r>
      <w:r>
        <w:rPr>
          <w:noProof/>
          <w:vertAlign w:val="subscript"/>
        </w:rPr>
        <w:t>2</w:t>
      </w:r>
      <w:r>
        <w:rPr>
          <w:noProof/>
        </w:rPr>
        <w:t>-екв. през първите 10 години от тяхното действие, са на обща стойност 24,6 милиарда евро (повече от шест пъти над наличния бюджет). Безпрецедентното ниво на участие в поканата за ФИ23 потвърждава ключовата роля, която Фондът играе в подкрепата на водещите европейски предприятия в областта на чистите технологии и в разширяването на производствения капацитет на ЕС за технологии с нулеви нетни емисии.</w:t>
      </w:r>
    </w:p>
    <w:p w14:paraId="0BC7860C" w14:textId="3927AC5B" w:rsidR="005C0499" w:rsidRPr="00964B6E" w:rsidRDefault="005C0499" w:rsidP="005C0499">
      <w:pPr>
        <w:rPr>
          <w:noProof/>
        </w:rPr>
      </w:pPr>
      <w:r>
        <w:rPr>
          <w:noProof/>
        </w:rPr>
        <w:t xml:space="preserve">Броят на получените предложения за всяка допустима </w:t>
      </w:r>
      <w:r>
        <w:rPr>
          <w:b/>
          <w:noProof/>
        </w:rPr>
        <w:t>тема</w:t>
      </w:r>
      <w:r>
        <w:rPr>
          <w:noProof/>
        </w:rPr>
        <w:t xml:space="preserve"> е различен:</w:t>
      </w:r>
    </w:p>
    <w:p w14:paraId="006E2ABB" w14:textId="77777777" w:rsidR="005C0499" w:rsidRPr="00964B6E" w:rsidRDefault="005C0499" w:rsidP="005C0499">
      <w:pPr>
        <w:pStyle w:val="ListParagraph"/>
        <w:numPr>
          <w:ilvl w:val="0"/>
          <w:numId w:val="31"/>
        </w:numPr>
        <w:rPr>
          <w:noProof/>
        </w:rPr>
      </w:pPr>
      <w:r>
        <w:rPr>
          <w:noProof/>
        </w:rPr>
        <w:t>137 за общи проекти с голям мащаб,</w:t>
      </w:r>
    </w:p>
    <w:p w14:paraId="1D69F1C9" w14:textId="68EFB158" w:rsidR="005C0499" w:rsidRPr="00964B6E" w:rsidRDefault="005C0499" w:rsidP="005C0499">
      <w:pPr>
        <w:pStyle w:val="ListParagraph"/>
        <w:numPr>
          <w:ilvl w:val="0"/>
          <w:numId w:val="31"/>
        </w:numPr>
        <w:rPr>
          <w:noProof/>
        </w:rPr>
      </w:pPr>
      <w:r>
        <w:rPr>
          <w:noProof/>
        </w:rPr>
        <w:t>56 за производство на чисти технологии,</w:t>
      </w:r>
    </w:p>
    <w:p w14:paraId="046D5D71" w14:textId="7A6694C7" w:rsidR="005C0499" w:rsidRPr="00964B6E" w:rsidRDefault="005C0499" w:rsidP="005C0499">
      <w:pPr>
        <w:pStyle w:val="ListParagraph"/>
        <w:numPr>
          <w:ilvl w:val="0"/>
          <w:numId w:val="31"/>
        </w:numPr>
        <w:rPr>
          <w:noProof/>
        </w:rPr>
      </w:pPr>
      <w:r>
        <w:rPr>
          <w:noProof/>
        </w:rPr>
        <w:t>51 за общи проекти със среден мащаб и пилотни проекти,</w:t>
      </w:r>
    </w:p>
    <w:p w14:paraId="72A65BDD" w14:textId="77777777" w:rsidR="005C0499" w:rsidRPr="00964B6E" w:rsidRDefault="005C0499" w:rsidP="005C0499">
      <w:pPr>
        <w:pStyle w:val="ListParagraph"/>
        <w:numPr>
          <w:ilvl w:val="0"/>
          <w:numId w:val="31"/>
        </w:numPr>
        <w:rPr>
          <w:noProof/>
        </w:rPr>
      </w:pPr>
      <w:r>
        <w:rPr>
          <w:noProof/>
        </w:rPr>
        <w:t>42 за общи проекти с малък мащаб.</w:t>
      </w:r>
    </w:p>
    <w:p w14:paraId="0492B8C8" w14:textId="6AC0B969" w:rsidR="005C0499" w:rsidRPr="00964B6E" w:rsidRDefault="002B4D02" w:rsidP="00791BC4">
      <w:pPr>
        <w:rPr>
          <w:noProof/>
        </w:rPr>
      </w:pPr>
      <w:r>
        <w:rPr>
          <w:noProof/>
        </w:rPr>
        <w:t>В областта на производството на чисти технологии повечето предложения се отнасяха до производството на компоненти за производство на водород. Останалите предложения се отнасяха до веригата на стойността на акумулаторните батерии и за енергия от възобновяеми източници: слънчева, вятърна енергия и термопомпи.</w:t>
      </w:r>
    </w:p>
    <w:p w14:paraId="3F6D84A4" w14:textId="58A0BD48" w:rsidR="00E55556" w:rsidRPr="00964B6E" w:rsidRDefault="00E55556" w:rsidP="00791BC4">
      <w:pPr>
        <w:rPr>
          <w:noProof/>
        </w:rPr>
      </w:pPr>
      <w:r>
        <w:rPr>
          <w:noProof/>
        </w:rPr>
        <w:t>В категорията „мобилност“ (</w:t>
      </w:r>
      <w:r>
        <w:rPr>
          <w:rStyle w:val="FootnoteReference"/>
          <w:noProof/>
        </w:rPr>
        <w:footnoteReference w:id="7"/>
      </w:r>
      <w:r>
        <w:rPr>
          <w:noProof/>
        </w:rPr>
        <w:t>) (10 % от броя на получените предложения) над 70 % от предложенията се отнасяха за морския сектор.</w:t>
      </w:r>
    </w:p>
    <w:p w14:paraId="197727EF" w14:textId="3F2489B2" w:rsidR="00157377" w:rsidRPr="00964B6E" w:rsidRDefault="73E647C0" w:rsidP="00157377">
      <w:pPr>
        <w:rPr>
          <w:noProof/>
        </w:rPr>
      </w:pPr>
      <w:r>
        <w:rPr>
          <w:noProof/>
        </w:rPr>
        <w:t xml:space="preserve">На 23 октомври 2024 г., в края на процедурата по оценяване, ГД „Действия по климата“ обяви, че инвестира близо </w:t>
      </w:r>
      <w:hyperlink r:id="rId37" w:history="1">
        <w:r>
          <w:rPr>
            <w:rStyle w:val="Hyperlink"/>
            <w:noProof/>
          </w:rPr>
          <w:t>4,8 милиарда евро</w:t>
        </w:r>
      </w:hyperlink>
      <w:r>
        <w:rPr>
          <w:noProof/>
        </w:rPr>
        <w:t xml:space="preserve"> от приходите от търговията с емисии в 85 проекта, избрани от 18 държави (</w:t>
      </w:r>
      <w:r>
        <w:rPr>
          <w:rStyle w:val="FootnoteReference"/>
          <w:noProof/>
        </w:rPr>
        <w:footnoteReference w:id="8"/>
      </w:r>
      <w:r>
        <w:rPr>
          <w:noProof/>
        </w:rPr>
        <w:t>). Тези проекти следва да започнат да се изпълняват преди 2030 г. и биха могли да намалят емисиите на парникови газове с около 476 милиона тона CO</w:t>
      </w:r>
      <w:r>
        <w:rPr>
          <w:noProof/>
          <w:vertAlign w:val="subscript"/>
        </w:rPr>
        <w:t>2</w:t>
      </w:r>
      <w:r>
        <w:rPr>
          <w:noProof/>
        </w:rPr>
        <w:t>-екв. през първите 10 години от експлоатацията си.</w:t>
      </w:r>
    </w:p>
    <w:p w14:paraId="7040E0BE" w14:textId="31114ADF" w:rsidR="00157377" w:rsidRPr="00964B6E" w:rsidRDefault="00157377" w:rsidP="00157377">
      <w:pPr>
        <w:rPr>
          <w:noProof/>
        </w:rPr>
      </w:pPr>
      <w:r>
        <w:rPr>
          <w:noProof/>
        </w:rPr>
        <w:t xml:space="preserve">Броят на избраните проекти за всяка допустима </w:t>
      </w:r>
      <w:r>
        <w:rPr>
          <w:b/>
          <w:noProof/>
        </w:rPr>
        <w:t>категория</w:t>
      </w:r>
      <w:r>
        <w:rPr>
          <w:noProof/>
        </w:rPr>
        <w:t xml:space="preserve"> беше различен:</w:t>
      </w:r>
    </w:p>
    <w:p w14:paraId="03FAC440" w14:textId="69C8A543" w:rsidR="00157377" w:rsidRPr="00964B6E" w:rsidRDefault="007A0F2C" w:rsidP="00157377">
      <w:pPr>
        <w:pStyle w:val="ListParagraph"/>
        <w:numPr>
          <w:ilvl w:val="0"/>
          <w:numId w:val="32"/>
        </w:numPr>
        <w:rPr>
          <w:noProof/>
        </w:rPr>
      </w:pPr>
      <w:r>
        <w:rPr>
          <w:noProof/>
        </w:rPr>
        <w:t>47 за енергоемки промишлени отрасли, включително улавяне, използване и съхранение на въглероден диоксид (от 204 получени предложения),</w:t>
      </w:r>
    </w:p>
    <w:p w14:paraId="46477C07" w14:textId="00222828" w:rsidR="00157377" w:rsidRPr="00964B6E" w:rsidRDefault="008D26E4" w:rsidP="00157377">
      <w:pPr>
        <w:pStyle w:val="ListParagraph"/>
        <w:numPr>
          <w:ilvl w:val="0"/>
          <w:numId w:val="32"/>
        </w:numPr>
        <w:rPr>
          <w:noProof/>
        </w:rPr>
      </w:pPr>
      <w:r>
        <w:rPr>
          <w:noProof/>
        </w:rPr>
        <w:t>18 за енергия от възобновяеми източници (от 65),</w:t>
      </w:r>
    </w:p>
    <w:p w14:paraId="3F6DFBE6" w14:textId="0B15FE62" w:rsidR="00157377" w:rsidRPr="00964B6E" w:rsidRDefault="008D26E4" w:rsidP="00157377">
      <w:pPr>
        <w:pStyle w:val="ListParagraph"/>
        <w:numPr>
          <w:ilvl w:val="0"/>
          <w:numId w:val="32"/>
        </w:numPr>
        <w:rPr>
          <w:noProof/>
        </w:rPr>
      </w:pPr>
      <w:r>
        <w:rPr>
          <w:noProof/>
        </w:rPr>
        <w:t>12 за съхранение на енергия (от 35),</w:t>
      </w:r>
    </w:p>
    <w:p w14:paraId="79657AD9" w14:textId="5178F6BF" w:rsidR="00157377" w:rsidRPr="00964B6E" w:rsidRDefault="00965790" w:rsidP="00157377">
      <w:pPr>
        <w:pStyle w:val="ListParagraph"/>
        <w:numPr>
          <w:ilvl w:val="0"/>
          <w:numId w:val="32"/>
        </w:numPr>
        <w:rPr>
          <w:noProof/>
        </w:rPr>
      </w:pPr>
      <w:r>
        <w:rPr>
          <w:noProof/>
        </w:rPr>
        <w:t>8 за мобилност, включително морски, въздушен и автомобилен транспорт (от 34).</w:t>
      </w:r>
    </w:p>
    <w:p w14:paraId="1F8813A0" w14:textId="1B343A07" w:rsidR="00800D5C" w:rsidRPr="00964B6E" w:rsidRDefault="000D5540" w:rsidP="00E658F3">
      <w:pPr>
        <w:rPr>
          <w:noProof/>
        </w:rPr>
      </w:pPr>
      <w:r>
        <w:rPr>
          <w:noProof/>
        </w:rPr>
        <w:t xml:space="preserve">За първи път всички 149 проекта, които успешно преминаха оценяването, получиха </w:t>
      </w:r>
      <w:hyperlink r:id="rId38" w:anchor="paragraph_282">
        <w:r>
          <w:rPr>
            <w:rStyle w:val="Hyperlink"/>
            <w:noProof/>
          </w:rPr>
          <w:t>печата STEP</w:t>
        </w:r>
      </w:hyperlink>
      <w:r>
        <w:rPr>
          <w:noProof/>
        </w:rPr>
        <w:t>, нов знак за качество, присъждан на висококачествени проекти, допринасящи за целите на платформата за стратегически технологии за Европа (STEP). В допълнение към всички 85 проекта, предварително избрани за финансиране, 64 проекта, които са получили оценка над всички прагове за оценка, но не са били избрани за финансиране, също са получили печата. Това ще улесни достъпа за тях до допълнителни възможности за публична и частна подкрепа.</w:t>
      </w:r>
    </w:p>
    <w:p w14:paraId="08BD80E6" w14:textId="77777777" w:rsidR="007377B7" w:rsidRPr="00964B6E" w:rsidRDefault="007377B7" w:rsidP="00E658F3">
      <w:pPr>
        <w:rPr>
          <w:noProof/>
        </w:rPr>
      </w:pPr>
    </w:p>
    <w:p w14:paraId="07966F3F" w14:textId="34AEAFFE" w:rsidR="00291183" w:rsidRPr="00964B6E" w:rsidRDefault="00055583" w:rsidP="003648D3">
      <w:pPr>
        <w:keepNext/>
        <w:jc w:val="center"/>
        <w:rPr>
          <w:noProof/>
        </w:rPr>
      </w:pPr>
      <w:r w:rsidRPr="00055583">
        <w:rPr>
          <w:noProof/>
          <w:lang w:val="en-GB" w:eastAsia="en-GB"/>
        </w:rPr>
        <w:drawing>
          <wp:inline distT="0" distB="0" distL="0" distR="0" wp14:anchorId="307CEF54" wp14:editId="15DF00BF">
            <wp:extent cx="5472430" cy="3589020"/>
            <wp:effectExtent l="0" t="0" r="0" b="0"/>
            <wp:docPr id="177873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72430" cy="3589020"/>
                    </a:xfrm>
                    <a:prstGeom prst="rect">
                      <a:avLst/>
                    </a:prstGeom>
                    <a:noFill/>
                    <a:ln>
                      <a:noFill/>
                    </a:ln>
                  </pic:spPr>
                </pic:pic>
              </a:graphicData>
            </a:graphic>
          </wp:inline>
        </w:drawing>
      </w:r>
    </w:p>
    <w:p w14:paraId="488C165D" w14:textId="6A232A4E" w:rsidR="00291183" w:rsidRPr="00964B6E" w:rsidRDefault="00291183" w:rsidP="003648D3">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1</w:t>
      </w:r>
      <w:r>
        <w:rPr>
          <w:noProof/>
        </w:rPr>
        <w:fldChar w:fldCharType="end"/>
      </w:r>
      <w:r>
        <w:rPr>
          <w:noProof/>
        </w:rPr>
        <w:t>: Стойност на отпуснатите безвъзмездни средства и първоначален бюджет на проектите по теми на поканата (ФИ23 ТННЕ)</w:t>
      </w:r>
      <w:r>
        <w:rPr>
          <w:rStyle w:val="FootnoteReference"/>
          <w:b w:val="0"/>
          <w:i w:val="0"/>
          <w:noProof/>
        </w:rPr>
        <w:footnoteReference w:id="9"/>
      </w:r>
    </w:p>
    <w:p w14:paraId="2E01F309" w14:textId="362BCFBB" w:rsidR="00291183" w:rsidRPr="00964B6E" w:rsidRDefault="00055583" w:rsidP="003648D3">
      <w:pPr>
        <w:jc w:val="center"/>
        <w:rPr>
          <w:noProof/>
        </w:rPr>
      </w:pPr>
      <w:r w:rsidRPr="00055583">
        <w:rPr>
          <w:noProof/>
          <w:lang w:val="en-GB" w:eastAsia="en-GB"/>
        </w:rPr>
        <w:drawing>
          <wp:inline distT="0" distB="0" distL="0" distR="0" wp14:anchorId="18B450C1" wp14:editId="33AA669A">
            <wp:extent cx="4733925" cy="2762250"/>
            <wp:effectExtent l="0" t="0" r="9525" b="0"/>
            <wp:docPr id="1470614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33925" cy="2762250"/>
                    </a:xfrm>
                    <a:prstGeom prst="rect">
                      <a:avLst/>
                    </a:prstGeom>
                    <a:noFill/>
                    <a:ln>
                      <a:noFill/>
                    </a:ln>
                  </pic:spPr>
                </pic:pic>
              </a:graphicData>
            </a:graphic>
          </wp:inline>
        </w:drawing>
      </w:r>
    </w:p>
    <w:p w14:paraId="32F66410" w14:textId="272C4D2B" w:rsidR="00F46E25" w:rsidRPr="00964B6E" w:rsidRDefault="0062226A" w:rsidP="003648D3">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2</w:t>
      </w:r>
      <w:r>
        <w:rPr>
          <w:noProof/>
        </w:rPr>
        <w:fldChar w:fldCharType="end"/>
      </w:r>
      <w:r>
        <w:rPr>
          <w:noProof/>
        </w:rPr>
        <w:t>: Брой проекти, избрани за финансиране по първа държава на местоположение (ФИ23 ТННЕ)</w:t>
      </w:r>
    </w:p>
    <w:p w14:paraId="317A9A35" w14:textId="77777777" w:rsidR="00BD3865" w:rsidRPr="00964B6E" w:rsidRDefault="00BD3865" w:rsidP="003648D3">
      <w:pPr>
        <w:jc w:val="center"/>
        <w:rPr>
          <w:noProof/>
        </w:rPr>
      </w:pPr>
    </w:p>
    <w:p w14:paraId="58AADDF6" w14:textId="7416E965" w:rsidR="00FC7645" w:rsidRPr="00964B6E" w:rsidRDefault="00055583" w:rsidP="003648D3">
      <w:pPr>
        <w:keepNext/>
        <w:jc w:val="center"/>
        <w:rPr>
          <w:noProof/>
        </w:rPr>
      </w:pPr>
      <w:r w:rsidRPr="00055583">
        <w:rPr>
          <w:noProof/>
          <w:lang w:val="en-GB" w:eastAsia="en-GB"/>
        </w:rPr>
        <w:drawing>
          <wp:inline distT="0" distB="0" distL="0" distR="0" wp14:anchorId="69FD6D78" wp14:editId="2C091928">
            <wp:extent cx="4572000" cy="2924175"/>
            <wp:effectExtent l="0" t="0" r="0" b="9525"/>
            <wp:docPr id="94351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2000" cy="2924175"/>
                    </a:xfrm>
                    <a:prstGeom prst="rect">
                      <a:avLst/>
                    </a:prstGeom>
                    <a:noFill/>
                    <a:ln>
                      <a:noFill/>
                    </a:ln>
                  </pic:spPr>
                </pic:pic>
              </a:graphicData>
            </a:graphic>
          </wp:inline>
        </w:drawing>
      </w:r>
    </w:p>
    <w:p w14:paraId="3FF15F65" w14:textId="12A288EA" w:rsidR="002E02AB" w:rsidRPr="00964B6E" w:rsidRDefault="00FC7645" w:rsidP="003648D3">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3</w:t>
      </w:r>
      <w:r>
        <w:rPr>
          <w:noProof/>
        </w:rPr>
        <w:fldChar w:fldCharType="end"/>
      </w:r>
      <w:r>
        <w:rPr>
          <w:noProof/>
        </w:rPr>
        <w:t>: Стойност на отпуснатите безвъзмездни средства за проекти по първа държава на местоположение (ФИ23 ТННЕ)</w:t>
      </w:r>
    </w:p>
    <w:p w14:paraId="78490165" w14:textId="77777777" w:rsidR="002F5E95" w:rsidRPr="00964B6E" w:rsidRDefault="002F5E95" w:rsidP="003648D3">
      <w:pPr>
        <w:jc w:val="center"/>
        <w:rPr>
          <w:noProof/>
        </w:rPr>
      </w:pPr>
    </w:p>
    <w:p w14:paraId="71FDD38E" w14:textId="058B8C9B" w:rsidR="004804D6" w:rsidRPr="00964B6E" w:rsidRDefault="00055583" w:rsidP="003648D3">
      <w:pPr>
        <w:keepNext/>
        <w:jc w:val="center"/>
        <w:rPr>
          <w:noProof/>
        </w:rPr>
      </w:pPr>
      <w:r w:rsidRPr="00055583">
        <w:rPr>
          <w:noProof/>
          <w:lang w:val="en-GB" w:eastAsia="en-GB"/>
        </w:rPr>
        <w:drawing>
          <wp:inline distT="0" distB="0" distL="0" distR="0" wp14:anchorId="7A2EA28A" wp14:editId="5549667D">
            <wp:extent cx="5472430" cy="3704590"/>
            <wp:effectExtent l="0" t="0" r="0" b="0"/>
            <wp:docPr id="11022919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72430" cy="3704590"/>
                    </a:xfrm>
                    <a:prstGeom prst="rect">
                      <a:avLst/>
                    </a:prstGeom>
                    <a:noFill/>
                    <a:ln>
                      <a:noFill/>
                    </a:ln>
                  </pic:spPr>
                </pic:pic>
              </a:graphicData>
            </a:graphic>
          </wp:inline>
        </w:drawing>
      </w:r>
    </w:p>
    <w:p w14:paraId="37C742D6" w14:textId="2D3E7E51" w:rsidR="002F5E95" w:rsidRPr="00964B6E" w:rsidRDefault="004804D6" w:rsidP="003648D3">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4</w:t>
      </w:r>
      <w:r>
        <w:rPr>
          <w:noProof/>
        </w:rPr>
        <w:fldChar w:fldCharType="end"/>
      </w:r>
      <w:r>
        <w:rPr>
          <w:noProof/>
        </w:rPr>
        <w:t>: Стойност на отпуснатите безвъзмездни средства по категории проекти</w:t>
      </w:r>
    </w:p>
    <w:p w14:paraId="3DC2A2B1" w14:textId="77777777" w:rsidR="004804D6" w:rsidRPr="00964B6E" w:rsidRDefault="004804D6" w:rsidP="004804D6">
      <w:pPr>
        <w:rPr>
          <w:noProof/>
        </w:rPr>
      </w:pPr>
    </w:p>
    <w:p w14:paraId="54DF523F" w14:textId="0E2993FB" w:rsidR="00B841CD" w:rsidRPr="00964B6E" w:rsidRDefault="00055583" w:rsidP="00854C34">
      <w:pPr>
        <w:jc w:val="center"/>
        <w:rPr>
          <w:noProof/>
        </w:rPr>
      </w:pPr>
      <w:r w:rsidRPr="00055583">
        <w:rPr>
          <w:noProof/>
          <w:lang w:val="en-GB" w:eastAsia="en-GB"/>
        </w:rPr>
        <w:drawing>
          <wp:inline distT="0" distB="0" distL="0" distR="0" wp14:anchorId="4350951A" wp14:editId="046EC238">
            <wp:extent cx="5472430" cy="6941185"/>
            <wp:effectExtent l="0" t="0" r="0" b="0"/>
            <wp:docPr id="190931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72430" cy="6941185"/>
                    </a:xfrm>
                    <a:prstGeom prst="rect">
                      <a:avLst/>
                    </a:prstGeom>
                    <a:noFill/>
                    <a:ln>
                      <a:noFill/>
                    </a:ln>
                  </pic:spPr>
                </pic:pic>
              </a:graphicData>
            </a:graphic>
          </wp:inline>
        </w:drawing>
      </w:r>
    </w:p>
    <w:p w14:paraId="5EFCBDE3" w14:textId="4BE32A0C" w:rsidR="004804D6" w:rsidRPr="00964B6E" w:rsidRDefault="00B841CD" w:rsidP="00854C34">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5</w:t>
      </w:r>
      <w:r>
        <w:rPr>
          <w:noProof/>
        </w:rPr>
        <w:fldChar w:fldCharType="end"/>
      </w:r>
      <w:r>
        <w:rPr>
          <w:noProof/>
        </w:rPr>
        <w:t>: Стойност на отпуснатите безвъзмездни средства по сектори на проектите</w:t>
      </w:r>
    </w:p>
    <w:p w14:paraId="01AEAB58" w14:textId="2EA7612D" w:rsidR="00C707BC" w:rsidRPr="00964B6E" w:rsidRDefault="004C4DEB" w:rsidP="00C707BC">
      <w:pPr>
        <w:pStyle w:val="Heading3"/>
        <w:rPr>
          <w:noProof/>
        </w:rPr>
      </w:pPr>
      <w:bookmarkStart w:id="6" w:name="_Toc215482198"/>
      <w:r>
        <w:rPr>
          <w:noProof/>
        </w:rPr>
        <w:t>Обявяване на поканите ФИ24</w:t>
      </w:r>
      <w:bookmarkEnd w:id="6"/>
    </w:p>
    <w:p w14:paraId="5C86A7AE" w14:textId="3F03CBB5" w:rsidR="00696407" w:rsidRPr="00964B6E" w:rsidRDefault="00946D7E" w:rsidP="00095A45">
      <w:pPr>
        <w:rPr>
          <w:noProof/>
        </w:rPr>
      </w:pPr>
      <w:r>
        <w:rPr>
          <w:noProof/>
        </w:rPr>
        <w:t xml:space="preserve">На 3 декември 2024 г. Комисията обяви покани за финансиране от Фонда за иновации за 2024 г., като </w:t>
      </w:r>
      <w:hyperlink r:id="rId44">
        <w:r>
          <w:rPr>
            <w:rStyle w:val="Hyperlink"/>
            <w:noProof/>
          </w:rPr>
          <w:t>4,6 милиарда евро са предназначени за насърчаване на технологии за нулеви нетни емисии, електрически превозни средства, производство на клетки за акумулаторни батерии и водород от възобновяеми източници</w:t>
        </w:r>
      </w:hyperlink>
      <w:r>
        <w:rPr>
          <w:noProof/>
        </w:rPr>
        <w:t>.</w:t>
      </w:r>
    </w:p>
    <w:p w14:paraId="3B9A7DA0" w14:textId="21676782" w:rsidR="00A35FA9" w:rsidRPr="00964B6E" w:rsidRDefault="00A35FA9" w:rsidP="00095A45">
      <w:pPr>
        <w:rPr>
          <w:noProof/>
        </w:rPr>
      </w:pPr>
      <w:r>
        <w:rPr>
          <w:noProof/>
        </w:rPr>
        <w:t>Общият бюджет беше разделен между три покани за представяне на предложения:</w:t>
      </w:r>
    </w:p>
    <w:p w14:paraId="6A46DE35" w14:textId="21536998" w:rsidR="00A35FA9" w:rsidRPr="00964B6E" w:rsidRDefault="00A35FA9" w:rsidP="00A35FA9">
      <w:pPr>
        <w:pStyle w:val="ListParagraph"/>
        <w:numPr>
          <w:ilvl w:val="0"/>
          <w:numId w:val="33"/>
        </w:numPr>
        <w:rPr>
          <w:noProof/>
        </w:rPr>
      </w:pPr>
      <w:r>
        <w:rPr>
          <w:noProof/>
        </w:rPr>
        <w:t>2,4 милиарда евро за технологии с нулеви нетни емисии (</w:t>
      </w:r>
      <w:hyperlink r:id="rId45" w:history="1">
        <w:r>
          <w:rPr>
            <w:rStyle w:val="Hyperlink"/>
            <w:noProof/>
          </w:rPr>
          <w:t>покана ФИ24 ТННЕ</w:t>
        </w:r>
      </w:hyperlink>
      <w:r>
        <w:rPr>
          <w:noProof/>
        </w:rPr>
        <w:t>),</w:t>
      </w:r>
    </w:p>
    <w:p w14:paraId="7006F7F9" w14:textId="5411BFD7" w:rsidR="00725BE6" w:rsidRPr="00964B6E" w:rsidRDefault="00725BE6" w:rsidP="00A35FA9">
      <w:pPr>
        <w:pStyle w:val="ListParagraph"/>
        <w:numPr>
          <w:ilvl w:val="0"/>
          <w:numId w:val="33"/>
        </w:numPr>
        <w:rPr>
          <w:noProof/>
        </w:rPr>
      </w:pPr>
      <w:r>
        <w:rPr>
          <w:noProof/>
        </w:rPr>
        <w:t>1 милиард евро за производство на клетки за акумулаторни батерии за електрически автомобили (</w:t>
      </w:r>
      <w:hyperlink r:id="rId46" w:history="1">
        <w:r>
          <w:rPr>
            <w:rStyle w:val="Hyperlink"/>
            <w:noProof/>
          </w:rPr>
          <w:t>акумулаторни батерии ФИ24</w:t>
        </w:r>
      </w:hyperlink>
      <w:r>
        <w:rPr>
          <w:noProof/>
        </w:rPr>
        <w:t>),</w:t>
      </w:r>
    </w:p>
    <w:p w14:paraId="73222689" w14:textId="48FC8E98" w:rsidR="00E8514F" w:rsidRPr="00964B6E" w:rsidRDefault="00E8514F" w:rsidP="00A35FA9">
      <w:pPr>
        <w:pStyle w:val="ListParagraph"/>
        <w:numPr>
          <w:ilvl w:val="0"/>
          <w:numId w:val="33"/>
        </w:numPr>
        <w:rPr>
          <w:noProof/>
        </w:rPr>
      </w:pPr>
      <w:r>
        <w:rPr>
          <w:noProof/>
        </w:rPr>
        <w:t>1,2 милиарда евро за производството на водород от възобновяеми източници (</w:t>
      </w:r>
      <w:r>
        <w:rPr>
          <w:rStyle w:val="FootnoteReference"/>
          <w:noProof/>
        </w:rPr>
        <w:footnoteReference w:id="10"/>
      </w:r>
      <w:r>
        <w:rPr>
          <w:noProof/>
        </w:rPr>
        <w:t>) (</w:t>
      </w:r>
      <w:hyperlink r:id="rId47" w:history="1">
        <w:r>
          <w:rPr>
            <w:rStyle w:val="Hyperlink"/>
            <w:noProof/>
          </w:rPr>
          <w:t>търг ФИ24</w:t>
        </w:r>
      </w:hyperlink>
      <w:r>
        <w:rPr>
          <w:noProof/>
        </w:rPr>
        <w:t>).</w:t>
      </w:r>
    </w:p>
    <w:p w14:paraId="6B645310" w14:textId="7A258CF1" w:rsidR="004B3D0B" w:rsidRPr="00964B6E" w:rsidRDefault="00047008" w:rsidP="00047008">
      <w:pPr>
        <w:rPr>
          <w:noProof/>
        </w:rPr>
      </w:pPr>
      <w:r>
        <w:rPr>
          <w:noProof/>
        </w:rPr>
        <w:t xml:space="preserve">И трите покани включват </w:t>
      </w:r>
      <w:r>
        <w:rPr>
          <w:b/>
          <w:noProof/>
        </w:rPr>
        <w:t>нови критерии за устойчивост</w:t>
      </w:r>
      <w:r>
        <w:rPr>
          <w:noProof/>
        </w:rPr>
        <w:t>, за да се подкрепи планът REPowerEU и да се предпази ЕС от зависимост от един доставчик.</w:t>
      </w:r>
    </w:p>
    <w:p w14:paraId="605CF913" w14:textId="3E7615DC" w:rsidR="00B906E2" w:rsidRPr="00964B6E" w:rsidRDefault="00D9307A">
      <w:pPr>
        <w:rPr>
          <w:noProof/>
        </w:rPr>
      </w:pPr>
      <w:r>
        <w:rPr>
          <w:b/>
          <w:noProof/>
        </w:rPr>
        <w:t>Поканата ФИ24 ТННЕ</w:t>
      </w:r>
      <w:r>
        <w:rPr>
          <w:noProof/>
        </w:rPr>
        <w:t xml:space="preserve"> има за цел да подкрепи както проекти за декарбонизация с различен мащаб, така и проекти, съсредоточени върху производството на компоненти за енергия от възобновяеми източници, съхранение на енергия, термопомпи и производство на водород. Проектите ще бъдат оценявани въз основа на потенциала им за намаляване на емисиите на парникови газове, степента на иновативност, зрялостта на проекта, възпроизводимостта и рентабилността. За първи път държавите имаха възможност да допълнят общия бюджет на обикновените покани с национални схеми за финансиране на проекти за декарбонизация и производство на чиста енергия (</w:t>
      </w:r>
      <w:r>
        <w:rPr>
          <w:rStyle w:val="FootnoteReference"/>
          <w:noProof/>
        </w:rPr>
        <w:footnoteReference w:id="11"/>
      </w:r>
      <w:r>
        <w:rPr>
          <w:noProof/>
        </w:rPr>
        <w:t xml:space="preserve">). Този нов вариант, наречен </w:t>
      </w:r>
      <w:r>
        <w:rPr>
          <w:b/>
          <w:noProof/>
        </w:rPr>
        <w:t>безвъзмездни средства като услуга</w:t>
      </w:r>
      <w:r>
        <w:rPr>
          <w:noProof/>
        </w:rPr>
        <w:t>, позволява на допустимите държави да се възползват от процеса на оценяване, извършван от Фонда за иновации, и да оптимизират процеса на одобрение на държавната помощ.</w:t>
      </w:r>
    </w:p>
    <w:p w14:paraId="69CC30CF" w14:textId="665CC7B8" w:rsidR="00B906E2" w:rsidRPr="00964B6E" w:rsidRDefault="002C58E9" w:rsidP="00CE4040">
      <w:pPr>
        <w:rPr>
          <w:noProof/>
        </w:rPr>
      </w:pPr>
      <w:r>
        <w:rPr>
          <w:noProof/>
        </w:rPr>
        <w:t xml:space="preserve">Поканата за </w:t>
      </w:r>
      <w:r>
        <w:rPr>
          <w:b/>
          <w:noProof/>
        </w:rPr>
        <w:t>ФИ24 за акумулаторни батерии</w:t>
      </w:r>
      <w:r>
        <w:rPr>
          <w:noProof/>
        </w:rPr>
        <w:t xml:space="preserve"> е новост. Нейната цел е да се подкрепи производството на акумулаторни батерии в ЕС чрез подпомагане на проекти за производство на иновативни клетки за акумулаторни батерии за електрически превозни средства. Избраните проекти ще подкрепят </w:t>
      </w:r>
      <w:r>
        <w:rPr>
          <w:b/>
          <w:noProof/>
        </w:rPr>
        <w:t>прехода на ЕС към чиста, конкурентоспособна и устойчива промишлена база</w:t>
      </w:r>
      <w:r>
        <w:rPr>
          <w:noProof/>
        </w:rPr>
        <w:t>, като намалят зависимостта от вноса и насърчат развитието на чисти технологии и водещи позиции в промишлеността.</w:t>
      </w:r>
    </w:p>
    <w:p w14:paraId="2630C914" w14:textId="7536358F" w:rsidR="006C5AD4" w:rsidRPr="00964B6E" w:rsidRDefault="0099095F" w:rsidP="00CE4040">
      <w:pPr>
        <w:rPr>
          <w:noProof/>
        </w:rPr>
      </w:pPr>
      <w:r>
        <w:rPr>
          <w:noProof/>
        </w:rPr>
        <w:t xml:space="preserve">На 17 и 18 декември 2024 г. Европейската изпълнителна агенция за климата, инфраструктурата и околната среда (CINEA) и ГД „Действия за климата“ организираха онлайн </w:t>
      </w:r>
      <w:hyperlink r:id="rId48">
        <w:r>
          <w:rPr>
            <w:rStyle w:val="Hyperlink"/>
            <w:noProof/>
          </w:rPr>
          <w:t>информационни дни</w:t>
        </w:r>
      </w:hyperlink>
      <w:r>
        <w:rPr>
          <w:noProof/>
        </w:rPr>
        <w:t>, за да представят основните характеристики и критерии за възлагане на двете покани за представяне на предложения, както и поуките от предишни покани. Организаторите на проекти имаха срок до 24 април 2025 г. да подадат заявления. Одобрените кандидати трябва да подпишат споразумения за отпускане на безвъзмездни средства до първото тримесечие на 2026 г.</w:t>
      </w:r>
    </w:p>
    <w:p w14:paraId="7EB070F8" w14:textId="299F2818" w:rsidR="00335DCC" w:rsidRPr="00964B6E" w:rsidRDefault="00313874" w:rsidP="00095A45">
      <w:pPr>
        <w:rPr>
          <w:noProof/>
        </w:rPr>
      </w:pPr>
      <w:r>
        <w:rPr>
          <w:b/>
          <w:noProof/>
        </w:rPr>
        <w:t>Търгът ФИ24</w:t>
      </w:r>
      <w:r>
        <w:rPr>
          <w:noProof/>
        </w:rPr>
        <w:t xml:space="preserve"> е описан </w:t>
      </w:r>
      <w:hyperlink w:anchor="_IF24_Auction_launch" w:history="1">
        <w:r>
          <w:rPr>
            <w:rStyle w:val="Hyperlink"/>
            <w:noProof/>
          </w:rPr>
          <w:t>по-подробно в доклада</w:t>
        </w:r>
      </w:hyperlink>
      <w:r>
        <w:rPr>
          <w:noProof/>
        </w:rPr>
        <w:t>.</w:t>
      </w:r>
    </w:p>
    <w:p w14:paraId="507E7A2C" w14:textId="7CF01C81" w:rsidR="00095A45" w:rsidRPr="00964B6E" w:rsidRDefault="00095A45" w:rsidP="00095A45">
      <w:pPr>
        <w:pStyle w:val="Heading2"/>
        <w:rPr>
          <w:noProof/>
        </w:rPr>
      </w:pPr>
      <w:bookmarkStart w:id="7" w:name="_Toc215482199"/>
      <w:r>
        <w:rPr>
          <w:noProof/>
        </w:rPr>
        <w:t>Търгове</w:t>
      </w:r>
      <w:bookmarkEnd w:id="7"/>
    </w:p>
    <w:p w14:paraId="54824C88" w14:textId="4012D347" w:rsidR="00095A45" w:rsidRPr="00964B6E" w:rsidRDefault="00AB3983" w:rsidP="00AB3983">
      <w:pPr>
        <w:pStyle w:val="Heading3"/>
        <w:rPr>
          <w:noProof/>
        </w:rPr>
      </w:pPr>
      <w:bookmarkStart w:id="8" w:name="_Toc215482200"/>
      <w:r>
        <w:rPr>
          <w:noProof/>
        </w:rPr>
        <w:t>Резултати от търга ФИ23</w:t>
      </w:r>
      <w:bookmarkEnd w:id="8"/>
    </w:p>
    <w:p w14:paraId="1BE0CFB1" w14:textId="63B1DDB8" w:rsidR="00A13B1E" w:rsidRPr="00964B6E" w:rsidRDefault="00E81D4C" w:rsidP="00095A45">
      <w:pPr>
        <w:rPr>
          <w:noProof/>
        </w:rPr>
      </w:pPr>
      <w:r>
        <w:rPr>
          <w:noProof/>
        </w:rPr>
        <w:t xml:space="preserve">На 19 февруари 2024 г. CINEA обяви, че са получени </w:t>
      </w:r>
      <w:hyperlink r:id="rId49" w:history="1">
        <w:r>
          <w:rPr>
            <w:rStyle w:val="Hyperlink"/>
            <w:noProof/>
          </w:rPr>
          <w:t>132 оферти от 17 държави</w:t>
        </w:r>
      </w:hyperlink>
      <w:r>
        <w:rPr>
          <w:noProof/>
        </w:rPr>
        <w:t xml:space="preserve"> за търга ФИ23 (</w:t>
      </w:r>
      <w:r>
        <w:rPr>
          <w:rStyle w:val="FootnoteReference"/>
          <w:noProof/>
        </w:rPr>
        <w:footnoteReference w:id="12"/>
      </w:r>
      <w:r>
        <w:rPr>
          <w:noProof/>
        </w:rPr>
        <w:t>). В търга бяха подадени 15 пъти повече заявления, отколкото беше предвидено. Информационното бюро беше отворено по време на периода за подаване на оферти и отговори на 352 въпроса от кандидатите.</w:t>
      </w:r>
    </w:p>
    <w:p w14:paraId="6656ADD0" w14:textId="38FDBDFB" w:rsidR="00F82794" w:rsidRPr="00964B6E" w:rsidRDefault="00D975A2" w:rsidP="00095A45">
      <w:pPr>
        <w:rPr>
          <w:noProof/>
        </w:rPr>
      </w:pPr>
      <w:r>
        <w:rPr>
          <w:noProof/>
        </w:rPr>
        <w:t>Общата планирана мощност на електролизьорите за всички оферти беше 8,5 гигавата (GW). За 10 години това може да доведе до общ обем на производството от 8,8 милиона тона водород от възобновяеми източници. Всяка година това би могло да покрие почти 10 % от целта на плана REPowerEU до 2030 г. за производство на водород от възобновяеми източници на вътрешно равнище.</w:t>
      </w:r>
    </w:p>
    <w:p w14:paraId="34132756" w14:textId="6CBB181D" w:rsidR="00F82794" w:rsidRPr="00964B6E" w:rsidRDefault="056265D3" w:rsidP="00095A45">
      <w:pPr>
        <w:rPr>
          <w:noProof/>
        </w:rPr>
      </w:pPr>
      <w:r>
        <w:rPr>
          <w:noProof/>
        </w:rPr>
        <w:t>Подадените оферти варираха от 0,37 EUR до 4,50 EUR (максимална цена) за килограм произведен водород.</w:t>
      </w:r>
    </w:p>
    <w:p w14:paraId="15A9373D" w14:textId="470D6162" w:rsidR="00F82794" w:rsidRPr="00964B6E" w:rsidRDefault="00390080" w:rsidP="00095A45">
      <w:pPr>
        <w:rPr>
          <w:noProof/>
        </w:rPr>
      </w:pPr>
      <w:r>
        <w:rPr>
          <w:noProof/>
        </w:rPr>
        <w:t>От 132 оферти 119 бяха допустими и приемливи. След оценяването им CINEA класира одобрените проекти въз основа на тяхната офертна цена.</w:t>
      </w:r>
    </w:p>
    <w:p w14:paraId="32BDA849" w14:textId="7A1A91AA" w:rsidR="0064052B" w:rsidRPr="00964B6E" w:rsidRDefault="00634C0E" w:rsidP="00095A45">
      <w:pPr>
        <w:rPr>
          <w:noProof/>
        </w:rPr>
      </w:pPr>
      <w:r>
        <w:rPr>
          <w:noProof/>
        </w:rPr>
        <w:t>До</w:t>
      </w:r>
      <w:r w:rsidR="7436E459">
        <w:rPr>
          <w:noProof/>
        </w:rPr>
        <w:t xml:space="preserve"> 30 април 2024 г. </w:t>
      </w:r>
      <w:hyperlink r:id="rId50">
        <w:r w:rsidR="7436E459">
          <w:rPr>
            <w:rStyle w:val="Hyperlink"/>
            <w:noProof/>
          </w:rPr>
          <w:t>седем проекта бяха избрани</w:t>
        </w:r>
      </w:hyperlink>
      <w:r w:rsidR="7436E459">
        <w:rPr>
          <w:noProof/>
        </w:rPr>
        <w:t xml:space="preserve"> да получат безвъзмездна помощ от Фонда в размер на близо 720 милиона евро. Цената в техните оферти варираше от 0,37 EUR до 0,48 EUR за килограм произведен водород от възобновяеми източници.</w:t>
      </w:r>
    </w:p>
    <w:p w14:paraId="7B59855A" w14:textId="64BCD071" w:rsidR="008951DE" w:rsidRPr="00964B6E" w:rsidRDefault="192C6922" w:rsidP="007D2CB5">
      <w:pPr>
        <w:rPr>
          <w:noProof/>
        </w:rPr>
      </w:pPr>
      <w:r>
        <w:rPr>
          <w:noProof/>
        </w:rPr>
        <w:t xml:space="preserve">Към 7 октомври 2024 г. за </w:t>
      </w:r>
      <w:hyperlink r:id="rId51" w:history="1">
        <w:r>
          <w:rPr>
            <w:rStyle w:val="Hyperlink"/>
            <w:noProof/>
          </w:rPr>
          <w:t>шест</w:t>
        </w:r>
      </w:hyperlink>
      <w:r>
        <w:rPr>
          <w:noProof/>
        </w:rPr>
        <w:t xml:space="preserve"> от седемте проекта бяха подписани съответните споразумения за отпускане на безвъзмездни средства. Проектите ще бъдат реализирани в четири държави (</w:t>
      </w:r>
      <w:r>
        <w:rPr>
          <w:rStyle w:val="FootnoteReference"/>
          <w:noProof/>
        </w:rPr>
        <w:footnoteReference w:id="13"/>
      </w:r>
      <w:r>
        <w:rPr>
          <w:noProof/>
        </w:rPr>
        <w:t>). Общата сума на подкрепата възлиза на 695 милиона евро. Те ще получат субсидия в размер от 8 до 245 милиона евро за инсталации с електрическа мощност (MWe) от 35 MWe до 500 MWe. Определената субсидия ще бъде предоставена само ако произвеждат сертифициран и проверен водород от ВГНБП в срок до 10 години.</w:t>
      </w:r>
    </w:p>
    <w:p w14:paraId="137A0A31" w14:textId="46C38EC5" w:rsidR="0093634D" w:rsidRPr="00964B6E" w:rsidRDefault="002712EB" w:rsidP="00095A45">
      <w:pPr>
        <w:rPr>
          <w:noProof/>
        </w:rPr>
      </w:pPr>
      <w:r>
        <w:rPr>
          <w:noProof/>
        </w:rPr>
        <w:t>Избраните проекти разполагат с до пет години, за да започнат да произвеждат водород от възобновяеми източници. Те имат потенциал да произведат до 1,52 милиона тона водород от ВГНБП през първите 10 години от експлоатацията си, като по този начин се предотвратяват повече от 10 милиона тона CO</w:t>
      </w:r>
      <w:r>
        <w:rPr>
          <w:noProof/>
          <w:vertAlign w:val="subscript"/>
        </w:rPr>
        <w:t>2</w:t>
      </w:r>
      <w:r>
        <w:rPr>
          <w:noProof/>
        </w:rPr>
        <w:t>-екв. Тяхното производство ще обслужва много сектори, като морския транспорт, тежкотоварния транспорт, селското стопанство и производството на е-метан и е-метанол.</w:t>
      </w:r>
    </w:p>
    <w:p w14:paraId="400030FF" w14:textId="547B37E2" w:rsidR="00E81871" w:rsidRPr="00964B6E" w:rsidRDefault="00055583" w:rsidP="004B19FA">
      <w:pPr>
        <w:keepNext/>
        <w:jc w:val="center"/>
        <w:rPr>
          <w:noProof/>
        </w:rPr>
      </w:pPr>
      <w:r w:rsidRPr="00055583">
        <w:rPr>
          <w:noProof/>
          <w:lang w:val="en-GB" w:eastAsia="en-GB"/>
        </w:rPr>
        <w:drawing>
          <wp:inline distT="0" distB="0" distL="0" distR="0" wp14:anchorId="61483C7D" wp14:editId="24DEDD23">
            <wp:extent cx="2724150" cy="1972943"/>
            <wp:effectExtent l="0" t="0" r="0" b="8890"/>
            <wp:docPr id="20201605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65057" cy="2002570"/>
                    </a:xfrm>
                    <a:prstGeom prst="rect">
                      <a:avLst/>
                    </a:prstGeom>
                    <a:noFill/>
                    <a:ln>
                      <a:noFill/>
                    </a:ln>
                  </pic:spPr>
                </pic:pic>
              </a:graphicData>
            </a:graphic>
          </wp:inline>
        </w:drawing>
      </w:r>
      <w:r w:rsidRPr="00055583">
        <w:rPr>
          <w:noProof/>
          <w:lang w:val="en-GB" w:eastAsia="en-GB"/>
        </w:rPr>
        <w:drawing>
          <wp:inline distT="0" distB="0" distL="0" distR="0" wp14:anchorId="42802D47" wp14:editId="73C686C0">
            <wp:extent cx="2735291" cy="1981200"/>
            <wp:effectExtent l="0" t="0" r="8255" b="0"/>
            <wp:docPr id="8034786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2560" cy="1993708"/>
                    </a:xfrm>
                    <a:prstGeom prst="rect">
                      <a:avLst/>
                    </a:prstGeom>
                    <a:noFill/>
                    <a:ln>
                      <a:noFill/>
                    </a:ln>
                  </pic:spPr>
                </pic:pic>
              </a:graphicData>
            </a:graphic>
          </wp:inline>
        </w:drawing>
      </w:r>
    </w:p>
    <w:p w14:paraId="565B85D2" w14:textId="0649E520" w:rsidR="00A208E0" w:rsidRPr="00964B6E" w:rsidRDefault="00E81871" w:rsidP="002F6C23">
      <w:pPr>
        <w:pStyle w:val="Caption"/>
        <w:jc w:val="center"/>
        <w:rPr>
          <w:noProof/>
        </w:rPr>
      </w:pPr>
      <w:r>
        <w:rPr>
          <w:noProof/>
        </w:rPr>
        <w:t>Фигура </w:t>
      </w:r>
      <w:r>
        <w:rPr>
          <w:noProof/>
        </w:rPr>
        <w:fldChar w:fldCharType="begin"/>
      </w:r>
      <w:r>
        <w:rPr>
          <w:noProof/>
        </w:rPr>
        <w:instrText xml:space="preserve"> SEQ Figure \* ARABIC </w:instrText>
      </w:r>
      <w:r>
        <w:rPr>
          <w:noProof/>
        </w:rPr>
        <w:fldChar w:fldCharType="separate"/>
      </w:r>
      <w:r>
        <w:rPr>
          <w:noProof/>
        </w:rPr>
        <w:t>6</w:t>
      </w:r>
      <w:r>
        <w:rPr>
          <w:noProof/>
        </w:rPr>
        <w:fldChar w:fldCharType="end"/>
      </w:r>
      <w:r>
        <w:rPr>
          <w:noProof/>
        </w:rPr>
        <w:t>: Капацитет на офертите за шестте подписани продукта от ВГНБП, одобрени в рамките на търга ФИ23</w:t>
      </w:r>
    </w:p>
    <w:p w14:paraId="32CA174F" w14:textId="6F0148D6" w:rsidR="00095A45" w:rsidRPr="00964B6E" w:rsidRDefault="00513C92" w:rsidP="00362F15">
      <w:pPr>
        <w:pStyle w:val="Heading3"/>
        <w:rPr>
          <w:noProof/>
        </w:rPr>
      </w:pPr>
      <w:bookmarkStart w:id="9" w:name="_IF24_Auction_launch"/>
      <w:bookmarkStart w:id="10" w:name="_Toc215482201"/>
      <w:bookmarkEnd w:id="9"/>
      <w:r>
        <w:rPr>
          <w:noProof/>
        </w:rPr>
        <w:t>Обявяване на търга ФИ24</w:t>
      </w:r>
      <w:bookmarkEnd w:id="10"/>
    </w:p>
    <w:p w14:paraId="1D4BC531" w14:textId="64D5B4C3" w:rsidR="000F6EFA" w:rsidRPr="00964B6E" w:rsidRDefault="00313874" w:rsidP="000F6EFA">
      <w:pPr>
        <w:rPr>
          <w:noProof/>
        </w:rPr>
      </w:pPr>
      <w:r>
        <w:rPr>
          <w:b/>
          <w:noProof/>
        </w:rPr>
        <w:t>Търгът ФИ24</w:t>
      </w:r>
      <w:r>
        <w:rPr>
          <w:noProof/>
        </w:rPr>
        <w:t>, вторият търг в рамките на Европейската водородна банка, имаше за цел да се подкрепят както проекти за производство на водород от ВГНБП, независимо от сектора, в който ще се използва (1 милиарда евро), така и проекти с купувачи в морския сектор (200 милиона евро). Бюджетът на търга беше увеличен с 400 милиона евро в сравнение с търга ФИ23.</w:t>
      </w:r>
    </w:p>
    <w:p w14:paraId="78D2C2CC" w14:textId="49B9DFD0" w:rsidR="00F764BA" w:rsidRPr="00964B6E" w:rsidRDefault="00A27444" w:rsidP="00095A45">
      <w:pPr>
        <w:rPr>
          <w:noProof/>
        </w:rPr>
      </w:pPr>
      <w:r>
        <w:rPr>
          <w:noProof/>
        </w:rPr>
        <w:t xml:space="preserve">За да се подготвят за кандидатстване, организаторите на проекти имаха възможност да се запознаят с </w:t>
      </w:r>
      <w:hyperlink r:id="rId54">
        <w:r>
          <w:rPr>
            <w:rStyle w:val="Hyperlink"/>
            <w:noProof/>
          </w:rPr>
          <w:t>документите за поканата</w:t>
        </w:r>
      </w:hyperlink>
      <w:r>
        <w:rPr>
          <w:noProof/>
        </w:rPr>
        <w:t xml:space="preserve"> и раздела „Въпроси и отговори“ на портала на ЕС за финансиране и обществени поръчки. Комисията също така ги насърчи да обсъдят гаранцията си за изпълнение с финансова институция възможно най-скоро, за да увеличат шансовете си за успех. На 10 декември 2024 г. CINEA организира </w:t>
      </w:r>
      <w:hyperlink r:id="rId55">
        <w:r>
          <w:rPr>
            <w:rStyle w:val="Hyperlink"/>
            <w:noProof/>
          </w:rPr>
          <w:t>информационен ден</w:t>
        </w:r>
      </w:hyperlink>
      <w:r>
        <w:rPr>
          <w:noProof/>
        </w:rPr>
        <w:t xml:space="preserve"> онлайн, за да представи основните характеристики и критерии за възлагане на новия търг, както и поуките от предишния търг. Участниците имаха срок до 20 февруари 2025 г. да подадат заявленията си. Очаква се спечелилите търга участници да подпишат споразумения за отпускане на безвъзмездни средства в рамките на девет месеца от приключването на търга.</w:t>
      </w:r>
    </w:p>
    <w:p w14:paraId="3C3F0E33" w14:textId="45981BBF" w:rsidR="00BA7906" w:rsidRPr="00964B6E" w:rsidRDefault="00BA7906" w:rsidP="00BA7906">
      <w:pPr>
        <w:pStyle w:val="Heading3"/>
        <w:rPr>
          <w:noProof/>
        </w:rPr>
      </w:pPr>
      <w:bookmarkStart w:id="11" w:name="_Toc215482202"/>
      <w:r>
        <w:rPr>
          <w:noProof/>
        </w:rPr>
        <w:t>Търгове като услуга</w:t>
      </w:r>
      <w:bookmarkEnd w:id="11"/>
    </w:p>
    <w:p w14:paraId="2ABC64BA" w14:textId="16109E13" w:rsidR="00A70AD6" w:rsidRPr="00964B6E" w:rsidRDefault="0CBD9391" w:rsidP="00F52428">
      <w:pPr>
        <w:rPr>
          <w:noProof/>
        </w:rPr>
      </w:pPr>
      <w:r>
        <w:rPr>
          <w:noProof/>
        </w:rPr>
        <w:t>По време на търга ФИ23 Комисията за първи път предложи възможността за търг като услуга (AAAS). Схемата позволява на допустимите държави да финансират участници в търга, които не са избрани за финансова подкрепа поради бюджетни ограничения. По този начин допустимите държави могат да се възползват от процес на подбор на равнището на ЕС и да използват национални средства за подкрепа на проекти на тяхна територия, без да е необходимо да провеждат отделен търг на национално равнище. Това гарантира бързо и рационализирано одобряване на държавната помощ, като се намаляват административната тежест и разходите за всички страни.</w:t>
      </w:r>
    </w:p>
    <w:p w14:paraId="15FC7C75" w14:textId="5EE9C4CD" w:rsidR="00CB4636" w:rsidRPr="00964B6E" w:rsidRDefault="00E64027" w:rsidP="00BA7906">
      <w:pPr>
        <w:rPr>
          <w:noProof/>
        </w:rPr>
      </w:pPr>
      <w:hyperlink r:id="rId56" w:history="1">
        <w:r w:rsidR="00F240C2">
          <w:rPr>
            <w:rStyle w:val="Hyperlink"/>
            <w:noProof/>
          </w:rPr>
          <w:t>Германия беше първата държава, която се възползва от тази възможност</w:t>
        </w:r>
      </w:hyperlink>
      <w:r w:rsidR="00F240C2">
        <w:rPr>
          <w:noProof/>
        </w:rPr>
        <w:t xml:space="preserve">, като отпусна 350 милиона евро от своя бюджет за допустими оферти, подадени в държавата. Това решение беше </w:t>
      </w:r>
      <w:hyperlink r:id="rId57" w:history="1">
        <w:r w:rsidR="00F240C2">
          <w:rPr>
            <w:rStyle w:val="Hyperlink"/>
            <w:noProof/>
          </w:rPr>
          <w:t>одобрено съгласно правилата на ЕС за държавната помощ</w:t>
        </w:r>
      </w:hyperlink>
      <w:r w:rsidR="00F240C2">
        <w:rPr>
          <w:noProof/>
        </w:rPr>
        <w:t xml:space="preserve"> на 5 април 2024 г. (</w:t>
      </w:r>
      <w:r w:rsidR="00F240C2">
        <w:rPr>
          <w:rStyle w:val="FootnoteReference"/>
          <w:noProof/>
        </w:rPr>
        <w:footnoteReference w:id="14"/>
      </w:r>
      <w:r w:rsidR="00F240C2">
        <w:rPr>
          <w:noProof/>
        </w:rPr>
        <w:t>).</w:t>
      </w:r>
    </w:p>
    <w:p w14:paraId="74DA1DC7" w14:textId="4C1C371A" w:rsidR="00191D5C" w:rsidRPr="00964B6E" w:rsidRDefault="000E4349" w:rsidP="00BA7906">
      <w:pPr>
        <w:rPr>
          <w:noProof/>
        </w:rPr>
      </w:pPr>
      <w:r>
        <w:rPr>
          <w:noProof/>
        </w:rPr>
        <w:t>На 18 ноември 2024 г. Испания</w:t>
      </w:r>
      <w:hyperlink r:id="rId58" w:history="1">
        <w:r>
          <w:rPr>
            <w:rStyle w:val="Hyperlink"/>
            <w:noProof/>
          </w:rPr>
          <w:t>, Литва и Австрия обявиха, че ще участват</w:t>
        </w:r>
      </w:hyperlink>
      <w:r>
        <w:rPr>
          <w:noProof/>
        </w:rPr>
        <w:t xml:space="preserve"> в схемата за търга ФИ24, като се ангажираха да предоставят до 836 милиона евро от национални фондове за подкрепа на проекти в техните държави.</w:t>
      </w:r>
    </w:p>
    <w:p w14:paraId="017F6988" w14:textId="7468835B" w:rsidR="002E325D" w:rsidRPr="00964B6E" w:rsidRDefault="008B5CCA" w:rsidP="00BA7906">
      <w:pPr>
        <w:rPr>
          <w:noProof/>
        </w:rPr>
      </w:pPr>
      <w:r>
        <w:rPr>
          <w:noProof/>
        </w:rPr>
        <w:t>Мобилизирането на финансиране чрез единна платформа за търгове на ЕС е ефективен начин за увеличаване на възможностите и намаляване на разходите за промишлеността. Тези действия демонстрират ангажимента на държавите членки да постигнат националните и европейските цели за внедряване на чиста енергия и подкрепа на декарбонизацията на промишлеността.</w:t>
      </w:r>
    </w:p>
    <w:p w14:paraId="7584529F" w14:textId="77AEF19C" w:rsidR="00095A45" w:rsidRPr="00964B6E" w:rsidRDefault="00A8784D" w:rsidP="00095A45">
      <w:pPr>
        <w:pStyle w:val="Heading2"/>
        <w:rPr>
          <w:noProof/>
        </w:rPr>
      </w:pPr>
      <w:bookmarkStart w:id="12" w:name="_Toc215482203"/>
      <w:r>
        <w:rPr>
          <w:noProof/>
        </w:rPr>
        <w:t>Връзки с други програми</w:t>
      </w:r>
      <w:bookmarkEnd w:id="12"/>
    </w:p>
    <w:p w14:paraId="5AA45705" w14:textId="3C597078" w:rsidR="00362F15" w:rsidRPr="00964B6E" w:rsidRDefault="00514905" w:rsidP="00362F15">
      <w:pPr>
        <w:pStyle w:val="Heading3"/>
        <w:rPr>
          <w:noProof/>
        </w:rPr>
      </w:pPr>
      <w:bookmarkStart w:id="13" w:name="_Toc215482204"/>
      <w:r>
        <w:rPr>
          <w:noProof/>
        </w:rPr>
        <w:t>Европейска инвестиционна банка (ЕИБ)</w:t>
      </w:r>
      <w:bookmarkEnd w:id="13"/>
    </w:p>
    <w:p w14:paraId="03A2F2FF" w14:textId="1ADA3AB7" w:rsidR="0083749A" w:rsidRPr="00964B6E" w:rsidRDefault="002C5B8A" w:rsidP="00156263">
      <w:pPr>
        <w:rPr>
          <w:noProof/>
        </w:rPr>
      </w:pPr>
      <w:r>
        <w:rPr>
          <w:noProof/>
        </w:rPr>
        <w:t xml:space="preserve">На 2 май 2024 г. ЕИБ обяви, че подкрепя стартирането на EAVOR LOOP, иновативен проект за електроенергия и геотермално отопление в Бавария, със </w:t>
      </w:r>
      <w:hyperlink r:id="rId59" w:history="1">
        <w:r>
          <w:rPr>
            <w:rStyle w:val="Hyperlink"/>
            <w:noProof/>
          </w:rPr>
          <w:t>заем от почти 45 милиона евро</w:t>
        </w:r>
      </w:hyperlink>
      <w:r>
        <w:rPr>
          <w:noProof/>
        </w:rPr>
        <w:t xml:space="preserve">. За проекта, избран по време на втората мащабна покана на Фонда за иновации за представяне на предложения, вече беше </w:t>
      </w:r>
      <w:hyperlink r:id="rId60" w:history="1">
        <w:r>
          <w:rPr>
            <w:rStyle w:val="Hyperlink"/>
            <w:noProof/>
          </w:rPr>
          <w:t>одобрено отпускане на безвъзмездни средства</w:t>
        </w:r>
      </w:hyperlink>
      <w:r>
        <w:rPr>
          <w:noProof/>
        </w:rPr>
        <w:t xml:space="preserve"> в началото на 2023 г. Това решение подчертава ценната роля, която Фондът играе във финансирането и подкрепата на ключови технологии с възможност за допълнително разширяване за постигане на неутралност по отношение на климата и енергийна сигурност.</w:t>
      </w:r>
    </w:p>
    <w:p w14:paraId="3C58ADCA" w14:textId="672C02CB" w:rsidR="009F7C54" w:rsidRPr="00964B6E" w:rsidRDefault="00E07577" w:rsidP="00156263">
      <w:pPr>
        <w:rPr>
          <w:noProof/>
        </w:rPr>
      </w:pPr>
      <w:r>
        <w:rPr>
          <w:noProof/>
        </w:rPr>
        <w:t xml:space="preserve">На 3 декември 2024 г. Комисията и ЕИБ обявиха </w:t>
      </w:r>
      <w:hyperlink r:id="rId61" w:history="1">
        <w:r>
          <w:rPr>
            <w:rStyle w:val="Hyperlink"/>
            <w:noProof/>
          </w:rPr>
          <w:t>ново партньорство</w:t>
        </w:r>
      </w:hyperlink>
      <w:r>
        <w:rPr>
          <w:noProof/>
        </w:rPr>
        <w:t xml:space="preserve"> за подкрепа на инвестициите в сектора за производство на акумулаторни батерии в ЕС. Това партньорство ще доведе до допълнително финансиране (гаранция по заем) в размер на 200 милиона евро за програмата InvestEU от Фонда. Това е в допълнение към 1 милиард евро, които са на разположение за производство на клетки за акумулаторни батерии за електрически автомобили по поканата ФИ24 за клетки за акумулаторни батерии. Като част от новото партньорство ЕИБ инвестира още 1,8 милиарда евро в по-широката верига на стойността на акумулаторните батерии. Тези съвместни усилия ще доведат до общо 3 милиарда евро публична подкрепа за развитието на конкурентоспособна и устойчива европейска промишленост за акумулаторни батерии.</w:t>
      </w:r>
    </w:p>
    <w:p w14:paraId="57D88A10" w14:textId="64E15AFD" w:rsidR="008C2ED2" w:rsidRPr="00964B6E" w:rsidRDefault="00156263" w:rsidP="008C2ED2">
      <w:pPr>
        <w:rPr>
          <w:noProof/>
          <w:sz w:val="24"/>
          <w:szCs w:val="24"/>
        </w:rPr>
      </w:pPr>
      <w:r>
        <w:rPr>
          <w:noProof/>
        </w:rPr>
        <w:t xml:space="preserve">ЕИБ отговаря и за подпомагането на разработването на проекти (ПРП), за да се улесни достъпът до финансиране от Фонда и други схеми на ЕС, национални безвъзмездни средства и частно финансиране. През 2024 г. ЕИБ подписа и изпълни 23 споразумения за ПРП. Общо бяха изпълнени 30 задания за ПРП. От началото на програмата са подписани споразумения за подкрепа за 62 проекта и те са реализирани. Въздействието на ПРП става все по-видимо. През 2024 г. девет проекта, които преди това не са били одобрени, получиха безвъзмездна помощ по покана ФИ23. ПРП беше разширено, за да включи организатори на проекти, които все още не са кандидатствали за помощ от Фонда, като заявленията вече се подават </w:t>
      </w:r>
      <w:hyperlink r:id="rId62" w:history="1">
        <w:r>
          <w:rPr>
            <w:rStyle w:val="Hyperlink"/>
            <w:noProof/>
          </w:rPr>
          <w:t>директно до ЕИБ</w:t>
        </w:r>
      </w:hyperlink>
      <w:r>
        <w:rPr>
          <w:noProof/>
        </w:rPr>
        <w:t>.</w:t>
      </w:r>
    </w:p>
    <w:p w14:paraId="44BD47A8" w14:textId="7CFCAC50" w:rsidR="00A2736D" w:rsidRPr="00964B6E" w:rsidRDefault="00156263" w:rsidP="009116DE">
      <w:pPr>
        <w:rPr>
          <w:noProof/>
        </w:rPr>
      </w:pPr>
      <w:r>
        <w:rPr>
          <w:noProof/>
        </w:rPr>
        <w:t>Освен че дава възможност на организаторите на проекти да усъвършенстват своите предложения, ЕИБ улеснява и достъпа до други възможности за финансиране. През 2024 г. четири проекта получиха безвъзмездни средства или специален статут на национално равнище, три бяха избрани от Breakthrough Energy Catalyst като получатели на безвъзмездни средства/финансиране или енергийно предприятие, един беше включен в списъка на проектите от общ интерес (ПОИ), а друг – в списъка на проектите, получили печата STEP.</w:t>
      </w:r>
    </w:p>
    <w:p w14:paraId="0ABEC21B" w14:textId="76E8F161" w:rsidR="00362F15" w:rsidRPr="00964B6E" w:rsidRDefault="008C0F2B" w:rsidP="00362F15">
      <w:pPr>
        <w:pStyle w:val="Heading3"/>
        <w:rPr>
          <w:noProof/>
        </w:rPr>
      </w:pPr>
      <w:bookmarkStart w:id="14" w:name="_Toc215482205"/>
      <w:r>
        <w:rPr>
          <w:noProof/>
        </w:rPr>
        <w:t>Платформа за стратегически технологии за Европа (STEP)</w:t>
      </w:r>
      <w:bookmarkEnd w:id="14"/>
    </w:p>
    <w:p w14:paraId="1775FC20" w14:textId="41414929" w:rsidR="004267BD" w:rsidRPr="00964B6E" w:rsidRDefault="009F4FC8" w:rsidP="004E71CA">
      <w:pPr>
        <w:rPr>
          <w:noProof/>
        </w:rPr>
      </w:pPr>
      <w:r>
        <w:rPr>
          <w:noProof/>
        </w:rPr>
        <w:t xml:space="preserve">На 7 февруари 2024 г. </w:t>
      </w:r>
      <w:hyperlink r:id="rId63" w:history="1">
        <w:r>
          <w:rPr>
            <w:rStyle w:val="Hyperlink"/>
            <w:noProof/>
          </w:rPr>
          <w:t>Комисията стартира STEP</w:t>
        </w:r>
      </w:hyperlink>
      <w:r>
        <w:rPr>
          <w:noProof/>
        </w:rPr>
        <w:t>, инициатива, насочена към повишаване на конкурентоспособността на промишлеността на ЕС и намаляване на външните му зависимости. STEP използва финансовите ресурси от редица програми за финансиране на ЕС, включително Фонда за иновации. Тя прилага знак за качество, за да даде по-голяма видимост на проекти, които имат потенциал в областта на чистите технологии и които позволяват ефективно използване на ресурсите, както и на дълбоките и цифровите технологии.</w:t>
      </w:r>
    </w:p>
    <w:p w14:paraId="287DDEAC" w14:textId="1AFE1ECE" w:rsidR="00D10DA4" w:rsidRPr="00964B6E" w:rsidRDefault="004C094E" w:rsidP="004E71CA">
      <w:pPr>
        <w:rPr>
          <w:noProof/>
        </w:rPr>
      </w:pPr>
      <w:r>
        <w:rPr>
          <w:noProof/>
        </w:rPr>
        <w:t>През октомври 2024 г. Комисията избра 85 иновативни проекта за нулеви емисии, които да получат общо 4,8 милиарда евро безвъзмездни средства по покана ФИ23. Всички тези проекти получиха печата STEP. Други 64 нефинансирани проекта също получиха печат, като за 39 от тях беше дадено съгласие информацията за тях да бъде публикувана от Комисията.</w:t>
      </w:r>
    </w:p>
    <w:p w14:paraId="063A6762" w14:textId="2AB68047" w:rsidR="00B55F47" w:rsidRPr="00964B6E" w:rsidRDefault="00456C36" w:rsidP="00245F65">
      <w:pPr>
        <w:rPr>
          <w:noProof/>
        </w:rPr>
      </w:pPr>
      <w:r>
        <w:rPr>
          <w:noProof/>
        </w:rPr>
        <w:t xml:space="preserve">През декември 2024 г. на портала STEP беше публикуван </w:t>
      </w:r>
      <w:hyperlink r:id="rId64" w:history="1">
        <w:r>
          <w:rPr>
            <w:rStyle w:val="Hyperlink"/>
            <w:noProof/>
          </w:rPr>
          <w:t>първият списък с проекти, получили печата STEP</w:t>
        </w:r>
      </w:hyperlink>
      <w:r>
        <w:rPr>
          <w:noProof/>
        </w:rPr>
        <w:t>. Комисията активно популяризира тези проекти пред органите за публично финансиране, например управляващите органи на фондовете в областта на политиката на сближаване и тези на плановете за възстановяване и устойчивост в държавите членки, както и пред частни инвеститори. Като знак за отличие печатът STEP следва да помогне на проектите да привлекат частно финансиране.</w:t>
      </w:r>
    </w:p>
    <w:p w14:paraId="0D85E9B9" w14:textId="25D91F5D" w:rsidR="00362F15" w:rsidRPr="00964B6E" w:rsidRDefault="00A11926" w:rsidP="00362F15">
      <w:pPr>
        <w:pStyle w:val="Heading1"/>
        <w:rPr>
          <w:noProof/>
        </w:rPr>
      </w:pPr>
      <w:bookmarkStart w:id="15" w:name="_Toc215482206"/>
      <w:r>
        <w:rPr>
          <w:noProof/>
        </w:rPr>
        <w:t>Състояние на портфейла на Фонда за иновации през 2024 г.</w:t>
      </w:r>
      <w:bookmarkEnd w:id="15"/>
    </w:p>
    <w:p w14:paraId="379E104A" w14:textId="1A33284B" w:rsidR="00F37C79" w:rsidRPr="00964B6E" w:rsidRDefault="00F37C79" w:rsidP="00F37C79">
      <w:pPr>
        <w:pStyle w:val="Heading2"/>
        <w:rPr>
          <w:noProof/>
        </w:rPr>
      </w:pPr>
      <w:bookmarkStart w:id="16" w:name="_Toc215482207"/>
      <w:r>
        <w:rPr>
          <w:noProof/>
        </w:rPr>
        <w:t>Преглед на резултатите от поканите</w:t>
      </w:r>
      <w:bookmarkEnd w:id="16"/>
    </w:p>
    <w:p w14:paraId="25F24E61" w14:textId="5B5FEF8C" w:rsidR="001A10D4" w:rsidRPr="00964B6E" w:rsidRDefault="00E61D5E" w:rsidP="00E61D5E">
      <w:pPr>
        <w:rPr>
          <w:noProof/>
        </w:rPr>
      </w:pPr>
      <w:r>
        <w:rPr>
          <w:noProof/>
        </w:rPr>
        <w:t>От 2020 г. насам Комисията организира осем покани за представяне на предложения за обикновени безвъзмездни средства и два търга със състезателно наддаване (</w:t>
      </w:r>
      <w:r>
        <w:rPr>
          <w:rStyle w:val="FootnoteReference"/>
          <w:noProof/>
        </w:rPr>
        <w:footnoteReference w:id="15"/>
      </w:r>
      <w:r>
        <w:rPr>
          <w:noProof/>
        </w:rPr>
        <w:t>). До края на 2024 г. по 131 проекта са подписани споразуменията за отпускане на безвъзмездни средства с общ размер на подкрепата 7,4 милиарда евро. Бяха изготвени споразумения за още 86 проекта.</w:t>
      </w:r>
      <w:r>
        <w:rPr>
          <w:noProof/>
          <w:sz w:val="18"/>
        </w:rPr>
        <w:t xml:space="preserve"> </w:t>
      </w:r>
      <w:r>
        <w:rPr>
          <w:noProof/>
        </w:rPr>
        <w:t>По всички покани имаше повече участници, отколкото беше предвидено, като средната поискана сума беше девет пъти по-висока от наличния бюджет.</w:t>
      </w:r>
    </w:p>
    <w:p w14:paraId="1857AFC2" w14:textId="410FA076" w:rsidR="00430261" w:rsidRPr="00964B6E" w:rsidRDefault="00430261" w:rsidP="00CE695D">
      <w:pPr>
        <w:keepNext/>
        <w:jc w:val="center"/>
        <w:rPr>
          <w:noProof/>
        </w:rPr>
      </w:pPr>
    </w:p>
    <w:p w14:paraId="5A77B84F" w14:textId="4C8053A6" w:rsidR="00DF4A27" w:rsidRPr="00964B6E" w:rsidRDefault="00055583" w:rsidP="006E26C7">
      <w:pPr>
        <w:keepNext/>
        <w:jc w:val="center"/>
        <w:rPr>
          <w:noProof/>
        </w:rPr>
      </w:pPr>
      <w:r w:rsidRPr="00055583">
        <w:rPr>
          <w:noProof/>
          <w:lang w:val="en-GB" w:eastAsia="en-GB"/>
        </w:rPr>
        <w:drawing>
          <wp:inline distT="0" distB="0" distL="0" distR="0" wp14:anchorId="569D2038" wp14:editId="281D2525">
            <wp:extent cx="5472430" cy="2796540"/>
            <wp:effectExtent l="0" t="0" r="0" b="3810"/>
            <wp:docPr id="2409588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72430" cy="2796540"/>
                    </a:xfrm>
                    <a:prstGeom prst="rect">
                      <a:avLst/>
                    </a:prstGeom>
                    <a:noFill/>
                    <a:ln>
                      <a:noFill/>
                    </a:ln>
                  </pic:spPr>
                </pic:pic>
              </a:graphicData>
            </a:graphic>
          </wp:inline>
        </w:drawing>
      </w:r>
    </w:p>
    <w:p w14:paraId="0D54ED94" w14:textId="779CD95C" w:rsidR="00E61D5E" w:rsidRPr="00964B6E" w:rsidRDefault="00430261" w:rsidP="00CE695D">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7</w:t>
      </w:r>
      <w:r>
        <w:rPr>
          <w:noProof/>
        </w:rPr>
        <w:fldChar w:fldCharType="end"/>
      </w:r>
      <w:r>
        <w:rPr>
          <w:noProof/>
        </w:rPr>
        <w:t>: Разбивка на резултатите от участието в поканата (</w:t>
      </w:r>
      <w:r>
        <w:rPr>
          <w:rStyle w:val="FootnoteReference"/>
          <w:b w:val="0"/>
          <w:i w:val="0"/>
          <w:noProof/>
        </w:rPr>
        <w:footnoteReference w:id="16"/>
      </w:r>
      <w:r>
        <w:rPr>
          <w:noProof/>
        </w:rPr>
        <w:t>)</w:t>
      </w:r>
    </w:p>
    <w:p w14:paraId="748C015D" w14:textId="01A7ACA8" w:rsidR="00B47577" w:rsidRPr="00964B6E" w:rsidRDefault="00B47577" w:rsidP="00B47577">
      <w:pPr>
        <w:pStyle w:val="Heading2"/>
        <w:rPr>
          <w:noProof/>
        </w:rPr>
      </w:pPr>
      <w:bookmarkStart w:id="17" w:name="_Toc215482208"/>
      <w:r>
        <w:rPr>
          <w:noProof/>
        </w:rPr>
        <w:t>Зрялост на проекта, състояние на изпълнението и предизвикателства</w:t>
      </w:r>
      <w:bookmarkEnd w:id="17"/>
    </w:p>
    <w:p w14:paraId="56E43119" w14:textId="77777777" w:rsidR="006D23B9" w:rsidRPr="00964B6E" w:rsidRDefault="006D23B9" w:rsidP="006D23B9">
      <w:pPr>
        <w:rPr>
          <w:noProof/>
        </w:rPr>
      </w:pPr>
    </w:p>
    <w:p w14:paraId="38F5795D" w14:textId="0DF80966" w:rsidR="00044D35" w:rsidRPr="00964B6E" w:rsidRDefault="00E20569">
      <w:pPr>
        <w:rPr>
          <w:noProof/>
        </w:rPr>
      </w:pPr>
      <w:r>
        <w:rPr>
          <w:noProof/>
        </w:rPr>
        <w:t>До края на 2024 г. общо 36 проекта са постигнали етапа „Окончателно набавяне на финансирането“. Този етап показва, че проектите са осигурили както необходимото финансиране, така и разрешителните за околната среда и строителството. От тези 36 проекта седем са преминали към следващия етап, „Влизане в експлоатация“, с одобрението на CINEA. Междувременно останалите 82 проекти в ход понастоящем се стремят да постигнат статут на „Окончателно набавяне на финансирането“. Към днешна дата са отпуснати 306 милиона евро, като разпределението на изплатените суми между всички 44 проекта, които са получили плащания, е както следва.</w:t>
      </w:r>
    </w:p>
    <w:p w14:paraId="3D1232EA" w14:textId="71DC7B7D" w:rsidR="00EC7299" w:rsidRPr="00964B6E" w:rsidRDefault="00055583" w:rsidP="009868AC">
      <w:pPr>
        <w:keepNext/>
        <w:jc w:val="center"/>
        <w:rPr>
          <w:noProof/>
        </w:rPr>
      </w:pPr>
      <w:r w:rsidRPr="00055583">
        <w:rPr>
          <w:noProof/>
          <w:lang w:val="en-GB" w:eastAsia="en-GB"/>
        </w:rPr>
        <w:drawing>
          <wp:inline distT="0" distB="0" distL="0" distR="0" wp14:anchorId="5DFF8B7E" wp14:editId="72BA585A">
            <wp:extent cx="4581525" cy="2752725"/>
            <wp:effectExtent l="0" t="0" r="9525" b="9525"/>
            <wp:docPr id="9292604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38A0FE82" w14:textId="2EE829CC" w:rsidR="00044D35" w:rsidRPr="00964B6E" w:rsidRDefault="00EC7299" w:rsidP="009868AC">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8</w:t>
      </w:r>
      <w:r>
        <w:rPr>
          <w:noProof/>
        </w:rPr>
        <w:fldChar w:fldCharType="end"/>
      </w:r>
      <w:r>
        <w:rPr>
          <w:noProof/>
        </w:rPr>
        <w:t>: Етап на проекта</w:t>
      </w:r>
    </w:p>
    <w:p w14:paraId="570821CD" w14:textId="6DFA7D5F" w:rsidR="003F268D" w:rsidRPr="00964B6E" w:rsidRDefault="003F268D" w:rsidP="003F268D">
      <w:pPr>
        <w:rPr>
          <w:noProof/>
        </w:rPr>
      </w:pPr>
      <w:r>
        <w:rPr>
          <w:b/>
          <w:noProof/>
        </w:rPr>
        <w:t>Прекратявания</w:t>
      </w:r>
    </w:p>
    <w:p w14:paraId="521E3504" w14:textId="250CF1A8" w:rsidR="00671ED6" w:rsidRPr="00964B6E" w:rsidRDefault="00671ED6" w:rsidP="00362F15">
      <w:pPr>
        <w:rPr>
          <w:noProof/>
        </w:rPr>
      </w:pPr>
      <w:r>
        <w:rPr>
          <w:noProof/>
        </w:rPr>
        <w:t>До края на 2024 г. бяха прекратени общо 11 проекта, девет от които в хода на годината. Междувременно се реализират 120 проекта (</w:t>
      </w:r>
      <w:r>
        <w:rPr>
          <w:rStyle w:val="FootnoteReference"/>
          <w:noProof/>
        </w:rPr>
        <w:footnoteReference w:id="17"/>
      </w:r>
      <w:r>
        <w:rPr>
          <w:noProof/>
        </w:rPr>
        <w:t>) (по проектите по ФИ23 ТННЕ все още не са подписани споразумения за отпускане на безвъзмездни средства).</w:t>
      </w:r>
    </w:p>
    <w:p w14:paraId="32A74B7F" w14:textId="466CA766" w:rsidR="003F268D" w:rsidRPr="00964B6E" w:rsidRDefault="003F268D" w:rsidP="00362F15">
      <w:pPr>
        <w:rPr>
          <w:noProof/>
        </w:rPr>
      </w:pPr>
      <w:r>
        <w:rPr>
          <w:noProof/>
        </w:rPr>
        <w:t>Причините за прекратяванията включват непредвидено значително увеличение на разходите по проекта (пет проекта), оттегляне на партньор по проекта (два проекта), увеличение на цените на суровините (един проект), невъзможност да се намери подходящ купувач (един проект), нарушение на задълженията по споразумението за отпускане на безвъзмездни средства (един проект) и невъзможност да се вземе окончателно инвестиционно решение (един проект).</w:t>
      </w:r>
    </w:p>
    <w:p w14:paraId="435C4DD1" w14:textId="538FCD38" w:rsidR="00362F15" w:rsidRPr="00964B6E" w:rsidRDefault="00F37C79" w:rsidP="00362F15">
      <w:pPr>
        <w:pStyle w:val="Heading2"/>
        <w:rPr>
          <w:noProof/>
        </w:rPr>
      </w:pPr>
      <w:bookmarkStart w:id="21" w:name="_Toc215482209"/>
      <w:r>
        <w:rPr>
          <w:noProof/>
        </w:rPr>
        <w:t>Портфейл по сектори</w:t>
      </w:r>
      <w:bookmarkEnd w:id="21"/>
    </w:p>
    <w:p w14:paraId="4C327384" w14:textId="0CD1EC66" w:rsidR="004147D0" w:rsidRPr="00964B6E" w:rsidRDefault="004147D0" w:rsidP="00B37A8F">
      <w:pPr>
        <w:rPr>
          <w:noProof/>
        </w:rPr>
      </w:pPr>
      <w:r>
        <w:rPr>
          <w:noProof/>
        </w:rPr>
        <w:t>Портфейлът на Фонда (</w:t>
      </w:r>
      <w:r>
        <w:rPr>
          <w:rStyle w:val="FootnoteReference"/>
          <w:noProof/>
        </w:rPr>
        <w:footnoteReference w:id="18"/>
      </w:r>
      <w:r>
        <w:rPr>
          <w:noProof/>
        </w:rPr>
        <w:t>) се състои от пет категории:</w:t>
      </w:r>
    </w:p>
    <w:p w14:paraId="2252D953" w14:textId="515EC474" w:rsidR="00745E5D" w:rsidRPr="00964B6E" w:rsidRDefault="003B3DBD" w:rsidP="00C7784D">
      <w:pPr>
        <w:pStyle w:val="ListParagraph"/>
        <w:numPr>
          <w:ilvl w:val="0"/>
          <w:numId w:val="50"/>
        </w:numPr>
        <w:rPr>
          <w:noProof/>
        </w:rPr>
      </w:pPr>
      <w:r>
        <w:rPr>
          <w:noProof/>
        </w:rPr>
        <w:t>улавяне и съхранение на въглероден диоксид в геоложки формации (УСВ);</w:t>
      </w:r>
    </w:p>
    <w:p w14:paraId="3E0D4F4A" w14:textId="4E11AF86" w:rsidR="003D48EA" w:rsidRPr="00964B6E" w:rsidRDefault="003B3DBD" w:rsidP="00C7784D">
      <w:pPr>
        <w:pStyle w:val="ListParagraph"/>
        <w:numPr>
          <w:ilvl w:val="0"/>
          <w:numId w:val="50"/>
        </w:numPr>
        <w:rPr>
          <w:noProof/>
        </w:rPr>
      </w:pPr>
      <w:r>
        <w:rPr>
          <w:noProof/>
        </w:rPr>
        <w:t>енергоемки отрасли (ЕЕО);</w:t>
      </w:r>
    </w:p>
    <w:p w14:paraId="0C1A622C" w14:textId="1787892A" w:rsidR="00745E5D" w:rsidRPr="00964B6E" w:rsidRDefault="003B3DBD" w:rsidP="00C7784D">
      <w:pPr>
        <w:pStyle w:val="ListParagraph"/>
        <w:numPr>
          <w:ilvl w:val="0"/>
          <w:numId w:val="50"/>
        </w:numPr>
        <w:rPr>
          <w:noProof/>
        </w:rPr>
      </w:pPr>
      <w:r>
        <w:rPr>
          <w:noProof/>
        </w:rPr>
        <w:t>съхранение на енергия (СЕ);</w:t>
      </w:r>
    </w:p>
    <w:p w14:paraId="47E0B23C" w14:textId="76099FE1" w:rsidR="003D48EA" w:rsidRPr="00964B6E" w:rsidRDefault="003B3DBD" w:rsidP="00C7784D">
      <w:pPr>
        <w:pStyle w:val="ListParagraph"/>
        <w:numPr>
          <w:ilvl w:val="0"/>
          <w:numId w:val="50"/>
        </w:numPr>
        <w:rPr>
          <w:noProof/>
        </w:rPr>
      </w:pPr>
      <w:r>
        <w:rPr>
          <w:noProof/>
        </w:rPr>
        <w:t>мобилност (МОБ);</w:t>
      </w:r>
    </w:p>
    <w:p w14:paraId="03A96A55" w14:textId="4F1131AA" w:rsidR="00745E5D" w:rsidRPr="00964B6E" w:rsidRDefault="003B3DBD" w:rsidP="00C7784D">
      <w:pPr>
        <w:pStyle w:val="ListParagraph"/>
        <w:numPr>
          <w:ilvl w:val="0"/>
          <w:numId w:val="50"/>
        </w:numPr>
        <w:rPr>
          <w:noProof/>
        </w:rPr>
      </w:pPr>
      <w:r>
        <w:rPr>
          <w:noProof/>
        </w:rPr>
        <w:t>съхранение на енергия от възобновяеми източници (СЕВИ).</w:t>
      </w:r>
    </w:p>
    <w:p w14:paraId="0EE854D0" w14:textId="77777777" w:rsidR="008034F3" w:rsidRPr="00964B6E" w:rsidRDefault="008034F3" w:rsidP="00B37A8F">
      <w:pPr>
        <w:rPr>
          <w:noProof/>
        </w:rPr>
      </w:pPr>
    </w:p>
    <w:p w14:paraId="2B0A3A35" w14:textId="46D03799" w:rsidR="0065122C" w:rsidRPr="00964B6E" w:rsidRDefault="00493C23" w:rsidP="009868AC">
      <w:pPr>
        <w:keepNext/>
        <w:jc w:val="center"/>
        <w:rPr>
          <w:noProof/>
        </w:rPr>
      </w:pPr>
      <w:r>
        <w:rPr>
          <w:noProof/>
        </w:rPr>
        <w:t xml:space="preserve"> </w:t>
      </w:r>
      <w:r w:rsidR="00055583" w:rsidRPr="00055583">
        <w:rPr>
          <w:noProof/>
          <w:lang w:val="en-GB" w:eastAsia="en-GB"/>
        </w:rPr>
        <w:drawing>
          <wp:inline distT="0" distB="0" distL="0" distR="0" wp14:anchorId="66AA4E73" wp14:editId="21B64A74">
            <wp:extent cx="5472430" cy="2683510"/>
            <wp:effectExtent l="0" t="0" r="0" b="2540"/>
            <wp:docPr id="11740494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72430" cy="2683510"/>
                    </a:xfrm>
                    <a:prstGeom prst="rect">
                      <a:avLst/>
                    </a:prstGeom>
                    <a:noFill/>
                    <a:ln>
                      <a:noFill/>
                    </a:ln>
                  </pic:spPr>
                </pic:pic>
              </a:graphicData>
            </a:graphic>
          </wp:inline>
        </w:drawing>
      </w:r>
    </w:p>
    <w:p w14:paraId="0CDF580B" w14:textId="20EBC3D0" w:rsidR="008034F3" w:rsidRPr="00964B6E" w:rsidRDefault="0065122C" w:rsidP="009868AC">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9</w:t>
      </w:r>
      <w:r>
        <w:rPr>
          <w:noProof/>
        </w:rPr>
        <w:fldChar w:fldCharType="end"/>
      </w:r>
      <w:r>
        <w:rPr>
          <w:noProof/>
        </w:rPr>
        <w:t>: Разбивка на проектите по категории (брой проекти и отпуснато финансиране)</w:t>
      </w:r>
    </w:p>
    <w:p w14:paraId="7A2B719C" w14:textId="77777777" w:rsidR="00B37A8F" w:rsidRPr="00964B6E" w:rsidRDefault="00B37A8F" w:rsidP="00362F15">
      <w:pPr>
        <w:rPr>
          <w:noProof/>
          <w:highlight w:val="yellow"/>
        </w:rPr>
      </w:pPr>
    </w:p>
    <w:p w14:paraId="5EB18E7A" w14:textId="18BC2A8C" w:rsidR="00DB42A0" w:rsidRPr="00964B6E" w:rsidRDefault="254ED442" w:rsidP="00362F15">
      <w:pPr>
        <w:rPr>
          <w:noProof/>
          <w:highlight w:val="yellow"/>
        </w:rPr>
      </w:pPr>
      <w:r>
        <w:rPr>
          <w:noProof/>
        </w:rPr>
        <w:t>Секторите, които са най-добре представени в портфейла на Фонда, са „Водород“ (22 проекта), „Цимент и вар“ (13 проекта) и „Производство на компоненти за енергия от възобновяеми източници или съхранение на енергия“ (11 проекта). Секторът, който получава най-голямо финансиране (1,9 милиарда евро), продължава да бъде „Цимент и вар“ поради значителните инвестиции, необходими за проектите в тази област, които обикновено включват технологии за улавяне и съхранение на въглероден диоксид (УСВ). Секторът, който получава втората по големина сума за подкрепа (1,4 милиарда евро), беше „Водород“, тъй като водородът е междусекторна инвестиция, подкрепяща декарбонизацията в редица сектори, включително въздухоплаването и морския транспорт (чрез синтетични горива), енергоемките промишлени отрасли (заместване на изкопаемите горива в различни процеси, включително производството на стомана и топлоенергия) и производството на електроенергия (дългосрочно съхранение на енергия). Инвестициите са високи и в химическия сектор (790 милиона евро) и рафинериите (290 милиона евро), с различни проекти, насочени към заместването на изкопаемите горива с основни продукти като пластмаси, биогорива, метанол, амоняк и органични химикали.</w:t>
      </w:r>
    </w:p>
    <w:p w14:paraId="2C1FDF0A" w14:textId="3A998218" w:rsidR="00F73A90" w:rsidRPr="00964B6E" w:rsidRDefault="00055583" w:rsidP="00F73A90">
      <w:pPr>
        <w:keepNext/>
        <w:rPr>
          <w:noProof/>
        </w:rPr>
      </w:pPr>
      <w:r w:rsidRPr="00055583">
        <w:rPr>
          <w:noProof/>
          <w:lang w:val="en-GB" w:eastAsia="en-GB"/>
        </w:rPr>
        <w:drawing>
          <wp:inline distT="0" distB="0" distL="0" distR="0" wp14:anchorId="2B9D270C" wp14:editId="0CDDDD4A">
            <wp:extent cx="5272405" cy="3407670"/>
            <wp:effectExtent l="0" t="0" r="4445" b="2540"/>
            <wp:docPr id="7985026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72405" cy="3407670"/>
                    </a:xfrm>
                    <a:prstGeom prst="rect">
                      <a:avLst/>
                    </a:prstGeom>
                    <a:noFill/>
                    <a:ln>
                      <a:noFill/>
                    </a:ln>
                  </pic:spPr>
                </pic:pic>
              </a:graphicData>
            </a:graphic>
          </wp:inline>
        </w:drawing>
      </w:r>
    </w:p>
    <w:p w14:paraId="1D0AB5C8" w14:textId="6ED01EBC" w:rsidR="00DB42A0" w:rsidRPr="00964B6E" w:rsidRDefault="00F73A90" w:rsidP="00E26B99">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10</w:t>
      </w:r>
      <w:r>
        <w:rPr>
          <w:noProof/>
        </w:rPr>
        <w:fldChar w:fldCharType="end"/>
      </w:r>
      <w:r>
        <w:rPr>
          <w:noProof/>
        </w:rPr>
        <w:t>: Брой на проектите по сектори</w:t>
      </w:r>
    </w:p>
    <w:p w14:paraId="0879085C" w14:textId="77777777" w:rsidR="00F73A90" w:rsidRPr="00964B6E" w:rsidRDefault="00F73A90" w:rsidP="00362F15">
      <w:pPr>
        <w:rPr>
          <w:noProof/>
        </w:rPr>
      </w:pPr>
    </w:p>
    <w:p w14:paraId="282ACB23" w14:textId="4ADCBA43" w:rsidR="00F73A90" w:rsidRPr="00964B6E" w:rsidRDefault="00055583" w:rsidP="00F73A90">
      <w:pPr>
        <w:keepNext/>
        <w:rPr>
          <w:noProof/>
        </w:rPr>
      </w:pPr>
      <w:r w:rsidRPr="00055583">
        <w:rPr>
          <w:noProof/>
          <w:lang w:val="en-GB" w:eastAsia="en-GB"/>
        </w:rPr>
        <w:drawing>
          <wp:inline distT="0" distB="0" distL="0" distR="0" wp14:anchorId="1406F872" wp14:editId="35403A6F">
            <wp:extent cx="4713006" cy="4705350"/>
            <wp:effectExtent l="0" t="0" r="0" b="0"/>
            <wp:docPr id="9243739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21612" cy="4713942"/>
                    </a:xfrm>
                    <a:prstGeom prst="rect">
                      <a:avLst/>
                    </a:prstGeom>
                    <a:noFill/>
                    <a:ln>
                      <a:noFill/>
                    </a:ln>
                  </pic:spPr>
                </pic:pic>
              </a:graphicData>
            </a:graphic>
          </wp:inline>
        </w:drawing>
      </w:r>
    </w:p>
    <w:p w14:paraId="7E51B840" w14:textId="484345F9" w:rsidR="00FA3F4A" w:rsidRPr="00964B6E" w:rsidRDefault="00F73A90" w:rsidP="00E26B99">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11</w:t>
      </w:r>
      <w:r>
        <w:rPr>
          <w:noProof/>
        </w:rPr>
        <w:fldChar w:fldCharType="end"/>
      </w:r>
      <w:r>
        <w:rPr>
          <w:noProof/>
        </w:rPr>
        <w:t>: Отпуснати средства по сектори</w:t>
      </w:r>
    </w:p>
    <w:p w14:paraId="062772F2" w14:textId="0E20BCA8" w:rsidR="00362F15" w:rsidRPr="00964B6E" w:rsidRDefault="00F17CE5" w:rsidP="00362F15">
      <w:pPr>
        <w:pStyle w:val="Heading2"/>
        <w:rPr>
          <w:noProof/>
        </w:rPr>
      </w:pPr>
      <w:bookmarkStart w:id="22" w:name="_Toc215482210"/>
      <w:r>
        <w:rPr>
          <w:noProof/>
        </w:rPr>
        <w:t>Географски баланс</w:t>
      </w:r>
      <w:bookmarkEnd w:id="22"/>
    </w:p>
    <w:p w14:paraId="46861D7F" w14:textId="21065836" w:rsidR="00A8726A" w:rsidRPr="00964B6E" w:rsidRDefault="006433DB" w:rsidP="00DD323E">
      <w:pPr>
        <w:rPr>
          <w:noProof/>
        </w:rPr>
      </w:pPr>
      <w:r>
        <w:rPr>
          <w:noProof/>
        </w:rPr>
        <w:t>Към края на 2024 г. 24 от всички 30 допустими държави в ЕС и ЕИП имат поне един одобрен проект по Фонда за иновации (ФИ), като в 14 държави имат поне три текущи проекта. Държавите с най-голям брой проекти са Испания (21), Франция (14), Италия (11), Германия (10) и Нидерландия (9). С резултатите от ФИ23 броят на държавите с поне един проект в портфолиото на ФИ ще се увеличи до 26, като Естония и Словакия са получили финансиране за проекти.</w:t>
      </w:r>
    </w:p>
    <w:p w14:paraId="56CD1C70" w14:textId="1D162408" w:rsidR="00532CA9" w:rsidRPr="00964B6E" w:rsidRDefault="00F32CDF" w:rsidP="00DD323E">
      <w:pPr>
        <w:rPr>
          <w:noProof/>
        </w:rPr>
      </w:pPr>
      <w:r>
        <w:rPr>
          <w:noProof/>
        </w:rPr>
        <w:t>Основната причина, поради която малко проекти получиха финансиране в останалите държави, е, че от тези държави не бяха получени много предложения. До ФИ23 включително кандидатите са подали седем допустими проекта в Румъния, два в Люксембург и един в Малта. От Лихтенщайн не са постъпили заявления.</w:t>
      </w:r>
    </w:p>
    <w:p w14:paraId="77522194" w14:textId="77777777" w:rsidR="00B85281" w:rsidRPr="00964B6E" w:rsidRDefault="00B85281" w:rsidP="00DD323E">
      <w:pPr>
        <w:rPr>
          <w:noProof/>
        </w:rPr>
      </w:pPr>
    </w:p>
    <w:p w14:paraId="557E3C25" w14:textId="358C5792" w:rsidR="00D97B2E" w:rsidRPr="00964B6E" w:rsidRDefault="00E01425" w:rsidP="00D97B2E">
      <w:pPr>
        <w:keepNext/>
        <w:jc w:val="center"/>
        <w:rPr>
          <w:noProof/>
        </w:rPr>
      </w:pPr>
      <w:r>
        <w:rPr>
          <w:noProof/>
          <w:lang w:val="en-GB" w:eastAsia="en-GB"/>
        </w:rPr>
        <w:drawing>
          <wp:inline distT="0" distB="0" distL="0" distR="0" wp14:anchorId="4DCD6EDF" wp14:editId="4498D0BA">
            <wp:extent cx="5467350" cy="2905125"/>
            <wp:effectExtent l="0" t="0" r="0" b="9525"/>
            <wp:docPr id="121935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67350" cy="2905125"/>
                    </a:xfrm>
                    <a:prstGeom prst="rect">
                      <a:avLst/>
                    </a:prstGeom>
                    <a:noFill/>
                    <a:ln>
                      <a:noFill/>
                    </a:ln>
                  </pic:spPr>
                </pic:pic>
              </a:graphicData>
            </a:graphic>
          </wp:inline>
        </w:drawing>
      </w:r>
    </w:p>
    <w:p w14:paraId="3624234E" w14:textId="723400D2" w:rsidR="00D97B2E" w:rsidRPr="00964B6E" w:rsidRDefault="00D97B2E" w:rsidP="00D97B2E">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12</w:t>
      </w:r>
      <w:r>
        <w:rPr>
          <w:noProof/>
        </w:rPr>
        <w:fldChar w:fldCharType="end"/>
      </w:r>
      <w:r>
        <w:rPr>
          <w:noProof/>
        </w:rPr>
        <w:t>: Брой проекти по първа държава на местоположение (</w:t>
      </w:r>
      <w:r>
        <w:rPr>
          <w:rStyle w:val="FootnoteReference"/>
          <w:b w:val="0"/>
          <w:i w:val="0"/>
          <w:noProof/>
        </w:rPr>
        <w:footnoteReference w:id="19"/>
      </w:r>
      <w:r>
        <w:rPr>
          <w:noProof/>
        </w:rPr>
        <w:t>)</w:t>
      </w:r>
    </w:p>
    <w:p w14:paraId="38D2665A" w14:textId="77777777" w:rsidR="003C6964" w:rsidRPr="00964B6E" w:rsidRDefault="003C6964" w:rsidP="003C6964">
      <w:pPr>
        <w:rPr>
          <w:noProof/>
        </w:rPr>
      </w:pPr>
    </w:p>
    <w:p w14:paraId="1874E860" w14:textId="7683499E" w:rsidR="003C6964" w:rsidRPr="00964B6E" w:rsidRDefault="25AD02DE" w:rsidP="00BB006F">
      <w:pPr>
        <w:rPr>
          <w:noProof/>
        </w:rPr>
      </w:pPr>
      <w:r>
        <w:rPr>
          <w:noProof/>
        </w:rPr>
        <w:t>По отношение на финансирането Испания (1,0 милиарда евро), Германия (867 милиона евро), Швеция (782 милиона евро), Белгия (671 милиона евро) и Норвегия (572 милиона евро) са получили най-голям дял от подкрепата по ФИ. Разликата между финансирането и броя на проектите се дължи на факта, че средният размер на проектите е по-голям в държави като Белгия, Норвегия и Швеция, където има по-голям дял на енергоемки промишлени проекти, като например проекти за екосъобразна стомана и УСВ, които са по-големи и капиталоемки инвестиции.</w:t>
      </w:r>
    </w:p>
    <w:p w14:paraId="549EEC92" w14:textId="77777777" w:rsidR="00D97B2E" w:rsidRPr="00964B6E" w:rsidRDefault="00D97B2E" w:rsidP="00D97B2E">
      <w:pPr>
        <w:rPr>
          <w:noProof/>
        </w:rPr>
      </w:pPr>
    </w:p>
    <w:p w14:paraId="109E64EF" w14:textId="3D3BAA79" w:rsidR="00D97B2E" w:rsidRPr="00964B6E" w:rsidRDefault="00197695" w:rsidP="00D97B2E">
      <w:pPr>
        <w:keepNext/>
        <w:jc w:val="center"/>
        <w:rPr>
          <w:noProof/>
        </w:rPr>
      </w:pPr>
      <w:r w:rsidRPr="00197695">
        <w:rPr>
          <w:noProof/>
          <w:lang w:val="en-GB" w:eastAsia="en-GB"/>
        </w:rPr>
        <w:drawing>
          <wp:inline distT="0" distB="0" distL="0" distR="0" wp14:anchorId="6EBBB62D" wp14:editId="6944EAA0">
            <wp:extent cx="5472430" cy="2878455"/>
            <wp:effectExtent l="0" t="0" r="0" b="0"/>
            <wp:docPr id="12882947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72430" cy="2878455"/>
                    </a:xfrm>
                    <a:prstGeom prst="rect">
                      <a:avLst/>
                    </a:prstGeom>
                    <a:noFill/>
                    <a:ln>
                      <a:noFill/>
                    </a:ln>
                  </pic:spPr>
                </pic:pic>
              </a:graphicData>
            </a:graphic>
          </wp:inline>
        </w:drawing>
      </w:r>
    </w:p>
    <w:p w14:paraId="2792E50A" w14:textId="38D052F2" w:rsidR="00D97B2E" w:rsidRPr="00964B6E" w:rsidRDefault="00D97B2E" w:rsidP="00D97B2E">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13</w:t>
      </w:r>
      <w:r>
        <w:rPr>
          <w:noProof/>
        </w:rPr>
        <w:fldChar w:fldCharType="end"/>
      </w:r>
      <w:r>
        <w:rPr>
          <w:noProof/>
        </w:rPr>
        <w:t>: Отпуснати средства по държави</w:t>
      </w:r>
    </w:p>
    <w:p w14:paraId="53C0370D" w14:textId="5E8ACBE2" w:rsidR="00D97B2E" w:rsidRPr="00964B6E" w:rsidRDefault="00A80D20" w:rsidP="00D97B2E">
      <w:pPr>
        <w:rPr>
          <w:noProof/>
        </w:rPr>
      </w:pPr>
      <w:r>
        <w:rPr>
          <w:noProof/>
        </w:rPr>
        <w:t>Естествено, редица фактори оказват влияние върху географския дял от финансирането, което дадена държава може да получи. Те могат да включват броя на предложенията, подадени от дадена държава, размера на нейната икономика, броя на допустимите промишлени дейности, подкрепата, предоставена от държавите членки на субектите, изготвящи предложения, наличието на съфинансиране и др. В случая на проекти по търгове цената на електроенергията също е важен фактор. Проектите получават финансиране от Фонда за иновации единствено въз основа на тяхното високо качество. При избора на проекти географският баланс се взема предвид само в ограничена степен (</w:t>
      </w:r>
      <w:r>
        <w:rPr>
          <w:rStyle w:val="FootnoteReference"/>
          <w:noProof/>
        </w:rPr>
        <w:footnoteReference w:id="20"/>
      </w:r>
      <w:r>
        <w:rPr>
          <w:noProof/>
        </w:rPr>
        <w:t>).</w:t>
      </w:r>
    </w:p>
    <w:p w14:paraId="7A7FEC7A" w14:textId="43349A46" w:rsidR="003E1356" w:rsidRPr="00964B6E" w:rsidRDefault="000952C8" w:rsidP="00D97B2E">
      <w:pPr>
        <w:rPr>
          <w:noProof/>
        </w:rPr>
      </w:pPr>
      <w:r>
        <w:rPr>
          <w:noProof/>
        </w:rPr>
        <w:t>За да се илюстрира делът на финансирането, получено от държавите, в зависимост от размера на тяхната икономика и наличието на съответни промишлени отрасли, по-долу е направено сравнение между БВП и дела на емисиите по СТЕ.</w:t>
      </w:r>
    </w:p>
    <w:p w14:paraId="37CF80C2" w14:textId="093D39BB" w:rsidR="00532CA9" w:rsidRPr="00964B6E" w:rsidRDefault="20638FE8" w:rsidP="00B172A0">
      <w:pPr>
        <w:rPr>
          <w:noProof/>
        </w:rPr>
      </w:pPr>
      <w:r>
        <w:rPr>
          <w:noProof/>
        </w:rPr>
        <w:t>Може да се види, че големи икономики като Германия, Франция и Италия са относително слабо представени както по отношение на дела си в СТЕ, така и по отношение на БВП. В случая на Германия и Франция тази ситуация ще се подобри с резултатите от поканата ФИ23 ТННЕ, като проектите в Германия ще получат дял от 664 милиона евро, а проектите във Франция — дял от 518 милиона евро. Държавите, които постигат по-добри резултати както по отношение на дела си в СТЕ, така и по отношение на размера на БВП, са Белгия, Норвегия, Испания и Швеция.</w:t>
      </w:r>
    </w:p>
    <w:p w14:paraId="3AC8189A" w14:textId="3BFC6793" w:rsidR="001933C9" w:rsidRPr="00964B6E" w:rsidRDefault="00197695" w:rsidP="001933C9">
      <w:pPr>
        <w:keepNext/>
        <w:jc w:val="center"/>
        <w:rPr>
          <w:noProof/>
        </w:rPr>
      </w:pPr>
      <w:r w:rsidRPr="00197695">
        <w:rPr>
          <w:noProof/>
          <w:lang w:val="en-GB" w:eastAsia="en-GB"/>
        </w:rPr>
        <w:drawing>
          <wp:inline distT="0" distB="0" distL="0" distR="0" wp14:anchorId="4FBBB571" wp14:editId="0A592064">
            <wp:extent cx="5472430" cy="3268345"/>
            <wp:effectExtent l="0" t="0" r="0" b="8255"/>
            <wp:docPr id="14197998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72430" cy="3268345"/>
                    </a:xfrm>
                    <a:prstGeom prst="rect">
                      <a:avLst/>
                    </a:prstGeom>
                    <a:noFill/>
                    <a:ln>
                      <a:noFill/>
                    </a:ln>
                  </pic:spPr>
                </pic:pic>
              </a:graphicData>
            </a:graphic>
          </wp:inline>
        </w:drawing>
      </w:r>
    </w:p>
    <w:p w14:paraId="296497A0" w14:textId="60345C31" w:rsidR="001933C9" w:rsidRPr="00964B6E" w:rsidRDefault="001933C9" w:rsidP="001933C9">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14</w:t>
      </w:r>
      <w:r>
        <w:rPr>
          <w:noProof/>
        </w:rPr>
        <w:fldChar w:fldCharType="end"/>
      </w:r>
      <w:r>
        <w:rPr>
          <w:noProof/>
        </w:rPr>
        <w:t>: Географско разпределение по дял от БВП (</w:t>
      </w:r>
      <w:r>
        <w:rPr>
          <w:rStyle w:val="FootnoteReference"/>
          <w:b w:val="0"/>
          <w:i w:val="0"/>
          <w:noProof/>
        </w:rPr>
        <w:footnoteReference w:id="21"/>
      </w:r>
      <w:r>
        <w:rPr>
          <w:noProof/>
        </w:rPr>
        <w:t>) и дял от финансирането от ФИ</w:t>
      </w:r>
    </w:p>
    <w:p w14:paraId="13199A23" w14:textId="77777777" w:rsidR="001933C9" w:rsidRPr="00964B6E" w:rsidRDefault="001933C9" w:rsidP="001933C9">
      <w:pPr>
        <w:jc w:val="center"/>
        <w:rPr>
          <w:noProof/>
        </w:rPr>
      </w:pPr>
    </w:p>
    <w:p w14:paraId="583AEF5B" w14:textId="2456613C" w:rsidR="001933C9" w:rsidRPr="00964B6E" w:rsidRDefault="00197695" w:rsidP="001933C9">
      <w:pPr>
        <w:keepNext/>
        <w:jc w:val="center"/>
        <w:rPr>
          <w:noProof/>
        </w:rPr>
      </w:pPr>
      <w:r w:rsidRPr="00197695">
        <w:rPr>
          <w:noProof/>
          <w:lang w:val="en-GB" w:eastAsia="en-GB"/>
        </w:rPr>
        <w:drawing>
          <wp:inline distT="0" distB="0" distL="0" distR="0" wp14:anchorId="1EC3F7CE" wp14:editId="744F1A31">
            <wp:extent cx="5472430" cy="3420110"/>
            <wp:effectExtent l="0" t="0" r="0" b="8890"/>
            <wp:docPr id="7018014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72430" cy="3420110"/>
                    </a:xfrm>
                    <a:prstGeom prst="rect">
                      <a:avLst/>
                    </a:prstGeom>
                    <a:noFill/>
                    <a:ln>
                      <a:noFill/>
                    </a:ln>
                  </pic:spPr>
                </pic:pic>
              </a:graphicData>
            </a:graphic>
          </wp:inline>
        </w:drawing>
      </w:r>
    </w:p>
    <w:p w14:paraId="67FD4A33" w14:textId="2C66D38C" w:rsidR="001933C9" w:rsidRPr="00964B6E" w:rsidRDefault="001933C9" w:rsidP="001933C9">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15</w:t>
      </w:r>
      <w:r>
        <w:rPr>
          <w:noProof/>
        </w:rPr>
        <w:fldChar w:fldCharType="end"/>
      </w:r>
      <w:r>
        <w:rPr>
          <w:noProof/>
        </w:rPr>
        <w:t>: Географско разпределение по дял от СТЕ (</w:t>
      </w:r>
      <w:r>
        <w:rPr>
          <w:rStyle w:val="FootnoteReference"/>
          <w:b w:val="0"/>
          <w:i w:val="0"/>
          <w:noProof/>
        </w:rPr>
        <w:footnoteReference w:id="22"/>
      </w:r>
      <w:r>
        <w:rPr>
          <w:noProof/>
        </w:rPr>
        <w:t>) и дял от финансирането от ФИ</w:t>
      </w:r>
    </w:p>
    <w:p w14:paraId="7BBC286E" w14:textId="77777777" w:rsidR="001933C9" w:rsidRPr="00964B6E" w:rsidRDefault="001933C9" w:rsidP="00B172A0">
      <w:pPr>
        <w:rPr>
          <w:noProof/>
        </w:rPr>
      </w:pPr>
    </w:p>
    <w:p w14:paraId="70EE64B4" w14:textId="370D6ECB" w:rsidR="002E3013" w:rsidRPr="00964B6E" w:rsidRDefault="002E3013" w:rsidP="00BB006F">
      <w:pPr>
        <w:rPr>
          <w:noProof/>
        </w:rPr>
      </w:pPr>
      <w:r>
        <w:rPr>
          <w:noProof/>
        </w:rPr>
        <w:t>Фондът за иновации е въвел няколко механизма, за да помогне на всички държави членки и държави от ЕИП да представят качествени предложения за финансиране от Фонда. Те включват подкрепа за националните звена за контакт (НКТ) във всяка държава членка, техническа помощ за държави с ниски нива на участие и подпомагане на разработването на проекти (ПРП) с конкретни географски КПИ.</w:t>
      </w:r>
    </w:p>
    <w:p w14:paraId="03CD4A49" w14:textId="77777777" w:rsidR="00256767" w:rsidRPr="00964B6E" w:rsidRDefault="00256767" w:rsidP="00256767">
      <w:pPr>
        <w:rPr>
          <w:noProof/>
        </w:rPr>
      </w:pPr>
    </w:p>
    <w:p w14:paraId="257CA044" w14:textId="19603BD0" w:rsidR="00256767" w:rsidRPr="00964B6E" w:rsidRDefault="00256767" w:rsidP="00256767">
      <w:pPr>
        <w:pStyle w:val="Heading2"/>
        <w:rPr>
          <w:noProof/>
        </w:rPr>
      </w:pPr>
      <w:bookmarkStart w:id="23" w:name="_Toc215482211"/>
      <w:r>
        <w:rPr>
          <w:noProof/>
        </w:rPr>
        <w:t>Предотвратяване на парникови газове</w:t>
      </w:r>
      <w:bookmarkEnd w:id="23"/>
    </w:p>
    <w:p w14:paraId="7D23DE45" w14:textId="46A10303" w:rsidR="00255F6C" w:rsidRPr="00964B6E" w:rsidRDefault="00255F6C" w:rsidP="00BB006F">
      <w:pPr>
        <w:rPr>
          <w:noProof/>
        </w:rPr>
      </w:pPr>
      <w:r>
        <w:rPr>
          <w:noProof/>
        </w:rPr>
        <w:t>Очаква се, че всички 120 проекта в портфейла на Фонда в края на 2024 г. ще предотвратят общо 489 милиона </w:t>
      </w:r>
      <w:r>
        <w:rPr>
          <w:noProof/>
          <w:color w:val="000000" w:themeColor="text1"/>
          <w:sz w:val="24"/>
        </w:rPr>
        <w:t xml:space="preserve">тона </w:t>
      </w:r>
      <w:r>
        <w:rPr>
          <w:noProof/>
          <w:sz w:val="24"/>
        </w:rPr>
        <w:t>CO</w:t>
      </w:r>
      <w:r>
        <w:rPr>
          <w:noProof/>
          <w:sz w:val="24"/>
          <w:vertAlign w:val="subscript"/>
        </w:rPr>
        <w:t>2</w:t>
      </w:r>
      <w:r>
        <w:rPr>
          <w:noProof/>
          <w:color w:val="000000" w:themeColor="text1"/>
          <w:sz w:val="24"/>
        </w:rPr>
        <w:t xml:space="preserve">-екв. през първото десетилетие от тяхното действие, което съответства на средно 69 EUR финансиране на килограм </w:t>
      </w:r>
      <w:r>
        <w:rPr>
          <w:noProof/>
          <w:sz w:val="24"/>
        </w:rPr>
        <w:t>CO</w:t>
      </w:r>
      <w:r>
        <w:rPr>
          <w:noProof/>
          <w:sz w:val="24"/>
          <w:vertAlign w:val="subscript"/>
        </w:rPr>
        <w:t>2</w:t>
      </w:r>
      <w:r>
        <w:rPr>
          <w:noProof/>
          <w:color w:val="000000" w:themeColor="text1"/>
          <w:sz w:val="24"/>
        </w:rPr>
        <w:t>-екв., който е бил предотвратен.</w:t>
      </w:r>
    </w:p>
    <w:p w14:paraId="2BA30E73" w14:textId="77777777" w:rsidR="00256767" w:rsidRPr="00964B6E" w:rsidRDefault="00256767" w:rsidP="00256767">
      <w:pPr>
        <w:rPr>
          <w:noProof/>
          <w:highlight w:val="green"/>
        </w:rPr>
      </w:pPr>
    </w:p>
    <w:p w14:paraId="296E2360" w14:textId="41EF6A25" w:rsidR="00256767" w:rsidRPr="00964B6E" w:rsidRDefault="00197695" w:rsidP="00BB006F">
      <w:pPr>
        <w:keepNext/>
        <w:jc w:val="center"/>
        <w:rPr>
          <w:noProof/>
        </w:rPr>
      </w:pPr>
      <w:r w:rsidRPr="00197695">
        <w:rPr>
          <w:noProof/>
          <w:lang w:val="en-GB" w:eastAsia="en-GB"/>
        </w:rPr>
        <w:drawing>
          <wp:inline distT="0" distB="0" distL="0" distR="0" wp14:anchorId="1A00FC9D" wp14:editId="7EE21292">
            <wp:extent cx="4581525" cy="2752725"/>
            <wp:effectExtent l="0" t="0" r="9525" b="9525"/>
            <wp:docPr id="21192949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388145A7" w14:textId="26C490F9" w:rsidR="00256767" w:rsidRPr="00964B6E" w:rsidRDefault="00256767" w:rsidP="003C57BE">
      <w:pPr>
        <w:pStyle w:val="Caption"/>
        <w:jc w:val="center"/>
        <w:rPr>
          <w:noProof/>
        </w:rPr>
      </w:pPr>
      <w:r>
        <w:rPr>
          <w:noProof/>
        </w:rPr>
        <w:t>Фигура </w:t>
      </w:r>
      <w:r>
        <w:rPr>
          <w:noProof/>
        </w:rPr>
        <w:fldChar w:fldCharType="begin"/>
      </w:r>
      <w:r>
        <w:rPr>
          <w:noProof/>
        </w:rPr>
        <w:instrText>SEQ Figure \* ARABIC</w:instrText>
      </w:r>
      <w:r>
        <w:rPr>
          <w:noProof/>
        </w:rPr>
        <w:fldChar w:fldCharType="separate"/>
      </w:r>
      <w:r>
        <w:rPr>
          <w:noProof/>
        </w:rPr>
        <w:t>16</w:t>
      </w:r>
      <w:r>
        <w:rPr>
          <w:noProof/>
        </w:rPr>
        <w:fldChar w:fldCharType="end"/>
      </w:r>
      <w:r>
        <w:rPr>
          <w:noProof/>
        </w:rPr>
        <w:t>: Очаквано предотвратяване на емисиите на парникови газове чрез поканата</w:t>
      </w:r>
    </w:p>
    <w:p w14:paraId="23A1A813" w14:textId="4E67E947" w:rsidR="00A84E24" w:rsidRPr="00964B6E" w:rsidRDefault="00A84E24" w:rsidP="00A84E24">
      <w:pPr>
        <w:pStyle w:val="Heading1"/>
        <w:rPr>
          <w:noProof/>
        </w:rPr>
      </w:pPr>
      <w:bookmarkStart w:id="24" w:name="_Toc215482212"/>
      <w:r>
        <w:rPr>
          <w:noProof/>
        </w:rPr>
        <w:t>Комуникация и повишаване на видимостта</w:t>
      </w:r>
      <w:bookmarkEnd w:id="24"/>
    </w:p>
    <w:p w14:paraId="073244DA" w14:textId="0CDA6AA5" w:rsidR="5FE6D5C9" w:rsidRPr="00964B6E" w:rsidRDefault="00A84E24" w:rsidP="00495672">
      <w:pPr>
        <w:pStyle w:val="Heading2"/>
        <w:rPr>
          <w:noProof/>
        </w:rPr>
      </w:pPr>
      <w:bookmarkStart w:id="25" w:name="_Toc215482213"/>
      <w:r>
        <w:rPr>
          <w:noProof/>
        </w:rPr>
        <w:t>Мрежа на НЗК</w:t>
      </w:r>
      <w:bookmarkEnd w:id="25"/>
    </w:p>
    <w:p w14:paraId="131CC0D5" w14:textId="006E1C04" w:rsidR="00853788" w:rsidRPr="00964B6E" w:rsidRDefault="00853788" w:rsidP="00CD4831">
      <w:pPr>
        <w:rPr>
          <w:noProof/>
        </w:rPr>
      </w:pPr>
      <w:r>
        <w:rPr>
          <w:noProof/>
        </w:rPr>
        <w:t>Фондът активно подкрепя националните органи и предоставя обратна връзка чрез участие в национални информационни дни и местни дейности за популяризиране. В рамките на работния поток „Техническа помощ за държавите членки“ бяха проведени обучения за всички НЗК на Фонда. Освен това са предоставени комуникационни материали на местни езици, за да се подпомогнат НЗК в техните усилия за разпространение и комуникация на местно равнище. През 2024 г. в пет обучителни сесии бяха обхванати теми като комуникационни стратегии, механизма на търга за водород от възобновяеми източници и начините, по които безвъзмездните средства от Фонда могат да се комбинират с други източници на публично финансиране както на равнището на ЕС, така и на национално равнище. Провеждат се редовни разговори за отчитане на напредъка, за да се информират НЗК за последните политически събития. Този работен поток ще продължи да функционира до 2025 г. с нов договор, като целта е да се засили ролята на НЗК в популяризирането на Фонда на местно равнище и ефективното разглеждане на заявленията на кандидатите.</w:t>
      </w:r>
    </w:p>
    <w:p w14:paraId="0B6F937A" w14:textId="3C033A46" w:rsidR="00A84E24" w:rsidRPr="00964B6E" w:rsidRDefault="00A84E24" w:rsidP="00A84E24">
      <w:pPr>
        <w:pStyle w:val="Heading2"/>
        <w:rPr>
          <w:noProof/>
        </w:rPr>
      </w:pPr>
      <w:bookmarkStart w:id="26" w:name="_Toc215482214"/>
      <w:r>
        <w:rPr>
          <w:noProof/>
        </w:rPr>
        <w:t>Експертна група на Фонда за иновации и ангажираност на заинтересованите страни</w:t>
      </w:r>
      <w:bookmarkEnd w:id="26"/>
    </w:p>
    <w:p w14:paraId="18E99183" w14:textId="611F88FC" w:rsidR="00CD4831" w:rsidRPr="00964B6E" w:rsidRDefault="00CD4831" w:rsidP="00CD4831">
      <w:pPr>
        <w:rPr>
          <w:noProof/>
        </w:rPr>
      </w:pPr>
      <w:r>
        <w:rPr>
          <w:noProof/>
        </w:rPr>
        <w:t>Комисията организира две срещи на експертната група на Фонда през 2024 г.: на 27 юни и 14 ноември 2024 г. (</w:t>
      </w:r>
      <w:r>
        <w:rPr>
          <w:rStyle w:val="FootnoteReference"/>
          <w:noProof/>
        </w:rPr>
        <w:footnoteReference w:id="23"/>
      </w:r>
      <w:r>
        <w:rPr>
          <w:noProof/>
        </w:rPr>
        <w:t>). Резултатите от търга ФИ23 и поканата ФИ23 бяха представени на срещите, заедно с резултатите от консултациите със заинтересованите страни относно предстоящата покана за представяне на предложения на ФИ за 2024 г. Бяха обсъдени и условията и търговете като услуга за търга за водород от възобновяеми източници през 2024 г. (търг ФИ24). Бяха споделени и важните моменти от предстоящите покани за 2024 г. за технологии с нулеви емисии (покана ФИ24) и производство на клетки за акумулаторни батерии за електрически превозни средства (покана ФИ24 за акумулаторни батерии). Целта на срещите беше да се представят последните развития във Фонда и да се съберат мнения от допустимите държави и представителите на промишлеността относно бъдещите насоки, които Фондът трябва да поеме.</w:t>
      </w:r>
    </w:p>
    <w:p w14:paraId="64D55ABE" w14:textId="7C2A1B21" w:rsidR="00A84E24" w:rsidRPr="00964B6E" w:rsidRDefault="00A84E24" w:rsidP="00A84E24">
      <w:pPr>
        <w:pStyle w:val="Heading2"/>
        <w:rPr>
          <w:noProof/>
        </w:rPr>
      </w:pPr>
      <w:bookmarkStart w:id="27" w:name="_Toc215482215"/>
      <w:r>
        <w:rPr>
          <w:noProof/>
        </w:rPr>
        <w:t>Обмен на знания</w:t>
      </w:r>
      <w:bookmarkEnd w:id="27"/>
    </w:p>
    <w:p w14:paraId="38291F0A" w14:textId="49CF6E0E" w:rsidR="00461AC6" w:rsidRPr="00964B6E" w:rsidRDefault="00DF0C7A" w:rsidP="007B258E">
      <w:pPr>
        <w:rPr>
          <w:noProof/>
        </w:rPr>
      </w:pPr>
      <w:r>
        <w:rPr>
          <w:noProof/>
        </w:rPr>
        <w:t xml:space="preserve">Мерките за обмен на знания имат за цел да се споделят опит и обратна връзка относно мерките на политиката, придобити при внедряването на новаторски технологии, с организаторите на проекти, инвеститорите, органите и обществеността. През 2024 г. бяха проведени три специализирани събития за обмен на знания при затворени врати, насочени към различни технологични направления. Първото, проведено на </w:t>
      </w:r>
      <w:hyperlink r:id="rId75">
        <w:r>
          <w:rPr>
            <w:rStyle w:val="Hyperlink"/>
            <w:noProof/>
          </w:rPr>
          <w:t>21 март 2024 г.</w:t>
        </w:r>
      </w:hyperlink>
      <w:r>
        <w:rPr>
          <w:noProof/>
        </w:rPr>
        <w:t xml:space="preserve">, беше насочено към веригата на стойността на енергията от възобновяеми източници, като беше предоставена обратна връзка по отношение на политиките за местните, регионалните, националните и европейските органи. На </w:t>
      </w:r>
      <w:hyperlink r:id="rId76">
        <w:r>
          <w:rPr>
            <w:rStyle w:val="Hyperlink"/>
            <w:noProof/>
          </w:rPr>
          <w:t>втори семинар</w:t>
        </w:r>
      </w:hyperlink>
      <w:r>
        <w:rPr>
          <w:noProof/>
        </w:rPr>
        <w:t>, проведен през октомври 2024 г. на тема УСВ, се събраха представители на проекти за улавяне на CO</w:t>
      </w:r>
      <w:r>
        <w:rPr>
          <w:noProof/>
          <w:vertAlign w:val="subscript"/>
        </w:rPr>
        <w:t>2</w:t>
      </w:r>
      <w:r>
        <w:rPr>
          <w:noProof/>
        </w:rPr>
        <w:t>, подкрепени от Фонда за иновации, потенциални оператори за съхранение на CO</w:t>
      </w:r>
      <w:r>
        <w:rPr>
          <w:noProof/>
          <w:vertAlign w:val="subscript"/>
        </w:rPr>
        <w:t>2</w:t>
      </w:r>
      <w:r>
        <w:rPr>
          <w:noProof/>
        </w:rPr>
        <w:t xml:space="preserve"> и представители на държавите членки и Европейската комисия. Накрая, се проведе </w:t>
      </w:r>
      <w:hyperlink r:id="rId77">
        <w:r>
          <w:rPr>
            <w:rStyle w:val="Hyperlink"/>
            <w:noProof/>
          </w:rPr>
          <w:t>семинар за проекти за водород</w:t>
        </w:r>
      </w:hyperlink>
      <w:r>
        <w:rPr>
          <w:noProof/>
        </w:rPr>
        <w:t xml:space="preserve">, който беше насочен към ключовите изводи за проектите — от получаването на разрешения до строителството. Обобщение на дейностите по обмен на знания е представено в </w:t>
      </w:r>
      <w:hyperlink r:id="rId78">
        <w:r>
          <w:rPr>
            <w:rStyle w:val="Hyperlink"/>
            <w:noProof/>
          </w:rPr>
          <w:t>Годишен доклад за обмен на знания</w:t>
        </w:r>
      </w:hyperlink>
      <w:hyperlink r:id="rId79" w:history="1">
        <w:r>
          <w:rPr>
            <w:rStyle w:val="Hyperlink"/>
            <w:noProof/>
          </w:rPr>
          <w:t xml:space="preserve"> на Фонда за иновации</w:t>
        </w:r>
      </w:hyperlink>
      <w:r>
        <w:rPr>
          <w:noProof/>
        </w:rPr>
        <w:t>.</w:t>
      </w:r>
    </w:p>
    <w:p w14:paraId="65D2BEEE" w14:textId="236DECFD" w:rsidR="00AE5F5F" w:rsidRPr="00964B6E" w:rsidRDefault="007A435C" w:rsidP="00362F15">
      <w:pPr>
        <w:rPr>
          <w:noProof/>
          <w:szCs w:val="22"/>
        </w:rPr>
      </w:pPr>
      <w:r>
        <w:rPr>
          <w:noProof/>
        </w:rPr>
        <w:t xml:space="preserve">На 11 април 2024 г. Комисията и CINEA организираха четвъртата </w:t>
      </w:r>
      <w:hyperlink r:id="rId80">
        <w:r>
          <w:rPr>
            <w:rStyle w:val="Hyperlink"/>
            <w:noProof/>
          </w:rPr>
          <w:t>Конференция за чисти технологии</w:t>
        </w:r>
      </w:hyperlink>
      <w:r>
        <w:rPr>
          <w:noProof/>
        </w:rPr>
        <w:t xml:space="preserve">. Участниците проучиха начини за подкрепа на европейското производство на чисти технологии и техните компоненти за енергия от възобновяеми източници и съхранение на енергия. Изпълнителният заместник-председател на Комисията Марош Шефчович </w:t>
      </w:r>
      <w:hyperlink r:id="rId81">
        <w:r>
          <w:rPr>
            <w:rStyle w:val="Hyperlink"/>
            <w:noProof/>
          </w:rPr>
          <w:t>откри конференцията</w:t>
        </w:r>
      </w:hyperlink>
      <w:r>
        <w:rPr>
          <w:noProof/>
        </w:rPr>
        <w:t>, като подчерта значението на производството на чисти технологии за Европа. По няколко проекта бяха представени конкретни направления и решения, насочени към подкрепа на прехода на Европа към неутралност по отношение на климата. Конференцията приключи с дебат за осигуряването на инвестиции в производството на чисти технологии. Събитието привлече разнообразна аудитория, включваща създатели на политики, инвеститори, водещи предприятия в промишлеността и други заинтересовани страни, които повишиха осведомеността относно многобройните стопански възможности, които Фондът предлага на публични и частни финансови институции. Общо 400 участници присъстваха на място, а около 900 участници се включиха онлайн чрез излъчване на живо в интернет, което показва широкия обхват на събитието.</w:t>
      </w:r>
    </w:p>
    <w:p w14:paraId="1805CA5B" w14:textId="139586FD" w:rsidR="00A84E24" w:rsidRPr="00964B6E" w:rsidRDefault="00CE7952" w:rsidP="00A84E24">
      <w:pPr>
        <w:pStyle w:val="Heading2"/>
        <w:rPr>
          <w:noProof/>
        </w:rPr>
      </w:pPr>
      <w:bookmarkStart w:id="28" w:name="_Toc215482216"/>
      <w:r>
        <w:rPr>
          <w:noProof/>
        </w:rPr>
        <w:t>Примери за успехи</w:t>
      </w:r>
      <w:bookmarkEnd w:id="28"/>
    </w:p>
    <w:p w14:paraId="00DBA3A3" w14:textId="0CEC75EA" w:rsidR="00C15E96" w:rsidRPr="00964B6E" w:rsidRDefault="00A54C24" w:rsidP="00244311">
      <w:pPr>
        <w:rPr>
          <w:rFonts w:eastAsia="Arial"/>
          <w:noProof/>
        </w:rPr>
      </w:pPr>
      <w:r>
        <w:rPr>
          <w:noProof/>
        </w:rPr>
        <w:t xml:space="preserve">През 2024 г. ГД „Действия за климата“ и CINEA създадоха </w:t>
      </w:r>
      <w:hyperlink r:id="rId82" w:history="1">
        <w:r>
          <w:rPr>
            <w:rStyle w:val="Hyperlink"/>
            <w:noProof/>
          </w:rPr>
          <w:t>седем истории за проекти</w:t>
        </w:r>
      </w:hyperlink>
      <w:r>
        <w:rPr>
          <w:noProof/>
        </w:rPr>
        <w:t>, които служат като основни комуникационни инструменти за обясняване на сложни технологии по начин, който е лесно разбираем за хората, живеещи в ЕС. Историите играят ключова роля за повишаване на осведомеността относно инициативите на ЕС за борба с изменението на климата, като подчертават осезаемите въздействия на схемата за търговия с емисии на ЕС и Фонда и информират местните общности за регионалните проекти, за да се насърчи чувството за принадлежност и гордост. Освен това историите за проектите повишават видимостта им, като предоставят възможности за привличане на потенциални инвеститори и заинтересовани страни, като същевременно печелят подкрепата на местната общественост. Те се публикуват на уебсайта на ГД „Действия за климата“ и се споделят в нашите социални медии, което ни позволява да достигнем до по-широка аудитория.</w:t>
      </w:r>
    </w:p>
    <w:p w14:paraId="63CD50C3" w14:textId="11988602" w:rsidR="008522F4" w:rsidRPr="00964B6E" w:rsidRDefault="003E74E4" w:rsidP="006118C0">
      <w:pPr>
        <w:pStyle w:val="Heading1"/>
        <w:rPr>
          <w:noProof/>
        </w:rPr>
      </w:pPr>
      <w:bookmarkStart w:id="29" w:name="_Toc215482217"/>
      <w:r>
        <w:rPr>
          <w:noProof/>
        </w:rPr>
        <w:t>Заключение</w:t>
      </w:r>
      <w:bookmarkEnd w:id="29"/>
    </w:p>
    <w:p w14:paraId="0DAAE3C4" w14:textId="4CE94459" w:rsidR="000A7932" w:rsidRPr="00964B6E" w:rsidRDefault="4D0DDC32" w:rsidP="00400E62">
      <w:pPr>
        <w:rPr>
          <w:noProof/>
        </w:rPr>
      </w:pPr>
      <w:r>
        <w:rPr>
          <w:noProof/>
        </w:rPr>
        <w:t>През 2024 г. Фондът за иновации допълнително засили ролята си на централен инструмент за подкрепа на прехода на ЕС към неутралност по отношение на климата. Чрез ангажирането на 11,2 милиарда евро (</w:t>
      </w:r>
      <w:r>
        <w:rPr>
          <w:rStyle w:val="FootnoteReference"/>
          <w:noProof/>
        </w:rPr>
        <w:footnoteReference w:id="24"/>
      </w:r>
      <w:r>
        <w:rPr>
          <w:noProof/>
        </w:rPr>
        <w:t>) до края на 2024 г. за внедряването на първите по рода си технологии, пускането им на пазара и разширяването на по-зрелите технологии, укрепването на връзките с други програми и финансови институции на ЕС и широкото споделяне на знанията, придобити в процеса, ФИ допринесе значително за рентабилната декарбонизация на европейските промишлени отрасли, като същевременно увеличи промишлената конкурентоспособност и енергийната сигурност. Фактът, че по поканите за представяне на предложения и търговете продължават да участват много повече кандидати, отколкото е предвидено, подчертава необходимостта от публична подкрепа и демонстрира значението на Фонда за предизвикателството пред Европа да се превърне в първия неутрален по отношение на климата континент до 2050 г.</w:t>
      </w:r>
    </w:p>
    <w:p w14:paraId="24E84781" w14:textId="0126B21F" w:rsidR="006A54C7" w:rsidRPr="00964B6E" w:rsidRDefault="4E0CF08F" w:rsidP="00400E62">
      <w:pPr>
        <w:rPr>
          <w:noProof/>
        </w:rPr>
      </w:pPr>
      <w:r>
        <w:rPr>
          <w:noProof/>
        </w:rPr>
        <w:t>ФИ също остава от голямо значение за постигането на целите на Пакта за чиста промишленост и за изпълнението на плана на ЕС за устойчив просперитет и конкурентоспособност. Въпреки че са налице ясни възможности за разработване на така необходимите решения за декарбонизация, все още има предизвикателства, които трябва да бъдат преодолени. За да спомогне за по-голям успех на иновативните проекти и да насърчи подаването на предложения във всички държави членки, ФИ укрепва инструментите си за предварителна подкрепа на етапа на разработване на проектите. По-специално подпомагането за разработване на проекти и подкрепата за националните звена за контакт имат потенциал да подобрят още повече географския и секторния баланс. От друга страна, възможностите „като услуга“ на Фонда за иновации могат да увеличат въздействието на Фонда, като същевременно намалят административната тежест както за кандидатите, така и за националните администрации.</w:t>
      </w:r>
    </w:p>
    <w:p w14:paraId="5716E05B" w14:textId="00D79CF0" w:rsidR="00284763" w:rsidRPr="00964B6E" w:rsidRDefault="417DCA5A" w:rsidP="00400E62">
      <w:pPr>
        <w:rPr>
          <w:noProof/>
        </w:rPr>
      </w:pPr>
      <w:r>
        <w:rPr>
          <w:noProof/>
        </w:rPr>
        <w:t>Динамичният портфейл на ФИ вече включва 199 проекта в ход, избрани в 26 държави, и се разраства все по-бързо. През октомври 2024 г. бе обявено, че само от поканата ФИ23 за постигане на нулеви емисии са били избрани още 85 проекта в 18 държави. С обявяването в края на 2024 г. на поканите за технологии с нулеви нетни емисии, производство на акумулаторни батерии и водород от възобновяеми източници на стойност 4,6 милиарда евро, Фондът ще продължи да утвърждава ролята си в ускоряването на декарбонизацията на промишлеността и разширяването на стратегическите чисти технологии в целия ЕС.</w:t>
      </w:r>
    </w:p>
    <w:sectPr w:rsidR="00284763" w:rsidRPr="00964B6E" w:rsidSect="00494678">
      <w:headerReference w:type="even" r:id="rId83"/>
      <w:headerReference w:type="default" r:id="rId84"/>
      <w:footerReference w:type="even" r:id="rId85"/>
      <w:footerReference w:type="default" r:id="rId86"/>
      <w:headerReference w:type="first" r:id="rId87"/>
      <w:footerReference w:type="first" r:id="rId88"/>
      <w:endnotePr>
        <w:numFmt w:val="lowerLetter"/>
      </w:endnotePr>
      <w:pgSz w:w="11906" w:h="16838"/>
      <w:pgMar w:top="1020" w:right="1701" w:bottom="1020" w:left="1587" w:header="601" w:footer="10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6776D" w14:textId="77777777" w:rsidR="00A61F5A" w:rsidRPr="00964B6E" w:rsidRDefault="00A61F5A">
      <w:pPr>
        <w:spacing w:after="0" w:line="240" w:lineRule="auto"/>
      </w:pPr>
      <w:r>
        <w:separator/>
      </w:r>
    </w:p>
  </w:endnote>
  <w:endnote w:type="continuationSeparator" w:id="0">
    <w:p w14:paraId="4BE6A519" w14:textId="77777777" w:rsidR="00A61F5A" w:rsidRPr="00964B6E" w:rsidRDefault="00A61F5A">
      <w:pPr>
        <w:spacing w:after="0" w:line="240" w:lineRule="auto"/>
      </w:pPr>
      <w:r>
        <w:continuationSeparator/>
      </w:r>
    </w:p>
  </w:endnote>
  <w:endnote w:type="continuationNotice" w:id="1">
    <w:p w14:paraId="60B01FEA" w14:textId="77777777" w:rsidR="00A61F5A" w:rsidRPr="00964B6E" w:rsidRDefault="00A61F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panose1 w:val="00000000000000000000"/>
    <w:charset w:val="00"/>
    <w:family w:val="roman"/>
    <w:notTrueType/>
    <w:pitch w:val="default"/>
  </w:font>
  <w:font w:name="Times New Roman Bold">
    <w:panose1 w:val="02020803070505020304"/>
    <w:charset w:val="00"/>
    <w:family w:val="roman"/>
    <w:notTrueType/>
    <w:pitch w:val="default"/>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AD3FD" w14:textId="11CD9672" w:rsidR="00E64027" w:rsidRPr="00E64027" w:rsidRDefault="00E64027" w:rsidP="00E64027">
    <w:pPr>
      <w:pStyle w:val="FooterCoverPage"/>
      <w:rPr>
        <w:rFonts w:ascii="Arial" w:hAnsi="Arial" w:cs="Arial"/>
        <w:b/>
        <w:sz w:val="48"/>
      </w:rPr>
    </w:pPr>
    <w:r w:rsidRPr="00E64027">
      <w:rPr>
        <w:rFonts w:ascii="Arial" w:hAnsi="Arial" w:cs="Arial"/>
        <w:b/>
        <w:sz w:val="48"/>
      </w:rPr>
      <w:t>BG</w:t>
    </w:r>
    <w:r w:rsidRPr="00E64027">
      <w:rPr>
        <w:rFonts w:ascii="Arial" w:hAnsi="Arial" w:cs="Arial"/>
        <w:b/>
        <w:sz w:val="48"/>
      </w:rPr>
      <w:tab/>
    </w:r>
    <w:r w:rsidRPr="00E64027">
      <w:rPr>
        <w:rFonts w:ascii="Arial" w:hAnsi="Arial" w:cs="Arial"/>
        <w:b/>
        <w:sz w:val="48"/>
      </w:rPr>
      <w:tab/>
    </w:r>
    <w:r w:rsidRPr="00E64027">
      <w:tab/>
    </w:r>
    <w:r w:rsidRPr="00E64027">
      <w:rPr>
        <w:rFonts w:ascii="Arial" w:hAnsi="Arial" w:cs="Arial"/>
        <w:b/>
        <w:sz w:val="48"/>
      </w:rPr>
      <w:t>BG</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D1F84" w14:textId="6B399350" w:rsidR="00E64027" w:rsidRPr="00E64027" w:rsidRDefault="00E64027" w:rsidP="00E64027">
    <w:pPr>
      <w:pStyle w:val="FooterCoverPage"/>
      <w:rPr>
        <w:rFonts w:ascii="Arial" w:hAnsi="Arial" w:cs="Arial"/>
        <w:b/>
        <w:sz w:val="48"/>
      </w:rPr>
    </w:pPr>
    <w:r w:rsidRPr="00E64027">
      <w:rPr>
        <w:rFonts w:ascii="Arial" w:hAnsi="Arial" w:cs="Arial"/>
        <w:b/>
        <w:sz w:val="48"/>
      </w:rPr>
      <w:t>BG</w:t>
    </w:r>
    <w:r w:rsidRPr="00E64027">
      <w:rPr>
        <w:rFonts w:ascii="Arial" w:hAnsi="Arial" w:cs="Arial"/>
        <w:b/>
        <w:sz w:val="48"/>
      </w:rPr>
      <w:tab/>
    </w:r>
    <w:r w:rsidRPr="00E64027">
      <w:rPr>
        <w:rFonts w:ascii="Arial" w:hAnsi="Arial" w:cs="Arial"/>
        <w:b/>
        <w:sz w:val="48"/>
      </w:rPr>
      <w:tab/>
    </w:r>
    <w:r w:rsidRPr="00E64027">
      <w:tab/>
    </w:r>
    <w:r w:rsidRPr="00E64027">
      <w:rPr>
        <w:rFonts w:ascii="Arial" w:hAnsi="Arial" w:cs="Arial"/>
        <w:b/>
        <w:sz w:val="48"/>
      </w:rPr>
      <w:t>BG</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9218A" w14:textId="77777777" w:rsidR="00E64027" w:rsidRPr="00E64027" w:rsidRDefault="00E64027" w:rsidP="00E64027">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D9F4" w14:textId="24F7C69D" w:rsidR="006D0E02" w:rsidRPr="00964B6E" w:rsidRDefault="00E64027">
    <w:pPr>
      <w:pStyle w:val="FooterLine"/>
    </w:pPr>
    <w:sdt>
      <w:sdtPr>
        <w:id w:val="1092971941"/>
        <w:showingPlcHdr/>
        <w:dataBinding w:prefixMappings="xmlns:cp=&quot;http://schemas.openxmlformats.org/package/2006/metadata/core-properties&quot; xmlns:dc=&quot;http://purl.org/dc/elements/1.1/&quot; xmlns:dcterms=&quot;http://purl.org/dc/terms/&quot;" w:xpath="/cp:coreProperties[1]/dc:title[1]" w:storeItemID="{6C3C8BC8-F283-45AE-878A-BAB7291924A1}"/>
        <w:text w:multiLine="1"/>
      </w:sdtPr>
      <w:sdtEndPr/>
      <w:sdtContent>
        <w:r w:rsidR="00197695">
          <w:t xml:space="preserve"> </w:t>
        </w:r>
      </w:sdtContent>
    </w:sdt>
    <w:r w:rsidR="00197695">
      <w:t xml:space="preserve"> — </w:t>
    </w:r>
    <w:sdt>
      <w:sdtPr>
        <w:id w:val="-1323197834"/>
        <w:showingPlcHdr/>
        <w:dataBinding w:prefixMappings="xmlns:cp=&quot;http://schemas.openxmlformats.org/package/2006/metadata/core-properties&quot; xmlns:dc=&quot;http://purl.org/dc/elements/1.1/&quot; xmlns:dcterms=&quot;http://purl.org/dc/terms/&quot;" w:xpath="/cp:coreProperties[1]/dc:subject[1]" w:storeItemID="{6C3C8BC8-F283-45AE-878A-BAB7291924A1}"/>
        <w:text w:multiLine="1"/>
      </w:sdtPr>
      <w:sdtEndPr/>
      <w:sdtContent>
        <w:r w:rsidR="00197695">
          <w:t xml:space="preserve"> </w:t>
        </w:r>
      </w:sdtContent>
    </w:sdt>
    <w:r w:rsidR="00197695">
      <w:tab/>
      <w:t>Стр. </w:t>
    </w:r>
    <w:r w:rsidR="00197695">
      <w:fldChar w:fldCharType="begin"/>
    </w:r>
    <w:r w:rsidR="00197695">
      <w:instrText>PAGE</w:instrText>
    </w:r>
    <w:r w:rsidR="00197695">
      <w:fldChar w:fldCharType="separate"/>
    </w:r>
    <w:r w:rsidR="00197695">
      <w:t>1</w:t>
    </w:r>
    <w:r w:rsidR="00197695">
      <w:fldChar w:fldCharType="end"/>
    </w:r>
    <w:r w:rsidR="00197695">
      <w:t xml:space="preserve"> / </w:t>
    </w:r>
    <w:r w:rsidR="00197695">
      <w:fldChar w:fldCharType="begin"/>
    </w:r>
    <w:r w:rsidR="00197695">
      <w:instrText>NUMPAGES</w:instrText>
    </w:r>
    <w:r w:rsidR="00197695">
      <w:fldChar w:fldCharType="separate"/>
    </w:r>
    <w:r w:rsidR="00197695">
      <w:t>4</w:t>
    </w:r>
    <w:r w:rsidR="00197695">
      <w:fldChar w:fldCharType="end"/>
    </w:r>
  </w:p>
  <w:p w14:paraId="66F1476C" w14:textId="77777777" w:rsidR="006D0E02" w:rsidRPr="00964B6E" w:rsidRDefault="00E64027">
    <w:pPr>
      <w:pStyle w:val="Footer"/>
    </w:pPr>
    <w:sdt>
      <w:sdtPr>
        <w:id w:val="-121847369"/>
        <w:dataBinding w:xpath="/Texts/TechFooterVersion" w:storeItemID="{4EF90DE6-88B6-4264-9629-4D8DFDFE87D2}"/>
        <w:text w:multiLine="1"/>
      </w:sdtPr>
      <w:sdtEndPr/>
      <w:sdtContent>
        <w:r w:rsidR="00197695">
          <w:t>Версия на документа</w:t>
        </w:r>
      </w:sdtContent>
    </w:sdt>
    <w:r w:rsidR="00197695">
      <w:t> </w:t>
    </w:r>
    <w:sdt>
      <w:sdtPr>
        <w:alias w:val="Версия"/>
        <w:id w:val="-106738482"/>
        <w:dataBinding w:xpath="/EurolookProperties/DocumentVersion" w:storeItemID="{D3EA5527-7367-4268-9D83-5125C98D0ED2}"/>
        <w:text w:multiLine="1"/>
      </w:sdtPr>
      <w:sdtEndPr/>
      <w:sdtContent>
        <w:r w:rsidR="00197695">
          <w:t>1</w:t>
        </w:r>
      </w:sdtContent>
    </w:sdt>
    <w:r w:rsidR="00197695">
      <w:t xml:space="preserve"> </w:t>
    </w:r>
    <w:sdt>
      <w:sdtPr>
        <w:id w:val="-604505010"/>
        <w:dataBinding w:xpath="/Texts/TechFooterDated" w:storeItemID="{4EF90DE6-88B6-4264-9629-4D8DFDFE87D2}"/>
        <w:text w:multiLine="1"/>
      </w:sdtPr>
      <w:sdtEndPr/>
      <w:sdtContent>
        <w:r w:rsidR="00197695">
          <w:t>от</w:t>
        </w:r>
      </w:sdtContent>
    </w:sdt>
    <w:r w:rsidR="00197695">
      <w:t xml:space="preserve"> </w:t>
    </w:r>
    <w:sdt>
      <w:sdtPr>
        <w:alias w:val=""/>
        <w:id w:val="-1685505428"/>
        <w:dataBinding w:xpath="/EurolookProperties/DocumentDate" w:storeItemID="{D3EA5527-7367-4268-9D83-5125C98D0ED2}"/>
        <w:date w:fullDate="2025-08-20T00:00:00Z">
          <w:dateFormat w:val="dd/MM/yyyy"/>
          <w:lid w:val="bg-BG"/>
          <w:storeMappedDataAs w:val="dateTime"/>
          <w:calendar w:val="gregorian"/>
        </w:date>
      </w:sdtPr>
      <w:sdtEndPr/>
      <w:sdtContent>
        <w:r w:rsidR="00197695">
          <w:t>20/08/2025</w:t>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03437"/>
      <w:docPartObj>
        <w:docPartGallery w:val="Page Numbers (Bottom of Page)"/>
        <w:docPartUnique/>
      </w:docPartObj>
    </w:sdtPr>
    <w:sdtEndPr>
      <w:rPr>
        <w:noProof/>
      </w:rPr>
    </w:sdtEndPr>
    <w:sdtContent>
      <w:p w14:paraId="635A1FA2" w14:textId="2684757A" w:rsidR="00494678" w:rsidRDefault="00494678">
        <w:pPr>
          <w:pStyle w:val="Footer"/>
          <w:jc w:val="center"/>
        </w:pPr>
        <w:r>
          <w:fldChar w:fldCharType="begin"/>
        </w:r>
        <w:r>
          <w:instrText xml:space="preserve"> PAGE   \* MERGEFORMAT </w:instrText>
        </w:r>
        <w:r>
          <w:fldChar w:fldCharType="separate"/>
        </w:r>
        <w:r w:rsidR="00E64027">
          <w:rPr>
            <w:noProof/>
          </w:rPr>
          <w:t>4</w:t>
        </w:r>
        <w:r>
          <w:fldChar w:fldCharType="end"/>
        </w:r>
      </w:p>
    </w:sdtContent>
  </w:sdt>
  <w:p w14:paraId="23FD9C00" w14:textId="77777777" w:rsidR="006D0E02" w:rsidRPr="00964B6E" w:rsidRDefault="006D0E0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316185"/>
      <w:docPartObj>
        <w:docPartGallery w:val="Page Numbers (Bottom of Page)"/>
        <w:docPartUnique/>
      </w:docPartObj>
    </w:sdtPr>
    <w:sdtEndPr>
      <w:rPr>
        <w:noProof/>
      </w:rPr>
    </w:sdtEndPr>
    <w:sdtContent>
      <w:p w14:paraId="0702AD55" w14:textId="3ED16246" w:rsidR="00284E09" w:rsidRDefault="00284E09">
        <w:pPr>
          <w:pStyle w:val="Footer"/>
          <w:jc w:val="center"/>
        </w:pPr>
        <w:r>
          <w:fldChar w:fldCharType="begin"/>
        </w:r>
        <w:r>
          <w:instrText xml:space="preserve"> PAGE   \* MERGEFORMAT </w:instrText>
        </w:r>
        <w:r>
          <w:fldChar w:fldCharType="separate"/>
        </w:r>
        <w:r w:rsidR="00E64027">
          <w:rPr>
            <w:noProof/>
          </w:rPr>
          <w:t>1</w:t>
        </w:r>
        <w:r>
          <w:fldChar w:fldCharType="end"/>
        </w:r>
      </w:p>
    </w:sdtContent>
  </w:sdt>
  <w:p w14:paraId="69C95D25" w14:textId="38363D6D" w:rsidR="006D0E02" w:rsidRPr="00964B6E" w:rsidRDefault="006D0E02" w:rsidP="006D0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21AA3" w14:textId="77777777" w:rsidR="00A61F5A" w:rsidRPr="00964B6E" w:rsidRDefault="00A61F5A">
      <w:pPr>
        <w:spacing w:after="0" w:line="240" w:lineRule="auto"/>
      </w:pPr>
      <w:r>
        <w:separator/>
      </w:r>
    </w:p>
  </w:footnote>
  <w:footnote w:type="continuationSeparator" w:id="0">
    <w:p w14:paraId="4538CDFC" w14:textId="77777777" w:rsidR="00A61F5A" w:rsidRPr="00964B6E" w:rsidRDefault="00A61F5A">
      <w:pPr>
        <w:spacing w:after="0" w:line="240" w:lineRule="auto"/>
      </w:pPr>
      <w:r>
        <w:continuationSeparator/>
      </w:r>
    </w:p>
  </w:footnote>
  <w:footnote w:type="continuationNotice" w:id="1">
    <w:p w14:paraId="3DBB6EBF" w14:textId="77777777" w:rsidR="00A61F5A" w:rsidRPr="00964B6E" w:rsidRDefault="00A61F5A">
      <w:pPr>
        <w:spacing w:after="0" w:line="240" w:lineRule="auto"/>
      </w:pPr>
    </w:p>
  </w:footnote>
  <w:footnote w:id="2">
    <w:p w14:paraId="3E1253E0" w14:textId="17F1D71D" w:rsidR="00860E1D" w:rsidRPr="00964B6E" w:rsidRDefault="007A1427">
      <w:pPr>
        <w:pStyle w:val="FootnoteText"/>
      </w:pPr>
      <w:r>
        <w:t>(</w:t>
      </w:r>
      <w:r>
        <w:rPr>
          <w:rStyle w:val="FootnoteReference"/>
        </w:rPr>
        <w:footnoteRef/>
      </w:r>
      <w:r>
        <w:t>) Проектите, финансирани по ФИ23, са включени в доклада за 2024 г., въпреки че споразуменията за отпускане на безвъзмездни средства за тях са подписани в началото на 2025 г.</w:t>
      </w:r>
    </w:p>
  </w:footnote>
  <w:footnote w:id="3">
    <w:p w14:paraId="64C531F9" w14:textId="71C14E3C" w:rsidR="009F5623" w:rsidRPr="00964B6E" w:rsidRDefault="009F5623">
      <w:pPr>
        <w:pStyle w:val="FootnoteText"/>
      </w:pPr>
      <w:r>
        <w:t>(</w:t>
      </w:r>
      <w:r>
        <w:rPr>
          <w:rStyle w:val="FootnoteReference"/>
        </w:rPr>
        <w:footnoteRef/>
      </w:r>
      <w:r>
        <w:t>) Проекти в сектори на Фонда за иновации, в рамките на които се произвеждат компоненти за енергия от възобновяеми източници, съхранение на енергия или енергоемка промишленост.</w:t>
      </w:r>
    </w:p>
  </w:footnote>
  <w:footnote w:id="4">
    <w:p w14:paraId="31A3897E" w14:textId="6592383A" w:rsidR="002F2CD0" w:rsidRPr="00964B6E" w:rsidRDefault="00435F48" w:rsidP="002F2CD0">
      <w:pPr>
        <w:pStyle w:val="FootnoteText"/>
      </w:pPr>
      <w:r>
        <w:t>(</w:t>
      </w:r>
      <w:r>
        <w:rPr>
          <w:rStyle w:val="FootnoteReference"/>
        </w:rPr>
        <w:footnoteRef/>
      </w:r>
      <w:r>
        <w:t>) Възобновяеми горива с небиологичен произход.</w:t>
      </w:r>
    </w:p>
  </w:footnote>
  <w:footnote w:id="5">
    <w:p w14:paraId="76EBD04B" w14:textId="4BE45722" w:rsidR="00054E56" w:rsidRPr="00964B6E" w:rsidRDefault="00054E56">
      <w:pPr>
        <w:pStyle w:val="FootnoteText"/>
      </w:pPr>
      <w:r>
        <w:t>(</w:t>
      </w:r>
      <w:r>
        <w:rPr>
          <w:rStyle w:val="FootnoteReference"/>
        </w:rPr>
        <w:footnoteRef/>
      </w:r>
      <w:r>
        <w:t>) Включително проекти, избрани по ФИ23.</w:t>
      </w:r>
    </w:p>
  </w:footnote>
  <w:footnote w:id="6">
    <w:p w14:paraId="7D2508A1" w14:textId="0ACAE37D" w:rsidR="00B52B54" w:rsidRPr="00964B6E" w:rsidRDefault="00435F48" w:rsidP="00A66A72">
      <w:pPr>
        <w:pStyle w:val="FootnoteText"/>
        <w:spacing w:after="0"/>
      </w:pPr>
      <w:r>
        <w:t>(</w:t>
      </w:r>
      <w:r>
        <w:rPr>
          <w:rStyle w:val="FootnoteReference"/>
        </w:rPr>
        <w:footnoteRef/>
      </w:r>
      <w:r>
        <w:t>) Поканата за представяне на предложения за ФИ23 беше публикувана на 23 ноември 2023 г. с наличен бюджет от 4 милиарда евро, от които 1,4 милиарда евро са предназначени специално за проекти в областта на производството на чисти технологии.</w:t>
      </w:r>
    </w:p>
  </w:footnote>
  <w:footnote w:id="7">
    <w:p w14:paraId="25EA3EDC" w14:textId="0A9FBEE3" w:rsidR="00E55556" w:rsidRPr="00964B6E" w:rsidRDefault="00435F48" w:rsidP="00A66A72">
      <w:pPr>
        <w:pStyle w:val="FootnoteText"/>
        <w:spacing w:after="0"/>
      </w:pPr>
      <w:r>
        <w:t>(</w:t>
      </w:r>
      <w:r>
        <w:rPr>
          <w:rStyle w:val="FootnoteReference"/>
        </w:rPr>
        <w:footnoteRef/>
      </w:r>
      <w:r>
        <w:t>) Тази нова категория беше добавена с цел съответствие с преразгледаната Директива за СТЕ на ЕС от 2023 г.</w:t>
      </w:r>
    </w:p>
  </w:footnote>
  <w:footnote w:id="8">
    <w:p w14:paraId="5E0D3CB2" w14:textId="31FCF7F1" w:rsidR="42EFE419" w:rsidRPr="00964B6E" w:rsidRDefault="42EFE419" w:rsidP="42EFE419">
      <w:pPr>
        <w:pStyle w:val="FootnoteText"/>
      </w:pPr>
      <w:r>
        <w:t>(</w:t>
      </w:r>
      <w:r>
        <w:rPr>
          <w:rStyle w:val="FootnoteReference"/>
        </w:rPr>
        <w:footnoteRef/>
      </w:r>
      <w:r>
        <w:t>) Сега включително Естония и Словакия. Броят на избраните проекти може да се промени след изготвянето на споразумението за отпускане на безвъзмездни средства.</w:t>
      </w:r>
    </w:p>
  </w:footnote>
  <w:footnote w:id="9">
    <w:p w14:paraId="7F8EE074" w14:textId="75CEB068" w:rsidR="00EF24B1" w:rsidRPr="00964B6E" w:rsidRDefault="565C9215">
      <w:pPr>
        <w:pStyle w:val="FootnoteText"/>
      </w:pPr>
      <w:r>
        <w:t>(</w:t>
      </w:r>
      <w:r>
        <w:rPr>
          <w:rStyle w:val="FootnoteReference"/>
        </w:rPr>
        <w:footnoteRef/>
      </w:r>
      <w:r>
        <w:t>) Съгласно член 3 от Решението на Комисията относно финансирането на дейности по линия на Фонда за иновации, се допуска увеличение до 20 % над максималния размер на приноса. Това беше използвано поради високото качество на получените предложения в рамките на поканата.</w:t>
      </w:r>
    </w:p>
  </w:footnote>
  <w:footnote w:id="10">
    <w:p w14:paraId="548C14B3" w14:textId="16AEC0DD" w:rsidR="00070E6C" w:rsidRPr="00964B6E" w:rsidRDefault="00435F48" w:rsidP="00A66A72">
      <w:pPr>
        <w:pStyle w:val="FootnoteText"/>
      </w:pPr>
      <w:r>
        <w:t>(</w:t>
      </w:r>
      <w:r>
        <w:rPr>
          <w:rStyle w:val="FootnoteReference"/>
        </w:rPr>
        <w:footnoteRef/>
      </w:r>
      <w:r>
        <w:t>) Категоризирани като възобновяеми горива от небиологичен произход (ВГНБП).</w:t>
      </w:r>
    </w:p>
  </w:footnote>
  <w:footnote w:id="11">
    <w:p w14:paraId="4A31728C" w14:textId="77777777" w:rsidR="00404123" w:rsidRPr="001801EB" w:rsidRDefault="00404123" w:rsidP="00404123">
      <w:pPr>
        <w:pStyle w:val="FootnoteText"/>
      </w:pPr>
      <w:r>
        <w:t>(</w:t>
      </w:r>
      <w:r>
        <w:rPr>
          <w:rStyle w:val="FootnoteReference"/>
        </w:rPr>
        <w:footnoteRef/>
      </w:r>
      <w:r>
        <w:t>)</w:t>
      </w:r>
      <w:r>
        <w:tab/>
        <w:t>От 2025 г. безвъзмездните средства като услуга са достъпни и за проекти за производство на чисти технологии.</w:t>
      </w:r>
    </w:p>
  </w:footnote>
  <w:footnote w:id="12">
    <w:p w14:paraId="24E5548C" w14:textId="1EC92410" w:rsidR="00EE0890" w:rsidRPr="00964B6E" w:rsidRDefault="00435F48" w:rsidP="00A66A72">
      <w:pPr>
        <w:pStyle w:val="FootnoteText"/>
      </w:pPr>
      <w:r>
        <w:t>(</w:t>
      </w:r>
      <w:r>
        <w:rPr>
          <w:rStyle w:val="FootnoteReference"/>
        </w:rPr>
        <w:footnoteRef/>
      </w:r>
      <w:r>
        <w:t>) Търгът ФИ23 стартира на 23 ноември 2023 г. с наличен бюджет от 800 милиона евро. Кандидатите имаха срок до 8 февруари 2024 г. да подадат заявленията си.</w:t>
      </w:r>
    </w:p>
  </w:footnote>
  <w:footnote w:id="13">
    <w:p w14:paraId="1124DDAA" w14:textId="2C335508" w:rsidR="000C6A44" w:rsidRPr="00964B6E" w:rsidRDefault="00435F48" w:rsidP="00A66A72">
      <w:pPr>
        <w:pStyle w:val="FootnoteText"/>
      </w:pPr>
      <w:r>
        <w:t>(</w:t>
      </w:r>
      <w:r>
        <w:rPr>
          <w:rStyle w:val="FootnoteReference"/>
        </w:rPr>
        <w:footnoteRef/>
      </w:r>
      <w:r>
        <w:t>) Финландия, Норвегия, Португалия и Испания.</w:t>
      </w:r>
    </w:p>
  </w:footnote>
  <w:footnote w:id="14">
    <w:p w14:paraId="7ABEB8AC" w14:textId="7E4A2377" w:rsidR="00E82CAB" w:rsidRPr="00964B6E" w:rsidRDefault="00435F48" w:rsidP="00A66A72">
      <w:pPr>
        <w:pStyle w:val="FootnoteText"/>
      </w:pPr>
      <w:r>
        <w:t>(</w:t>
      </w:r>
      <w:r>
        <w:rPr>
          <w:rStyle w:val="FootnoteReference"/>
        </w:rPr>
        <w:footnoteRef/>
      </w:r>
      <w:r>
        <w:t>) Вж. </w:t>
      </w:r>
      <w:hyperlink r:id="rId1" w:history="1">
        <w:r>
          <w:rPr>
            <w:rStyle w:val="Hyperlink"/>
          </w:rPr>
          <w:t>Насоки относно държавната помощ в областта на климата, опазването на околната среда и енергетиката</w:t>
        </w:r>
      </w:hyperlink>
    </w:p>
  </w:footnote>
  <w:footnote w:id="15">
    <w:p w14:paraId="0B427A85" w14:textId="26BC816E" w:rsidR="00E61D5E" w:rsidRPr="00964B6E" w:rsidRDefault="00435F48" w:rsidP="00E61D5E">
      <w:pPr>
        <w:pStyle w:val="FootnoteText"/>
      </w:pPr>
      <w:r>
        <w:t>(</w:t>
      </w:r>
      <w:r>
        <w:rPr>
          <w:rStyle w:val="FootnoteReference"/>
        </w:rPr>
        <w:footnoteRef/>
      </w:r>
      <w:r>
        <w:t>) Поканата и търгът ФИ24 бяха отворени за подаване на предложения до 31 декември 2024 г.</w:t>
      </w:r>
    </w:p>
  </w:footnote>
  <w:footnote w:id="16">
    <w:p w14:paraId="621135BA" w14:textId="244DF314" w:rsidR="006D79A2" w:rsidRPr="00964B6E" w:rsidRDefault="006D79A2">
      <w:pPr>
        <w:pStyle w:val="FootnoteText"/>
      </w:pPr>
      <w:r>
        <w:t>(</w:t>
      </w:r>
      <w:r>
        <w:rPr>
          <w:rStyle w:val="FootnoteReference"/>
        </w:rPr>
        <w:footnoteRef/>
      </w:r>
      <w:r>
        <w:t>)</w:t>
      </w:r>
      <w:r>
        <w:tab/>
        <w:t>Тъй като допустимите проекти за търг се класират по цена, категорията „над прага“ не е приложима.</w:t>
      </w:r>
    </w:p>
  </w:footnote>
  <w:footnote w:id="17">
    <w:p w14:paraId="6A89730C" w14:textId="2C35E7AD" w:rsidR="00883592" w:rsidRPr="00964B6E" w:rsidRDefault="00883592">
      <w:pPr>
        <w:pStyle w:val="FootnoteText"/>
      </w:pPr>
      <w:r>
        <w:t>(</w:t>
      </w:r>
      <w:r>
        <w:rPr>
          <w:rStyle w:val="FootnoteReference"/>
        </w:rPr>
        <w:footnoteRef/>
      </w:r>
      <w:r>
        <w:t>)</w:t>
      </w:r>
      <w:r>
        <w:tab/>
      </w:r>
      <w:bookmarkStart w:id="18" w:name="_Hlk152065833"/>
      <w:bookmarkStart w:id="19" w:name="_Hlk199151744"/>
      <w:r>
        <w:t>„</w:t>
      </w:r>
      <w:bookmarkEnd w:id="18"/>
      <w:bookmarkEnd w:id="19"/>
      <w:r>
        <w:t>Текущи проекти</w:t>
      </w:r>
      <w:bookmarkStart w:id="20" w:name="_Hlk168237054"/>
      <w:r>
        <w:t>“</w:t>
      </w:r>
      <w:bookmarkEnd w:id="20"/>
      <w:r>
        <w:t xml:space="preserve"> са подписаните проекти, които са започнали, но все още не са приключили.</w:t>
      </w:r>
    </w:p>
  </w:footnote>
  <w:footnote w:id="18">
    <w:p w14:paraId="1BC6506A" w14:textId="50D342DE" w:rsidR="007A1427" w:rsidRPr="00964B6E" w:rsidRDefault="007A1427">
      <w:pPr>
        <w:pStyle w:val="FootnoteText"/>
      </w:pPr>
      <w:r>
        <w:t>(</w:t>
      </w:r>
      <w:r>
        <w:rPr>
          <w:rStyle w:val="FootnoteReference"/>
        </w:rPr>
        <w:footnoteRef/>
      </w:r>
      <w:r>
        <w:t>)</w:t>
      </w:r>
      <w:r>
        <w:tab/>
        <w:t>Всички анализи на портфейла се основават на проекти, които са в ход (не са прекратени) и за които са подписани споразумения за отпускане на безвъзмездни средства към 31 декември 2024 г. Шест от седемте проекта за водород по търга ФИ23 са включени, но по това време в портфейла не е имало проекти по ФИ23 ТННЕ.</w:t>
      </w:r>
    </w:p>
  </w:footnote>
  <w:footnote w:id="19">
    <w:p w14:paraId="2A77F0E9" w14:textId="5ADCD9AB" w:rsidR="00D97B2E" w:rsidRPr="00964B6E" w:rsidRDefault="00C46982">
      <w:pPr>
        <w:pStyle w:val="FootnoteText"/>
      </w:pPr>
      <w:r>
        <w:t>(</w:t>
      </w:r>
      <w:r>
        <w:rPr>
          <w:rStyle w:val="FootnoteReference"/>
        </w:rPr>
        <w:footnoteRef/>
      </w:r>
      <w:r>
        <w:t>)</w:t>
      </w:r>
      <w:r>
        <w:tab/>
        <w:t>Местоположенията на проектите се базират на основното местоположение на проекта. Получаващата държава не се взема предвид.</w:t>
      </w:r>
    </w:p>
  </w:footnote>
  <w:footnote w:id="20">
    <w:p w14:paraId="6782413A" w14:textId="7799E2B6" w:rsidR="003B7006" w:rsidRPr="00964B6E" w:rsidRDefault="003B7006">
      <w:pPr>
        <w:pStyle w:val="FootnoteText"/>
      </w:pPr>
      <w:r>
        <w:t>(</w:t>
      </w:r>
      <w:r>
        <w:rPr>
          <w:rStyle w:val="FootnoteReference"/>
        </w:rPr>
        <w:footnoteRef/>
      </w:r>
      <w:r>
        <w:t>)</w:t>
      </w:r>
      <w:r>
        <w:tab/>
        <w:t>В поканите за обикновени безвъзмездни средства при подреждането на проекти с еднакъв резултат се дава предимство на предложенията от държави с по-малък брой високо класирани предложения.</w:t>
      </w:r>
    </w:p>
  </w:footnote>
  <w:footnote w:id="21">
    <w:p w14:paraId="681BFA3E" w14:textId="08640E62" w:rsidR="001933C9" w:rsidRPr="00964B6E" w:rsidRDefault="001933C9" w:rsidP="001933C9">
      <w:pPr>
        <w:pStyle w:val="FootnoteText"/>
        <w:spacing w:after="0"/>
      </w:pPr>
      <w:r>
        <w:t>(</w:t>
      </w:r>
      <w:r>
        <w:rPr>
          <w:rStyle w:val="FootnoteReference"/>
        </w:rPr>
        <w:footnoteRef/>
      </w:r>
      <w:r>
        <w:t>)</w:t>
      </w:r>
      <w:r>
        <w:tab/>
        <w:t>Брутен вътрешен продукт, изчислен по пазарни цени за 2024 г. (Евростат, 2025 г.).</w:t>
      </w:r>
    </w:p>
  </w:footnote>
  <w:footnote w:id="22">
    <w:p w14:paraId="145C165C" w14:textId="30E92B54" w:rsidR="001933C9" w:rsidRPr="00964B6E" w:rsidRDefault="001933C9" w:rsidP="001933C9">
      <w:pPr>
        <w:pStyle w:val="FootnoteText"/>
        <w:spacing w:after="0"/>
      </w:pPr>
      <w:r>
        <w:t>(</w:t>
      </w:r>
      <w:r>
        <w:rPr>
          <w:rStyle w:val="FootnoteReference"/>
        </w:rPr>
        <w:footnoteRef/>
      </w:r>
      <w:r>
        <w:t>)</w:t>
      </w:r>
      <w:r>
        <w:tab/>
      </w:r>
      <w:hyperlink r:id="rId2" w:history="1">
        <w:r>
          <w:rPr>
            <w:rStyle w:val="Hyperlink"/>
          </w:rPr>
          <w:t>https://eur-lex.europa.eu/legal-content/BG/TXT/?uri=CELEX:32020D2166</w:t>
        </w:r>
      </w:hyperlink>
    </w:p>
  </w:footnote>
  <w:footnote w:id="23">
    <w:p w14:paraId="6F4621B9" w14:textId="77DB161E" w:rsidR="000D5D52" w:rsidRPr="00964B6E" w:rsidRDefault="000D5D52">
      <w:pPr>
        <w:pStyle w:val="FootnoteText"/>
      </w:pPr>
      <w:r>
        <w:t>(</w:t>
      </w:r>
      <w:r>
        <w:rPr>
          <w:rStyle w:val="FootnoteReference"/>
        </w:rPr>
        <w:footnoteRef/>
      </w:r>
      <w:r>
        <w:t>)</w:t>
      </w:r>
      <w:r>
        <w:tab/>
        <w:t>Протоколите от срещите могат да бъдат намерени на адрес: https://climate.ec.europa.eu/eu-action/eu-funding-climate-action/innovation-fund/innovation-fund-expert-group_bg</w:t>
      </w:r>
    </w:p>
  </w:footnote>
  <w:footnote w:id="24">
    <w:p w14:paraId="729E1EAE" w14:textId="39E4970F" w:rsidR="008431FD" w:rsidRPr="00964B6E" w:rsidRDefault="008431FD">
      <w:pPr>
        <w:pStyle w:val="FootnoteText"/>
      </w:pPr>
      <w:r>
        <w:t>(</w:t>
      </w:r>
      <w:r>
        <w:rPr>
          <w:rStyle w:val="FootnoteReference"/>
        </w:rPr>
        <w:footnoteRef/>
      </w:r>
      <w:r>
        <w:t>)</w:t>
      </w:r>
      <w:r>
        <w:tab/>
        <w:t>Включва текущи проекти, за които вече е подписано споразумение, и проекти, избрани в рамките на ФИ23, но за които все още не е подписано споразумение.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51D0D" w14:textId="77777777" w:rsidR="00E64027" w:rsidRPr="00E64027" w:rsidRDefault="00E64027" w:rsidP="00E64027">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97EF8" w14:textId="77777777" w:rsidR="00E64027" w:rsidRPr="00E64027" w:rsidRDefault="00E64027" w:rsidP="00E64027">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28373" w14:textId="77777777" w:rsidR="00E64027" w:rsidRPr="00E64027" w:rsidRDefault="00E64027" w:rsidP="00E64027">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E79AE" w14:textId="77777777" w:rsidR="006D0E02" w:rsidRPr="00964B6E" w:rsidRDefault="006D0E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5E979" w14:textId="77777777" w:rsidR="006D0E02" w:rsidRPr="00964B6E" w:rsidRDefault="006D0E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F7686" w14:textId="77777777" w:rsidR="006D0E02" w:rsidRPr="00964B6E" w:rsidRDefault="006D0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1DEF"/>
    <w:multiLevelType w:val="hybridMultilevel"/>
    <w:tmpl w:val="90A0D0E4"/>
    <w:lvl w:ilvl="0" w:tplc="942019B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32B43"/>
    <w:multiLevelType w:val="hybridMultilevel"/>
    <w:tmpl w:val="A352F676"/>
    <w:lvl w:ilvl="0" w:tplc="926847D6">
      <w:start w:val="1"/>
      <w:numFmt w:val="lowerRoman"/>
      <w:lvlText w:val="(%1)"/>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613C7"/>
    <w:multiLevelType w:val="hybridMultilevel"/>
    <w:tmpl w:val="C486D15C"/>
    <w:lvl w:ilvl="0" w:tplc="926847D6">
      <w:start w:val="1"/>
      <w:numFmt w:val="lowerRoman"/>
      <w:lvlText w:val="(%1)"/>
      <w:lvlJc w:val="left"/>
      <w:pPr>
        <w:ind w:left="720" w:hanging="360"/>
      </w:pPr>
      <w:rPr>
        <w:rFonts w:ascii="Times New Roman" w:eastAsia="Times New Roman" w:hAnsi="Times New Roman"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DEB1FA4"/>
    <w:multiLevelType w:val="hybridMultilevel"/>
    <w:tmpl w:val="8C74E226"/>
    <w:lvl w:ilvl="0" w:tplc="926847D6">
      <w:start w:val="1"/>
      <w:numFmt w:val="lowerRoman"/>
      <w:lvlText w:val="(%1)"/>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3A4BB8"/>
    <w:multiLevelType w:val="hybridMultilevel"/>
    <w:tmpl w:val="B7443D00"/>
    <w:lvl w:ilvl="0" w:tplc="5C7A33E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0B7201"/>
    <w:multiLevelType w:val="multilevel"/>
    <w:tmpl w:val="D73A862C"/>
    <w:name w:val="ListNumberNumbering"/>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0B8345"/>
    <w:multiLevelType w:val="multilevel"/>
    <w:tmpl w:val="491659D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2627F79"/>
    <w:multiLevelType w:val="hybridMultilevel"/>
    <w:tmpl w:val="84BCC0F8"/>
    <w:lvl w:ilvl="0" w:tplc="C37ABC3A">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533E4A"/>
    <w:multiLevelType w:val="hybridMultilevel"/>
    <w:tmpl w:val="4C8853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36513F4"/>
    <w:multiLevelType w:val="hybridMultilevel"/>
    <w:tmpl w:val="C2748AF2"/>
    <w:lvl w:ilvl="0" w:tplc="4C222478">
      <w:start w:val="2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D25B3B"/>
    <w:multiLevelType w:val="hybridMultilevel"/>
    <w:tmpl w:val="E9667FB6"/>
    <w:lvl w:ilvl="0" w:tplc="243C60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097ADC"/>
    <w:multiLevelType w:val="hybridMultilevel"/>
    <w:tmpl w:val="D9F41A84"/>
    <w:lvl w:ilvl="0" w:tplc="FD8475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CA626C3"/>
    <w:multiLevelType w:val="hybridMultilevel"/>
    <w:tmpl w:val="13784B24"/>
    <w:lvl w:ilvl="0" w:tplc="C37ABC3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D293CE3"/>
    <w:multiLevelType w:val="multilevel"/>
    <w:tmpl w:val="CE007BD0"/>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start w:val="1"/>
      <w:numFmt w:val="decimal"/>
      <w:lvlText w:val="%4."/>
      <w:lvlJc w:val="left"/>
      <w:pPr>
        <w:tabs>
          <w:tab w:val="num" w:pos="1905"/>
        </w:tabs>
        <w:ind w:left="1905" w:hanging="476"/>
      </w:pPr>
      <w:rPr>
        <w:rFonts w:hint="default"/>
      </w:rPr>
    </w:lvl>
    <w:lvl w:ilvl="4">
      <w:start w:val="1"/>
      <w:numFmt w:val="lowerLetter"/>
      <w:lvlText w:val="%5."/>
      <w:lvlJc w:val="left"/>
      <w:pPr>
        <w:tabs>
          <w:tab w:val="num" w:pos="2381"/>
        </w:tabs>
        <w:ind w:left="2381" w:hanging="476"/>
      </w:pPr>
      <w:rPr>
        <w:rFonts w:hint="default"/>
      </w:rPr>
    </w:lvl>
    <w:lvl w:ilvl="5">
      <w:start w:val="1"/>
      <w:numFmt w:val="lowerRoman"/>
      <w:lvlText w:val="%6."/>
      <w:lvlJc w:val="left"/>
      <w:pPr>
        <w:tabs>
          <w:tab w:val="num" w:pos="2857"/>
        </w:tabs>
        <w:ind w:left="2857" w:hanging="476"/>
      </w:pPr>
      <w:rPr>
        <w:rFonts w:hint="default"/>
      </w:rPr>
    </w:lvl>
    <w:lvl w:ilvl="6">
      <w:start w:val="1"/>
      <w:numFmt w:val="decimal"/>
      <w:lvlText w:val="%7."/>
      <w:lvlJc w:val="left"/>
      <w:pPr>
        <w:tabs>
          <w:tab w:val="num" w:pos="3334"/>
        </w:tabs>
        <w:ind w:left="3334" w:hanging="477"/>
      </w:pPr>
      <w:rPr>
        <w:rFonts w:hint="default"/>
      </w:rPr>
    </w:lvl>
    <w:lvl w:ilvl="7">
      <w:start w:val="1"/>
      <w:numFmt w:val="lowerLetter"/>
      <w:lvlText w:val="%8."/>
      <w:lvlJc w:val="left"/>
      <w:pPr>
        <w:tabs>
          <w:tab w:val="num" w:pos="3810"/>
        </w:tabs>
        <w:ind w:left="3810" w:hanging="476"/>
      </w:pPr>
      <w:rPr>
        <w:rFonts w:hint="default"/>
      </w:rPr>
    </w:lvl>
    <w:lvl w:ilvl="8">
      <w:start w:val="1"/>
      <w:numFmt w:val="lowerRoman"/>
      <w:lvlText w:val="%9."/>
      <w:lvlJc w:val="left"/>
      <w:pPr>
        <w:tabs>
          <w:tab w:val="num" w:pos="4286"/>
        </w:tabs>
        <w:ind w:left="4286" w:hanging="476"/>
      </w:pPr>
      <w:rPr>
        <w:rFonts w:hint="default"/>
      </w:rPr>
    </w:lvl>
  </w:abstractNum>
  <w:abstractNum w:abstractNumId="14" w15:restartNumberingAfterBreak="0">
    <w:nsid w:val="2D293CF4"/>
    <w:multiLevelType w:val="multilevel"/>
    <w:tmpl w:val="852A03B2"/>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start w:val="1"/>
      <w:numFmt w:val="decimal"/>
      <w:lvlText w:val="%4."/>
      <w:lvlJc w:val="left"/>
      <w:pPr>
        <w:tabs>
          <w:tab w:val="num" w:pos="1905"/>
        </w:tabs>
        <w:ind w:left="1905" w:hanging="476"/>
      </w:pPr>
      <w:rPr>
        <w:rFonts w:hint="default"/>
      </w:rPr>
    </w:lvl>
    <w:lvl w:ilvl="4">
      <w:start w:val="1"/>
      <w:numFmt w:val="lowerLetter"/>
      <w:lvlText w:val="%5."/>
      <w:lvlJc w:val="left"/>
      <w:pPr>
        <w:tabs>
          <w:tab w:val="num" w:pos="2381"/>
        </w:tabs>
        <w:ind w:left="2381" w:hanging="476"/>
      </w:pPr>
      <w:rPr>
        <w:rFonts w:hint="default"/>
      </w:rPr>
    </w:lvl>
    <w:lvl w:ilvl="5">
      <w:start w:val="1"/>
      <w:numFmt w:val="lowerRoman"/>
      <w:lvlText w:val="%6."/>
      <w:lvlJc w:val="left"/>
      <w:pPr>
        <w:tabs>
          <w:tab w:val="num" w:pos="2857"/>
        </w:tabs>
        <w:ind w:left="2857" w:hanging="476"/>
      </w:pPr>
      <w:rPr>
        <w:rFonts w:hint="default"/>
      </w:rPr>
    </w:lvl>
    <w:lvl w:ilvl="6">
      <w:start w:val="1"/>
      <w:numFmt w:val="decimal"/>
      <w:lvlText w:val="%7."/>
      <w:lvlJc w:val="left"/>
      <w:pPr>
        <w:tabs>
          <w:tab w:val="num" w:pos="3334"/>
        </w:tabs>
        <w:ind w:left="3334" w:hanging="477"/>
      </w:pPr>
      <w:rPr>
        <w:rFonts w:hint="default"/>
      </w:rPr>
    </w:lvl>
    <w:lvl w:ilvl="7">
      <w:start w:val="1"/>
      <w:numFmt w:val="lowerLetter"/>
      <w:lvlText w:val="%8."/>
      <w:lvlJc w:val="left"/>
      <w:pPr>
        <w:tabs>
          <w:tab w:val="num" w:pos="3810"/>
        </w:tabs>
        <w:ind w:left="3810" w:hanging="476"/>
      </w:pPr>
      <w:rPr>
        <w:rFonts w:hint="default"/>
      </w:rPr>
    </w:lvl>
    <w:lvl w:ilvl="8">
      <w:start w:val="1"/>
      <w:numFmt w:val="lowerRoman"/>
      <w:lvlText w:val="%9."/>
      <w:lvlJc w:val="left"/>
      <w:pPr>
        <w:tabs>
          <w:tab w:val="num" w:pos="4286"/>
        </w:tabs>
        <w:ind w:left="4286" w:hanging="476"/>
      </w:pPr>
      <w:rPr>
        <w:rFonts w:hint="default"/>
      </w:rPr>
    </w:lvl>
  </w:abstractNum>
  <w:abstractNum w:abstractNumId="15" w15:restartNumberingAfterBreak="0">
    <w:nsid w:val="30962085"/>
    <w:multiLevelType w:val="hybridMultilevel"/>
    <w:tmpl w:val="E05CA4AA"/>
    <w:lvl w:ilvl="0" w:tplc="D32275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AE495F"/>
    <w:multiLevelType w:val="hybridMultilevel"/>
    <w:tmpl w:val="25E2C5A6"/>
    <w:lvl w:ilvl="0" w:tplc="D63C52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A4890"/>
    <w:multiLevelType w:val="hybridMultilevel"/>
    <w:tmpl w:val="A4EC9AB0"/>
    <w:lvl w:ilvl="0" w:tplc="6904274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350418"/>
    <w:multiLevelType w:val="hybridMultilevel"/>
    <w:tmpl w:val="327E8992"/>
    <w:lvl w:ilvl="0" w:tplc="112C0C0A">
      <w:start w:val="1"/>
      <w:numFmt w:val="lowerRoman"/>
      <w:lvlText w:val="(%1)"/>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1046EC"/>
    <w:multiLevelType w:val="hybridMultilevel"/>
    <w:tmpl w:val="39CC9F0C"/>
    <w:lvl w:ilvl="0" w:tplc="9800C7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FC171D"/>
    <w:multiLevelType w:val="hybridMultilevel"/>
    <w:tmpl w:val="8C74E226"/>
    <w:lvl w:ilvl="0" w:tplc="FFFFFFFF">
      <w:start w:val="1"/>
      <w:numFmt w:val="lowerRoman"/>
      <w:lvlText w:val="(%1)"/>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207035"/>
    <w:multiLevelType w:val="hybridMultilevel"/>
    <w:tmpl w:val="CBC859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1AB0F5E"/>
    <w:multiLevelType w:val="hybridMultilevel"/>
    <w:tmpl w:val="5BD8D362"/>
    <w:lvl w:ilvl="0" w:tplc="4C222478">
      <w:start w:val="2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2B0C7A"/>
    <w:multiLevelType w:val="hybridMultilevel"/>
    <w:tmpl w:val="3C32CC60"/>
    <w:lvl w:ilvl="0" w:tplc="4C222478">
      <w:start w:val="2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0659BB"/>
    <w:multiLevelType w:val="hybridMultilevel"/>
    <w:tmpl w:val="5F62B5CC"/>
    <w:lvl w:ilvl="0" w:tplc="F4B09446">
      <w:start w:val="1"/>
      <w:numFmt w:val="lowerRoman"/>
      <w:lvlText w:val="(%1)"/>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114CF9"/>
    <w:multiLevelType w:val="hybridMultilevel"/>
    <w:tmpl w:val="34BEBEBA"/>
    <w:lvl w:ilvl="0" w:tplc="FFFFFFFF">
      <w:start w:val="1"/>
      <w:numFmt w:val="lowerRoman"/>
      <w:lvlText w:val="(%1)"/>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3D7677"/>
    <w:multiLevelType w:val="multilevel"/>
    <w:tmpl w:val="1E12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2502BE"/>
    <w:multiLevelType w:val="hybridMultilevel"/>
    <w:tmpl w:val="C658A1DA"/>
    <w:lvl w:ilvl="0" w:tplc="C37ABC3A">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1A63DF"/>
    <w:multiLevelType w:val="multilevel"/>
    <w:tmpl w:val="96362312"/>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4E1A982C"/>
    <w:multiLevelType w:val="multilevel"/>
    <w:tmpl w:val="D80A836C"/>
    <w:name w:val="ListBulletNumbering"/>
    <w:lvl w:ilvl="0">
      <w:start w:val="1"/>
      <w:numFmt w:val="bullet"/>
      <w:pStyle w:val="ListBullet"/>
      <w:lvlText w:val=""/>
      <w:lvlJc w:val="left"/>
      <w:pPr>
        <w:tabs>
          <w:tab w:val="num" w:pos="454"/>
        </w:tabs>
        <w:ind w:left="454" w:hanging="454"/>
      </w:pPr>
      <w:rPr>
        <w:rFonts w:ascii="Symbol" w:hAnsi="Symbol"/>
      </w:rPr>
    </w:lvl>
    <w:lvl w:ilvl="1">
      <w:start w:val="1"/>
      <w:numFmt w:val="bullet"/>
      <w:pStyle w:val="ListBulletLevel2"/>
      <w:lvlText w:val=""/>
      <w:lvlJc w:val="left"/>
      <w:pPr>
        <w:tabs>
          <w:tab w:val="num" w:pos="907"/>
        </w:tabs>
        <w:ind w:left="907" w:hanging="453"/>
      </w:pPr>
      <w:rPr>
        <w:rFonts w:ascii="Symbol" w:hAnsi="Symbol"/>
      </w:rPr>
    </w:lvl>
    <w:lvl w:ilvl="2">
      <w:start w:val="1"/>
      <w:numFmt w:val="bullet"/>
      <w:pStyle w:val="ListBulletLevel3"/>
      <w:lvlText w:val=""/>
      <w:lvlJc w:val="left"/>
      <w:pPr>
        <w:tabs>
          <w:tab w:val="num" w:pos="1361"/>
        </w:tabs>
        <w:ind w:left="1361" w:hanging="454"/>
      </w:pPr>
      <w:rPr>
        <w:rFonts w:ascii="Symbol" w:hAnsi="Symbol"/>
      </w:rPr>
    </w:lvl>
    <w:lvl w:ilvl="3">
      <w:start w:val="1"/>
      <w:numFmt w:val="bullet"/>
      <w:pStyle w:val="ListBullet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0" w15:restartNumberingAfterBreak="0">
    <w:nsid w:val="4ED467DC"/>
    <w:multiLevelType w:val="hybridMultilevel"/>
    <w:tmpl w:val="852C4786"/>
    <w:lvl w:ilvl="0" w:tplc="C37ABC3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72619B"/>
    <w:multiLevelType w:val="multilevel"/>
    <w:tmpl w:val="8FD8C1FA"/>
    <w:name w:val="ListDashNumbering"/>
    <w:lvl w:ilvl="0">
      <w:start w:val="1"/>
      <w:numFmt w:val="bullet"/>
      <w:pStyle w:val="ListDash"/>
      <w:lvlText w:val="–"/>
      <w:lvlJc w:val="left"/>
      <w:pPr>
        <w:tabs>
          <w:tab w:val="num" w:pos="454"/>
        </w:tabs>
        <w:ind w:left="454" w:hanging="454"/>
      </w:pPr>
      <w:rPr>
        <w:rFonts w:ascii="Times New Roman" w:hAnsi="Times New Roman"/>
      </w:rPr>
    </w:lvl>
    <w:lvl w:ilvl="1">
      <w:start w:val="1"/>
      <w:numFmt w:val="bullet"/>
      <w:pStyle w:val="ListDashLevel2"/>
      <w:lvlText w:val="–"/>
      <w:lvlJc w:val="left"/>
      <w:pPr>
        <w:tabs>
          <w:tab w:val="num" w:pos="907"/>
        </w:tabs>
        <w:ind w:left="907" w:hanging="453"/>
      </w:pPr>
      <w:rPr>
        <w:rFonts w:ascii="Times New Roman" w:hAnsi="Times New Roman"/>
      </w:rPr>
    </w:lvl>
    <w:lvl w:ilvl="2">
      <w:start w:val="1"/>
      <w:numFmt w:val="bullet"/>
      <w:pStyle w:val="ListDashLevel3"/>
      <w:lvlText w:val="–"/>
      <w:lvlJc w:val="left"/>
      <w:pPr>
        <w:tabs>
          <w:tab w:val="num" w:pos="1361"/>
        </w:tabs>
        <w:ind w:left="1361" w:hanging="454"/>
      </w:pPr>
      <w:rPr>
        <w:rFonts w:ascii="Times New Roman" w:hAnsi="Times New Roman"/>
      </w:rPr>
    </w:lvl>
    <w:lvl w:ilvl="3">
      <w:start w:val="1"/>
      <w:numFmt w:val="bullet"/>
      <w:pStyle w:val="ListDashLevel4"/>
      <w:lvlText w:val="–"/>
      <w:lvlJc w:val="left"/>
      <w:pPr>
        <w:tabs>
          <w:tab w:val="num" w:pos="1814"/>
        </w:tabs>
        <w:ind w:left="1814" w:hanging="45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2" w15:restartNumberingAfterBreak="0">
    <w:nsid w:val="50729B52"/>
    <w:multiLevelType w:val="multilevel"/>
    <w:tmpl w:val="59F0DCD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52926C0D"/>
    <w:multiLevelType w:val="hybridMultilevel"/>
    <w:tmpl w:val="0FAC8D5E"/>
    <w:lvl w:ilvl="0" w:tplc="FFFFFFFF">
      <w:start w:val="1"/>
      <w:numFmt w:val="lowerRoman"/>
      <w:lvlText w:val="(%1)"/>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280A91"/>
    <w:multiLevelType w:val="hybridMultilevel"/>
    <w:tmpl w:val="E9CAA8BA"/>
    <w:lvl w:ilvl="0" w:tplc="C37ABC3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71407F"/>
    <w:multiLevelType w:val="hybridMultilevel"/>
    <w:tmpl w:val="8E168A16"/>
    <w:lvl w:ilvl="0" w:tplc="AD505C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072B3D"/>
    <w:multiLevelType w:val="hybridMultilevel"/>
    <w:tmpl w:val="8B50DFC2"/>
    <w:lvl w:ilvl="0" w:tplc="3BE2D194">
      <w:start w:val="1"/>
      <w:numFmt w:val="lowerRoman"/>
      <w:lvlText w:val="(%1)"/>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5A65F51"/>
    <w:multiLevelType w:val="hybridMultilevel"/>
    <w:tmpl w:val="622A757A"/>
    <w:lvl w:ilvl="0" w:tplc="3BE2D194">
      <w:start w:val="1"/>
      <w:numFmt w:val="lowerRoman"/>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F03054"/>
    <w:multiLevelType w:val="hybridMultilevel"/>
    <w:tmpl w:val="944823FA"/>
    <w:lvl w:ilvl="0" w:tplc="94920CE4">
      <w:start w:val="1"/>
      <w:numFmt w:val="lowerRoman"/>
      <w:lvlText w:val="(%1)"/>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B157CF"/>
    <w:multiLevelType w:val="hybridMultilevel"/>
    <w:tmpl w:val="D74AF1A2"/>
    <w:lvl w:ilvl="0" w:tplc="B06CA612">
      <w:start w:val="1"/>
      <w:numFmt w:val="lowerRoman"/>
      <w:lvlText w:val="(%1)"/>
      <w:lvlJc w:val="left"/>
      <w:pPr>
        <w:ind w:left="720" w:hanging="360"/>
      </w:pPr>
      <w:rPr>
        <w:rFonts w:cs="Times New Roman"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E980600"/>
    <w:multiLevelType w:val="hybridMultilevel"/>
    <w:tmpl w:val="D6841916"/>
    <w:lvl w:ilvl="0" w:tplc="C37ABC3A">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E947FC"/>
    <w:multiLevelType w:val="hybridMultilevel"/>
    <w:tmpl w:val="AD66AB4C"/>
    <w:lvl w:ilvl="0" w:tplc="FD789A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1142B4"/>
    <w:multiLevelType w:val="hybridMultilevel"/>
    <w:tmpl w:val="4A74A07A"/>
    <w:lvl w:ilvl="0" w:tplc="3BE2D194">
      <w:start w:val="1"/>
      <w:numFmt w:val="lowerRoman"/>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2C220D"/>
    <w:multiLevelType w:val="hybridMultilevel"/>
    <w:tmpl w:val="A112AE6A"/>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BBF27EF"/>
    <w:multiLevelType w:val="hybridMultilevel"/>
    <w:tmpl w:val="80CEDB8A"/>
    <w:lvl w:ilvl="0" w:tplc="926847D6">
      <w:start w:val="1"/>
      <w:numFmt w:val="lowerRoman"/>
      <w:lvlText w:val="(%1)"/>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65145E"/>
    <w:multiLevelType w:val="multilevel"/>
    <w:tmpl w:val="FD16F9D4"/>
    <w:name w:val="EurolookHeading"/>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595"/>
        </w:tabs>
        <w:ind w:left="595" w:hanging="595"/>
      </w:pPr>
      <w:rPr>
        <w:rFonts w:hint="default"/>
      </w:rPr>
    </w:lvl>
    <w:lvl w:ilvl="2">
      <w:start w:val="1"/>
      <w:numFmt w:val="decimal"/>
      <w:pStyle w:val="Heading3"/>
      <w:lvlText w:val="%1.%2.%3."/>
      <w:lvlJc w:val="left"/>
      <w:pPr>
        <w:tabs>
          <w:tab w:val="num" w:pos="737"/>
        </w:tabs>
        <w:ind w:left="737" w:hanging="737"/>
      </w:pPr>
      <w:rPr>
        <w:rFonts w:hint="default"/>
        <w:u w:val="none"/>
      </w:rPr>
    </w:lvl>
    <w:lvl w:ilvl="3">
      <w:start w:val="1"/>
      <w:numFmt w:val="decimal"/>
      <w:pStyle w:val="Heading4"/>
      <w:lvlText w:val="%1.%2.%3.%4."/>
      <w:lvlJc w:val="left"/>
      <w:pPr>
        <w:tabs>
          <w:tab w:val="num" w:pos="850"/>
        </w:tabs>
        <w:ind w:left="850" w:hanging="850"/>
      </w:pPr>
      <w:rPr>
        <w:rFonts w:hint="default"/>
      </w:rPr>
    </w:lvl>
    <w:lvl w:ilvl="4">
      <w:start w:val="1"/>
      <w:numFmt w:val="decimal"/>
      <w:pStyle w:val="Heading5"/>
      <w:lvlText w:val="%1.%2.%3.%4.%5."/>
      <w:lvlJc w:val="left"/>
      <w:pPr>
        <w:tabs>
          <w:tab w:val="num" w:pos="1049"/>
        </w:tabs>
        <w:ind w:left="1049" w:hanging="1049"/>
      </w:pPr>
      <w:rPr>
        <w:rFonts w:hint="default"/>
      </w:rPr>
    </w:lvl>
    <w:lvl w:ilvl="5">
      <w:start w:val="1"/>
      <w:numFmt w:val="decimal"/>
      <w:pStyle w:val="Heading6"/>
      <w:suff w:val="space"/>
      <w:lvlText w:val="%1.%2.%3.%4.%5.%6."/>
      <w:lvlJc w:val="left"/>
      <w:pPr>
        <w:ind w:firstLine="0"/>
      </w:pPr>
      <w:rPr>
        <w:rFonts w:hint="default"/>
      </w:rPr>
    </w:lvl>
    <w:lvl w:ilvl="6">
      <w:start w:val="1"/>
      <w:numFmt w:val="decimal"/>
      <w:pStyle w:val="Heading7"/>
      <w:suff w:val="space"/>
      <w:lvlText w:val="%1.%2.%3.%4.%5.%6.%7."/>
      <w:lvlJc w:val="left"/>
      <w:pPr>
        <w:ind w:firstLine="0"/>
      </w:pPr>
      <w:rPr>
        <w:rFonts w:hint="default"/>
      </w:rPr>
    </w:lvl>
    <w:lvl w:ilvl="7">
      <w:start w:val="1"/>
      <w:numFmt w:val="decimal"/>
      <w:pStyle w:val="Heading8"/>
      <w:suff w:val="space"/>
      <w:lvlText w:val="%1.%2.%3.%4.%5.%6.%7.%8."/>
      <w:lvlJc w:val="left"/>
      <w:pPr>
        <w:ind w:firstLine="0"/>
      </w:pPr>
      <w:rPr>
        <w:rFonts w:hint="default"/>
      </w:rPr>
    </w:lvl>
    <w:lvl w:ilvl="8">
      <w:start w:val="1"/>
      <w:numFmt w:val="decimal"/>
      <w:pStyle w:val="Heading9"/>
      <w:suff w:val="space"/>
      <w:lvlText w:val="%1.%2.%3.%4.%5.%6.%7.%8.%9."/>
      <w:lvlJc w:val="left"/>
      <w:pPr>
        <w:ind w:firstLine="0"/>
      </w:pPr>
      <w:rPr>
        <w:rFonts w:hint="default"/>
      </w:rPr>
    </w:lvl>
  </w:abstractNum>
  <w:abstractNum w:abstractNumId="4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47" w15:restartNumberingAfterBreak="0">
    <w:nsid w:val="7EE84C59"/>
    <w:multiLevelType w:val="hybridMultilevel"/>
    <w:tmpl w:val="698C7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6"/>
  </w:num>
  <w:num w:numId="2">
    <w:abstractNumId w:val="14"/>
  </w:num>
  <w:num w:numId="3">
    <w:abstractNumId w:val="13"/>
  </w:num>
  <w:num w:numId="4">
    <w:abstractNumId w:val="6"/>
  </w:num>
  <w:num w:numId="5">
    <w:abstractNumId w:val="32"/>
  </w:num>
  <w:num w:numId="6">
    <w:abstractNumId w:val="28"/>
  </w:num>
  <w:num w:numId="7">
    <w:abstractNumId w:val="31"/>
  </w:num>
  <w:num w:numId="8">
    <w:abstractNumId w:val="5"/>
  </w:num>
  <w:num w:numId="9">
    <w:abstractNumId w:val="29"/>
  </w:num>
  <w:num w:numId="10">
    <w:abstractNumId w:val="45"/>
  </w:num>
  <w:num w:numId="11">
    <w:abstractNumId w:val="21"/>
  </w:num>
  <w:num w:numId="12">
    <w:abstractNumId w:val="45"/>
  </w:num>
  <w:num w:numId="13">
    <w:abstractNumId w:val="45"/>
  </w:num>
  <w:num w:numId="14">
    <w:abstractNumId w:val="39"/>
  </w:num>
  <w:num w:numId="15">
    <w:abstractNumId w:val="8"/>
  </w:num>
  <w:num w:numId="16">
    <w:abstractNumId w:val="43"/>
  </w:num>
  <w:num w:numId="17">
    <w:abstractNumId w:val="17"/>
  </w:num>
  <w:num w:numId="18">
    <w:abstractNumId w:val="37"/>
  </w:num>
  <w:num w:numId="19">
    <w:abstractNumId w:val="41"/>
  </w:num>
  <w:num w:numId="20">
    <w:abstractNumId w:val="3"/>
  </w:num>
  <w:num w:numId="21">
    <w:abstractNumId w:val="25"/>
  </w:num>
  <w:num w:numId="22">
    <w:abstractNumId w:val="16"/>
  </w:num>
  <w:num w:numId="23">
    <w:abstractNumId w:val="36"/>
  </w:num>
  <w:num w:numId="24">
    <w:abstractNumId w:val="10"/>
  </w:num>
  <w:num w:numId="25">
    <w:abstractNumId w:val="42"/>
  </w:num>
  <w:num w:numId="26">
    <w:abstractNumId w:val="15"/>
  </w:num>
  <w:num w:numId="27">
    <w:abstractNumId w:val="26"/>
  </w:num>
  <w:num w:numId="28">
    <w:abstractNumId w:val="19"/>
  </w:num>
  <w:num w:numId="29">
    <w:abstractNumId w:val="35"/>
  </w:num>
  <w:num w:numId="30">
    <w:abstractNumId w:val="20"/>
  </w:num>
  <w:num w:numId="31">
    <w:abstractNumId w:val="7"/>
  </w:num>
  <w:num w:numId="32">
    <w:abstractNumId w:val="27"/>
  </w:num>
  <w:num w:numId="33">
    <w:abstractNumId w:val="40"/>
  </w:num>
  <w:num w:numId="34">
    <w:abstractNumId w:val="4"/>
  </w:num>
  <w:num w:numId="35">
    <w:abstractNumId w:val="0"/>
  </w:num>
  <w:num w:numId="36">
    <w:abstractNumId w:val="22"/>
  </w:num>
  <w:num w:numId="37">
    <w:abstractNumId w:val="47"/>
  </w:num>
  <w:num w:numId="38">
    <w:abstractNumId w:val="23"/>
  </w:num>
  <w:num w:numId="39">
    <w:abstractNumId w:val="34"/>
  </w:num>
  <w:num w:numId="40">
    <w:abstractNumId w:val="44"/>
  </w:num>
  <w:num w:numId="41">
    <w:abstractNumId w:val="9"/>
  </w:num>
  <w:num w:numId="42">
    <w:abstractNumId w:val="1"/>
  </w:num>
  <w:num w:numId="43">
    <w:abstractNumId w:val="18"/>
  </w:num>
  <w:num w:numId="44">
    <w:abstractNumId w:val="38"/>
  </w:num>
  <w:num w:numId="45">
    <w:abstractNumId w:val="30"/>
  </w:num>
  <w:num w:numId="46">
    <w:abstractNumId w:val="33"/>
  </w:num>
  <w:num w:numId="47">
    <w:abstractNumId w:val="2"/>
  </w:num>
  <w:num w:numId="48">
    <w:abstractNumId w:val="11"/>
  </w:num>
  <w:num w:numId="49">
    <w:abstractNumId w:val="24"/>
  </w:num>
  <w:num w:numId="50">
    <w:abstractNumId w:val="12"/>
  </w:num>
  <w:num w:numId="5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E3E90B57-C8EB-40CA-95B8-16B602004E6E"/>
    <w:docVar w:name="LW_COVERPAGE_TYPE" w:val="1"/>
    <w:docVar w:name="LW_CROSSREFERENCE" w:val="&lt;UNUSED&gt;"/>
    <w:docVar w:name="LW_DocType" w:val="EUROLOOK"/>
    <w:docVar w:name="LW_EMISSION" w:val="17.12.2025"/>
    <w:docVar w:name="LW_EMISSION_ISODATE" w:val="2025-12-17"/>
    <w:docVar w:name="LW_EMISSION_LOCATION" w:val="BRX"/>
    <w:docVar w:name="LW_EMISSION_PREFIX" w:val="\u1041?\u1088?\u1102?\u1082?\u1089?\u1077?\u1083?, "/>
    <w:docVar w:name="LW_EMISSION_SUFFIX" w:val=" \u1075?."/>
    <w:docVar w:name="LW_ID_DOCTYPE_NONLW" w:val="CP-006"/>
    <w:docVar w:name="LW_LANGUE" w:val="BG"/>
    <w:docVar w:name="LW_LEVEL_OF_SENSITIVITY" w:val="Standard treatment"/>
    <w:docVar w:name="LW_NOM.INST" w:val="\u1045?\u1042?\u1056?\u1054?\u1055?\u1045?\u1049?\u1057?\u1050?\u1040? \u1050?\u1054?\u1052?\u1048?\u1057?\u1048?\u1071?"/>
    <w:docVar w:name="LW_NOM.INST_JOINTDOC" w:val="&lt;EMPTY&gt;"/>
    <w:docVar w:name="LW_PART_NBR" w:val="1"/>
    <w:docVar w:name="LW_PART_NBR_TOTAL" w:val="1"/>
    <w:docVar w:name="LW_REF.INST.NEW" w:val="COM"/>
    <w:docVar w:name="LW_REF.INST.NEW_ADOPTED" w:val="final"/>
    <w:docVar w:name="LW_REF.INST.NEW_TEXT" w:val="(2025) 770"/>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1086?\u1090?\u1085?\u1086?\u1089?\u1085?\u1086? \u1080?\u1079?\u1087?\u1086?\u1083?\u1079?\u1074?\u1072?\u1085?\u1077?\u1090?\u1086? \u1085?\u1072? \u1060?\u1086?\u1085?\u1076?\u1072? \u1079?\u1072? \u1080?\u1085?\u1086?\u1074?\u1072?\u1094?\u1080?\u1080? \u1087?\u1088?\u1077?\u1079? 2024 \u1075?\u1086?\u1076?\u1080?\u1085?\u1072?"/>
    <w:docVar w:name="LW_TYPE.DOC.CP" w:val="\u1044?\u1054?\u1050?\u1051?\u1040?\u1044? \u1053?\u1040? \u1050?\u1054?\u1052?\u1048?\u1057?\u1048?\u1071?\u1058?\u1040? \u1044?\u1054? \u1045?\u1042?\u1056?\u1054?\u1055?\u1045?\u1049?\u1057?\u1050?\u1048?\u1071? \u1055?\u1040?\u1056?\u1051?\u1040?\u1052?\u1045?\u1053?\u1058? \u1048? \u1057?\u1066?\u1042?\u1045?\u1058?\u1040?"/>
    <w:docVar w:name="LwApiVersions" w:val="LW4CoDe 1.24.5.0; LW 9.2, Build 20251112"/>
    <w:docVar w:name="Stamp" w:val="\\dossiers.dgt.cec.eu.int\dossiers\CLIMA\CLIMA-2025-00499\CLIMA-2025-00499-00-00-EN-EDT-00.202510130824092181420.DOCX"/>
  </w:docVars>
  <w:rsids>
    <w:rsidRoot w:val="00724B4D"/>
    <w:rsid w:val="00000370"/>
    <w:rsid w:val="00000A57"/>
    <w:rsid w:val="00000AD0"/>
    <w:rsid w:val="00000FB0"/>
    <w:rsid w:val="00001355"/>
    <w:rsid w:val="00001576"/>
    <w:rsid w:val="00001D0A"/>
    <w:rsid w:val="000024CC"/>
    <w:rsid w:val="00002581"/>
    <w:rsid w:val="00002986"/>
    <w:rsid w:val="00003CC7"/>
    <w:rsid w:val="00004363"/>
    <w:rsid w:val="0000476E"/>
    <w:rsid w:val="0000497F"/>
    <w:rsid w:val="00004FF1"/>
    <w:rsid w:val="00005EF7"/>
    <w:rsid w:val="000060CE"/>
    <w:rsid w:val="0000613F"/>
    <w:rsid w:val="0000651A"/>
    <w:rsid w:val="000068E8"/>
    <w:rsid w:val="00006A78"/>
    <w:rsid w:val="00006ADC"/>
    <w:rsid w:val="00006C33"/>
    <w:rsid w:val="00006E8E"/>
    <w:rsid w:val="00007253"/>
    <w:rsid w:val="000073F9"/>
    <w:rsid w:val="00007BE9"/>
    <w:rsid w:val="00007DD9"/>
    <w:rsid w:val="0001022D"/>
    <w:rsid w:val="000103BC"/>
    <w:rsid w:val="0001049B"/>
    <w:rsid w:val="00010771"/>
    <w:rsid w:val="000107A0"/>
    <w:rsid w:val="00010BB2"/>
    <w:rsid w:val="00011254"/>
    <w:rsid w:val="00011F98"/>
    <w:rsid w:val="00012060"/>
    <w:rsid w:val="00012CDE"/>
    <w:rsid w:val="000134C9"/>
    <w:rsid w:val="000136D9"/>
    <w:rsid w:val="0001371C"/>
    <w:rsid w:val="00014102"/>
    <w:rsid w:val="0001449D"/>
    <w:rsid w:val="00015E4C"/>
    <w:rsid w:val="000160A2"/>
    <w:rsid w:val="0001642A"/>
    <w:rsid w:val="000166EC"/>
    <w:rsid w:val="000168D5"/>
    <w:rsid w:val="000171AD"/>
    <w:rsid w:val="000173E7"/>
    <w:rsid w:val="000200FE"/>
    <w:rsid w:val="00020A19"/>
    <w:rsid w:val="000214CC"/>
    <w:rsid w:val="00021F7D"/>
    <w:rsid w:val="0002209F"/>
    <w:rsid w:val="000220A1"/>
    <w:rsid w:val="0002254A"/>
    <w:rsid w:val="000227C3"/>
    <w:rsid w:val="00022C0D"/>
    <w:rsid w:val="0002398C"/>
    <w:rsid w:val="00023DCA"/>
    <w:rsid w:val="000249FA"/>
    <w:rsid w:val="00024BE0"/>
    <w:rsid w:val="00024EEE"/>
    <w:rsid w:val="00024F47"/>
    <w:rsid w:val="000257CD"/>
    <w:rsid w:val="00025824"/>
    <w:rsid w:val="000267B4"/>
    <w:rsid w:val="00026AD3"/>
    <w:rsid w:val="00026E7F"/>
    <w:rsid w:val="00026F04"/>
    <w:rsid w:val="00027C8F"/>
    <w:rsid w:val="00027D6C"/>
    <w:rsid w:val="00027D91"/>
    <w:rsid w:val="000309C4"/>
    <w:rsid w:val="00030FA3"/>
    <w:rsid w:val="00030FA6"/>
    <w:rsid w:val="000310D3"/>
    <w:rsid w:val="000311B3"/>
    <w:rsid w:val="00031693"/>
    <w:rsid w:val="000316B1"/>
    <w:rsid w:val="000325A7"/>
    <w:rsid w:val="000325E5"/>
    <w:rsid w:val="00032DD5"/>
    <w:rsid w:val="0003354B"/>
    <w:rsid w:val="00033717"/>
    <w:rsid w:val="00033837"/>
    <w:rsid w:val="000346E1"/>
    <w:rsid w:val="0003536E"/>
    <w:rsid w:val="0003546D"/>
    <w:rsid w:val="00035503"/>
    <w:rsid w:val="00035A28"/>
    <w:rsid w:val="00036253"/>
    <w:rsid w:val="00036410"/>
    <w:rsid w:val="00036502"/>
    <w:rsid w:val="00036A29"/>
    <w:rsid w:val="00036CB4"/>
    <w:rsid w:val="000375B2"/>
    <w:rsid w:val="00037764"/>
    <w:rsid w:val="00037CED"/>
    <w:rsid w:val="00040A0B"/>
    <w:rsid w:val="00040D9F"/>
    <w:rsid w:val="000415ED"/>
    <w:rsid w:val="00041A69"/>
    <w:rsid w:val="00041B20"/>
    <w:rsid w:val="00041C9F"/>
    <w:rsid w:val="00041CF3"/>
    <w:rsid w:val="00041EC0"/>
    <w:rsid w:val="00042031"/>
    <w:rsid w:val="00042121"/>
    <w:rsid w:val="000423A7"/>
    <w:rsid w:val="00042BB2"/>
    <w:rsid w:val="00042D4F"/>
    <w:rsid w:val="00042E29"/>
    <w:rsid w:val="00043366"/>
    <w:rsid w:val="000438A5"/>
    <w:rsid w:val="0004416F"/>
    <w:rsid w:val="000441B3"/>
    <w:rsid w:val="00044CEF"/>
    <w:rsid w:val="00044D35"/>
    <w:rsid w:val="000455FD"/>
    <w:rsid w:val="0004598C"/>
    <w:rsid w:val="00045E0E"/>
    <w:rsid w:val="00045FDE"/>
    <w:rsid w:val="000464BE"/>
    <w:rsid w:val="00046BB8"/>
    <w:rsid w:val="00047008"/>
    <w:rsid w:val="0004784B"/>
    <w:rsid w:val="00047880"/>
    <w:rsid w:val="00047B26"/>
    <w:rsid w:val="00047F55"/>
    <w:rsid w:val="00050D4A"/>
    <w:rsid w:val="00051120"/>
    <w:rsid w:val="00051580"/>
    <w:rsid w:val="00051638"/>
    <w:rsid w:val="000519A4"/>
    <w:rsid w:val="00052586"/>
    <w:rsid w:val="00052591"/>
    <w:rsid w:val="0005295D"/>
    <w:rsid w:val="00053193"/>
    <w:rsid w:val="000535AB"/>
    <w:rsid w:val="0005407C"/>
    <w:rsid w:val="000540E8"/>
    <w:rsid w:val="000546A4"/>
    <w:rsid w:val="000547D5"/>
    <w:rsid w:val="00054DEA"/>
    <w:rsid w:val="00054E56"/>
    <w:rsid w:val="0005532F"/>
    <w:rsid w:val="00055368"/>
    <w:rsid w:val="000554B6"/>
    <w:rsid w:val="00055583"/>
    <w:rsid w:val="000558DC"/>
    <w:rsid w:val="00056A1A"/>
    <w:rsid w:val="0005721A"/>
    <w:rsid w:val="000579EB"/>
    <w:rsid w:val="00057ABC"/>
    <w:rsid w:val="000606CA"/>
    <w:rsid w:val="000607BC"/>
    <w:rsid w:val="00060DCC"/>
    <w:rsid w:val="00061095"/>
    <w:rsid w:val="00061796"/>
    <w:rsid w:val="000619E6"/>
    <w:rsid w:val="00061A93"/>
    <w:rsid w:val="00061CB9"/>
    <w:rsid w:val="000620CE"/>
    <w:rsid w:val="00062235"/>
    <w:rsid w:val="000625B4"/>
    <w:rsid w:val="000627EE"/>
    <w:rsid w:val="00063214"/>
    <w:rsid w:val="000635F2"/>
    <w:rsid w:val="00063AE2"/>
    <w:rsid w:val="00063C98"/>
    <w:rsid w:val="00064097"/>
    <w:rsid w:val="000640C2"/>
    <w:rsid w:val="00064AC8"/>
    <w:rsid w:val="00064D3A"/>
    <w:rsid w:val="0006554E"/>
    <w:rsid w:val="00066559"/>
    <w:rsid w:val="000666F9"/>
    <w:rsid w:val="00066ACC"/>
    <w:rsid w:val="00066F38"/>
    <w:rsid w:val="0006744A"/>
    <w:rsid w:val="00067E1D"/>
    <w:rsid w:val="00067FC2"/>
    <w:rsid w:val="00070031"/>
    <w:rsid w:val="00070465"/>
    <w:rsid w:val="00070664"/>
    <w:rsid w:val="00070A6C"/>
    <w:rsid w:val="00070E6C"/>
    <w:rsid w:val="000710FE"/>
    <w:rsid w:val="00071157"/>
    <w:rsid w:val="000717EB"/>
    <w:rsid w:val="00071819"/>
    <w:rsid w:val="00071841"/>
    <w:rsid w:val="00071BF7"/>
    <w:rsid w:val="00071DCA"/>
    <w:rsid w:val="0007200A"/>
    <w:rsid w:val="00072FEC"/>
    <w:rsid w:val="00073B79"/>
    <w:rsid w:val="00073BA0"/>
    <w:rsid w:val="00074C09"/>
    <w:rsid w:val="00074FF2"/>
    <w:rsid w:val="0007502F"/>
    <w:rsid w:val="000753C7"/>
    <w:rsid w:val="00075749"/>
    <w:rsid w:val="00075EB6"/>
    <w:rsid w:val="00076061"/>
    <w:rsid w:val="00076084"/>
    <w:rsid w:val="000760ED"/>
    <w:rsid w:val="000762CC"/>
    <w:rsid w:val="00076F69"/>
    <w:rsid w:val="00077683"/>
    <w:rsid w:val="000777EC"/>
    <w:rsid w:val="0007785D"/>
    <w:rsid w:val="00080171"/>
    <w:rsid w:val="000812D6"/>
    <w:rsid w:val="00081382"/>
    <w:rsid w:val="00081A96"/>
    <w:rsid w:val="00082BAA"/>
    <w:rsid w:val="00083E15"/>
    <w:rsid w:val="000842F0"/>
    <w:rsid w:val="00084362"/>
    <w:rsid w:val="000847D9"/>
    <w:rsid w:val="0008536C"/>
    <w:rsid w:val="0008574E"/>
    <w:rsid w:val="00085812"/>
    <w:rsid w:val="00085B1F"/>
    <w:rsid w:val="000864EB"/>
    <w:rsid w:val="00086705"/>
    <w:rsid w:val="00086DF3"/>
    <w:rsid w:val="00087E7D"/>
    <w:rsid w:val="00087F4C"/>
    <w:rsid w:val="000907CB"/>
    <w:rsid w:val="00090FF5"/>
    <w:rsid w:val="00091087"/>
    <w:rsid w:val="0009124C"/>
    <w:rsid w:val="000917CF"/>
    <w:rsid w:val="00091CD1"/>
    <w:rsid w:val="00092130"/>
    <w:rsid w:val="0009214F"/>
    <w:rsid w:val="0009225A"/>
    <w:rsid w:val="000926D3"/>
    <w:rsid w:val="00093555"/>
    <w:rsid w:val="000935B6"/>
    <w:rsid w:val="00093675"/>
    <w:rsid w:val="00093DA9"/>
    <w:rsid w:val="000943CA"/>
    <w:rsid w:val="00094847"/>
    <w:rsid w:val="00094972"/>
    <w:rsid w:val="000949D9"/>
    <w:rsid w:val="00094B8C"/>
    <w:rsid w:val="000952C8"/>
    <w:rsid w:val="00095885"/>
    <w:rsid w:val="0009598E"/>
    <w:rsid w:val="00095A45"/>
    <w:rsid w:val="000961B7"/>
    <w:rsid w:val="0009653F"/>
    <w:rsid w:val="00096B55"/>
    <w:rsid w:val="00096F71"/>
    <w:rsid w:val="000972D2"/>
    <w:rsid w:val="0009768A"/>
    <w:rsid w:val="00097B1E"/>
    <w:rsid w:val="00097B75"/>
    <w:rsid w:val="000A07BF"/>
    <w:rsid w:val="000A0A5B"/>
    <w:rsid w:val="000A13BE"/>
    <w:rsid w:val="000A19F7"/>
    <w:rsid w:val="000A20C4"/>
    <w:rsid w:val="000A22D4"/>
    <w:rsid w:val="000A258D"/>
    <w:rsid w:val="000A26FB"/>
    <w:rsid w:val="000A27A4"/>
    <w:rsid w:val="000A3A76"/>
    <w:rsid w:val="000A4AD0"/>
    <w:rsid w:val="000A4FD9"/>
    <w:rsid w:val="000A5122"/>
    <w:rsid w:val="000A549D"/>
    <w:rsid w:val="000A5722"/>
    <w:rsid w:val="000A577B"/>
    <w:rsid w:val="000A66D1"/>
    <w:rsid w:val="000A6D1A"/>
    <w:rsid w:val="000A7056"/>
    <w:rsid w:val="000A7561"/>
    <w:rsid w:val="000A756F"/>
    <w:rsid w:val="000A75AE"/>
    <w:rsid w:val="000A7932"/>
    <w:rsid w:val="000B0626"/>
    <w:rsid w:val="000B08E4"/>
    <w:rsid w:val="000B0AD3"/>
    <w:rsid w:val="000B0C07"/>
    <w:rsid w:val="000B0CBD"/>
    <w:rsid w:val="000B0D3E"/>
    <w:rsid w:val="000B113D"/>
    <w:rsid w:val="000B1624"/>
    <w:rsid w:val="000B2852"/>
    <w:rsid w:val="000B30E1"/>
    <w:rsid w:val="000B39C3"/>
    <w:rsid w:val="000B3FF5"/>
    <w:rsid w:val="000B425E"/>
    <w:rsid w:val="000B45FF"/>
    <w:rsid w:val="000B529D"/>
    <w:rsid w:val="000B56B5"/>
    <w:rsid w:val="000B5A7D"/>
    <w:rsid w:val="000B5D2C"/>
    <w:rsid w:val="000B5DD6"/>
    <w:rsid w:val="000B5DF3"/>
    <w:rsid w:val="000B69A7"/>
    <w:rsid w:val="000B6AEC"/>
    <w:rsid w:val="000B6F60"/>
    <w:rsid w:val="000B6F97"/>
    <w:rsid w:val="000B7928"/>
    <w:rsid w:val="000B7F2D"/>
    <w:rsid w:val="000B7F8E"/>
    <w:rsid w:val="000C007B"/>
    <w:rsid w:val="000C0132"/>
    <w:rsid w:val="000C0652"/>
    <w:rsid w:val="000C0AD4"/>
    <w:rsid w:val="000C0F5D"/>
    <w:rsid w:val="000C1368"/>
    <w:rsid w:val="000C1396"/>
    <w:rsid w:val="000C22CB"/>
    <w:rsid w:val="000C23BA"/>
    <w:rsid w:val="000C279B"/>
    <w:rsid w:val="000C2DFF"/>
    <w:rsid w:val="000C3948"/>
    <w:rsid w:val="000C3AC5"/>
    <w:rsid w:val="000C3B57"/>
    <w:rsid w:val="000C3DD4"/>
    <w:rsid w:val="000C4704"/>
    <w:rsid w:val="000C52ED"/>
    <w:rsid w:val="000C5DBF"/>
    <w:rsid w:val="000C5E0C"/>
    <w:rsid w:val="000C6A44"/>
    <w:rsid w:val="000C6C1A"/>
    <w:rsid w:val="000C6D1C"/>
    <w:rsid w:val="000C7805"/>
    <w:rsid w:val="000C7C64"/>
    <w:rsid w:val="000D0943"/>
    <w:rsid w:val="000D0F60"/>
    <w:rsid w:val="000D126A"/>
    <w:rsid w:val="000D196E"/>
    <w:rsid w:val="000D2DBE"/>
    <w:rsid w:val="000D2E91"/>
    <w:rsid w:val="000D3001"/>
    <w:rsid w:val="000D334B"/>
    <w:rsid w:val="000D341F"/>
    <w:rsid w:val="000D3B32"/>
    <w:rsid w:val="000D3E87"/>
    <w:rsid w:val="000D3F35"/>
    <w:rsid w:val="000D3FA5"/>
    <w:rsid w:val="000D3FA7"/>
    <w:rsid w:val="000D44A7"/>
    <w:rsid w:val="000D4CC9"/>
    <w:rsid w:val="000D5540"/>
    <w:rsid w:val="000D576E"/>
    <w:rsid w:val="000D5D52"/>
    <w:rsid w:val="000D5EA2"/>
    <w:rsid w:val="000D641F"/>
    <w:rsid w:val="000D6481"/>
    <w:rsid w:val="000D67A7"/>
    <w:rsid w:val="000D6B07"/>
    <w:rsid w:val="000D78BC"/>
    <w:rsid w:val="000D798D"/>
    <w:rsid w:val="000D7BA2"/>
    <w:rsid w:val="000D7CB8"/>
    <w:rsid w:val="000E04D0"/>
    <w:rsid w:val="000E0511"/>
    <w:rsid w:val="000E081B"/>
    <w:rsid w:val="000E0D96"/>
    <w:rsid w:val="000E0D9A"/>
    <w:rsid w:val="000E139F"/>
    <w:rsid w:val="000E16A2"/>
    <w:rsid w:val="000E1909"/>
    <w:rsid w:val="000E248D"/>
    <w:rsid w:val="000E2594"/>
    <w:rsid w:val="000E29CA"/>
    <w:rsid w:val="000E2D2A"/>
    <w:rsid w:val="000E4349"/>
    <w:rsid w:val="000E43DC"/>
    <w:rsid w:val="000E4858"/>
    <w:rsid w:val="000E4BFC"/>
    <w:rsid w:val="000E561D"/>
    <w:rsid w:val="000E598C"/>
    <w:rsid w:val="000E6A7F"/>
    <w:rsid w:val="000E7DB8"/>
    <w:rsid w:val="000F052C"/>
    <w:rsid w:val="000F0FE4"/>
    <w:rsid w:val="000F1A2D"/>
    <w:rsid w:val="000F20E0"/>
    <w:rsid w:val="000F27F5"/>
    <w:rsid w:val="000F2954"/>
    <w:rsid w:val="000F2EE4"/>
    <w:rsid w:val="000F2F50"/>
    <w:rsid w:val="000F33B2"/>
    <w:rsid w:val="000F3459"/>
    <w:rsid w:val="000F3A37"/>
    <w:rsid w:val="000F3CDE"/>
    <w:rsid w:val="000F3DB7"/>
    <w:rsid w:val="000F41E8"/>
    <w:rsid w:val="000F42A1"/>
    <w:rsid w:val="000F4475"/>
    <w:rsid w:val="000F5234"/>
    <w:rsid w:val="000F5F15"/>
    <w:rsid w:val="000F61B7"/>
    <w:rsid w:val="000F6543"/>
    <w:rsid w:val="000F6704"/>
    <w:rsid w:val="000F6EFA"/>
    <w:rsid w:val="000F727D"/>
    <w:rsid w:val="000F76A5"/>
    <w:rsid w:val="000F7B15"/>
    <w:rsid w:val="000F7BBE"/>
    <w:rsid w:val="00100C83"/>
    <w:rsid w:val="00101016"/>
    <w:rsid w:val="0010194B"/>
    <w:rsid w:val="00101A1D"/>
    <w:rsid w:val="0010223E"/>
    <w:rsid w:val="001022E3"/>
    <w:rsid w:val="00102405"/>
    <w:rsid w:val="0010295F"/>
    <w:rsid w:val="0010305F"/>
    <w:rsid w:val="001034B4"/>
    <w:rsid w:val="00103A37"/>
    <w:rsid w:val="00103C0D"/>
    <w:rsid w:val="00103C49"/>
    <w:rsid w:val="00103D0D"/>
    <w:rsid w:val="0010453B"/>
    <w:rsid w:val="00104AC5"/>
    <w:rsid w:val="00104D47"/>
    <w:rsid w:val="0010501B"/>
    <w:rsid w:val="00105296"/>
    <w:rsid w:val="001053DA"/>
    <w:rsid w:val="001054F7"/>
    <w:rsid w:val="00105D82"/>
    <w:rsid w:val="001068A3"/>
    <w:rsid w:val="001069C2"/>
    <w:rsid w:val="00106C1C"/>
    <w:rsid w:val="00106EA4"/>
    <w:rsid w:val="0010713B"/>
    <w:rsid w:val="00110275"/>
    <w:rsid w:val="0011052B"/>
    <w:rsid w:val="001108B5"/>
    <w:rsid w:val="00110CE1"/>
    <w:rsid w:val="00111342"/>
    <w:rsid w:val="00111455"/>
    <w:rsid w:val="001114CA"/>
    <w:rsid w:val="00111678"/>
    <w:rsid w:val="001120BF"/>
    <w:rsid w:val="0011212C"/>
    <w:rsid w:val="00112931"/>
    <w:rsid w:val="00112BD8"/>
    <w:rsid w:val="001137EF"/>
    <w:rsid w:val="00113950"/>
    <w:rsid w:val="00113CF8"/>
    <w:rsid w:val="00113D59"/>
    <w:rsid w:val="001140F1"/>
    <w:rsid w:val="00114762"/>
    <w:rsid w:val="001147FC"/>
    <w:rsid w:val="00115354"/>
    <w:rsid w:val="001153FD"/>
    <w:rsid w:val="0011544E"/>
    <w:rsid w:val="0011584B"/>
    <w:rsid w:val="00115C85"/>
    <w:rsid w:val="00115D37"/>
    <w:rsid w:val="001161CB"/>
    <w:rsid w:val="001175C3"/>
    <w:rsid w:val="00120133"/>
    <w:rsid w:val="00120216"/>
    <w:rsid w:val="00120256"/>
    <w:rsid w:val="0012042C"/>
    <w:rsid w:val="001206A6"/>
    <w:rsid w:val="001208EF"/>
    <w:rsid w:val="00120A87"/>
    <w:rsid w:val="00120DF3"/>
    <w:rsid w:val="00120FC5"/>
    <w:rsid w:val="00120FC7"/>
    <w:rsid w:val="001215E3"/>
    <w:rsid w:val="00121ABE"/>
    <w:rsid w:val="00121ACF"/>
    <w:rsid w:val="00121EDD"/>
    <w:rsid w:val="00122510"/>
    <w:rsid w:val="00122564"/>
    <w:rsid w:val="00122AE7"/>
    <w:rsid w:val="00122F80"/>
    <w:rsid w:val="00122FD3"/>
    <w:rsid w:val="00123120"/>
    <w:rsid w:val="001235CE"/>
    <w:rsid w:val="00123BA8"/>
    <w:rsid w:val="00124189"/>
    <w:rsid w:val="00124C96"/>
    <w:rsid w:val="001254F7"/>
    <w:rsid w:val="00125844"/>
    <w:rsid w:val="001258CF"/>
    <w:rsid w:val="00125CCE"/>
    <w:rsid w:val="00126A2B"/>
    <w:rsid w:val="00126B22"/>
    <w:rsid w:val="00126B41"/>
    <w:rsid w:val="00126F5B"/>
    <w:rsid w:val="001271CA"/>
    <w:rsid w:val="001271EF"/>
    <w:rsid w:val="001277B8"/>
    <w:rsid w:val="00127D56"/>
    <w:rsid w:val="00127E06"/>
    <w:rsid w:val="001305CA"/>
    <w:rsid w:val="0013079A"/>
    <w:rsid w:val="0013081A"/>
    <w:rsid w:val="00130B01"/>
    <w:rsid w:val="00131379"/>
    <w:rsid w:val="001315BC"/>
    <w:rsid w:val="0013164C"/>
    <w:rsid w:val="001317DA"/>
    <w:rsid w:val="00131805"/>
    <w:rsid w:val="0013228D"/>
    <w:rsid w:val="0013250F"/>
    <w:rsid w:val="001326FF"/>
    <w:rsid w:val="00132C80"/>
    <w:rsid w:val="00132F44"/>
    <w:rsid w:val="001331D7"/>
    <w:rsid w:val="001333B9"/>
    <w:rsid w:val="00133A2A"/>
    <w:rsid w:val="00133D2B"/>
    <w:rsid w:val="0013458D"/>
    <w:rsid w:val="00134CB8"/>
    <w:rsid w:val="0013500E"/>
    <w:rsid w:val="00135276"/>
    <w:rsid w:val="001353E8"/>
    <w:rsid w:val="00135639"/>
    <w:rsid w:val="00135964"/>
    <w:rsid w:val="001363B1"/>
    <w:rsid w:val="00136492"/>
    <w:rsid w:val="00136636"/>
    <w:rsid w:val="001366E2"/>
    <w:rsid w:val="00136A95"/>
    <w:rsid w:val="00136CC6"/>
    <w:rsid w:val="00136E10"/>
    <w:rsid w:val="0013728E"/>
    <w:rsid w:val="00137673"/>
    <w:rsid w:val="00137828"/>
    <w:rsid w:val="00137AA7"/>
    <w:rsid w:val="00140033"/>
    <w:rsid w:val="00140143"/>
    <w:rsid w:val="00140686"/>
    <w:rsid w:val="00141018"/>
    <w:rsid w:val="001411B9"/>
    <w:rsid w:val="001413A0"/>
    <w:rsid w:val="001419AC"/>
    <w:rsid w:val="001430D3"/>
    <w:rsid w:val="00143C1C"/>
    <w:rsid w:val="00143E60"/>
    <w:rsid w:val="00143ECB"/>
    <w:rsid w:val="001446C3"/>
    <w:rsid w:val="001448ED"/>
    <w:rsid w:val="001450A4"/>
    <w:rsid w:val="001456F2"/>
    <w:rsid w:val="00145987"/>
    <w:rsid w:val="001463E3"/>
    <w:rsid w:val="00146477"/>
    <w:rsid w:val="00146685"/>
    <w:rsid w:val="00146A02"/>
    <w:rsid w:val="001471C1"/>
    <w:rsid w:val="00147682"/>
    <w:rsid w:val="00147B16"/>
    <w:rsid w:val="001501D3"/>
    <w:rsid w:val="001502FD"/>
    <w:rsid w:val="001505B2"/>
    <w:rsid w:val="001506B5"/>
    <w:rsid w:val="0015089A"/>
    <w:rsid w:val="00150C20"/>
    <w:rsid w:val="00150F27"/>
    <w:rsid w:val="001512DA"/>
    <w:rsid w:val="00151456"/>
    <w:rsid w:val="00151A05"/>
    <w:rsid w:val="0015231C"/>
    <w:rsid w:val="00152995"/>
    <w:rsid w:val="00153026"/>
    <w:rsid w:val="00153AB1"/>
    <w:rsid w:val="00153B4E"/>
    <w:rsid w:val="00153F8C"/>
    <w:rsid w:val="00154F8F"/>
    <w:rsid w:val="00155B31"/>
    <w:rsid w:val="00156263"/>
    <w:rsid w:val="00156431"/>
    <w:rsid w:val="00156A1F"/>
    <w:rsid w:val="00156AC2"/>
    <w:rsid w:val="00156F1C"/>
    <w:rsid w:val="00157154"/>
    <w:rsid w:val="00157377"/>
    <w:rsid w:val="001574C1"/>
    <w:rsid w:val="001576B9"/>
    <w:rsid w:val="0015775B"/>
    <w:rsid w:val="001600EA"/>
    <w:rsid w:val="001602CD"/>
    <w:rsid w:val="00160585"/>
    <w:rsid w:val="00160CA5"/>
    <w:rsid w:val="00161286"/>
    <w:rsid w:val="0016183F"/>
    <w:rsid w:val="001619DC"/>
    <w:rsid w:val="00161DD6"/>
    <w:rsid w:val="0016222C"/>
    <w:rsid w:val="0016236F"/>
    <w:rsid w:val="001629E2"/>
    <w:rsid w:val="001632FC"/>
    <w:rsid w:val="0016349A"/>
    <w:rsid w:val="001634EB"/>
    <w:rsid w:val="0016356E"/>
    <w:rsid w:val="00163701"/>
    <w:rsid w:val="00163DC8"/>
    <w:rsid w:val="0016409F"/>
    <w:rsid w:val="00164237"/>
    <w:rsid w:val="00164270"/>
    <w:rsid w:val="00165089"/>
    <w:rsid w:val="001654B4"/>
    <w:rsid w:val="00165D1A"/>
    <w:rsid w:val="00165DA7"/>
    <w:rsid w:val="00165F87"/>
    <w:rsid w:val="00165FB7"/>
    <w:rsid w:val="001660E5"/>
    <w:rsid w:val="00166D87"/>
    <w:rsid w:val="0017066E"/>
    <w:rsid w:val="0017123A"/>
    <w:rsid w:val="00171241"/>
    <w:rsid w:val="001713E7"/>
    <w:rsid w:val="0017180A"/>
    <w:rsid w:val="001724EE"/>
    <w:rsid w:val="0017251F"/>
    <w:rsid w:val="001727F0"/>
    <w:rsid w:val="001731DA"/>
    <w:rsid w:val="00173328"/>
    <w:rsid w:val="0017342B"/>
    <w:rsid w:val="00173606"/>
    <w:rsid w:val="0017472B"/>
    <w:rsid w:val="00174C02"/>
    <w:rsid w:val="00174E2F"/>
    <w:rsid w:val="0017561A"/>
    <w:rsid w:val="001756B9"/>
    <w:rsid w:val="001756BC"/>
    <w:rsid w:val="00175DDC"/>
    <w:rsid w:val="001774B2"/>
    <w:rsid w:val="00177B65"/>
    <w:rsid w:val="00177E7B"/>
    <w:rsid w:val="00180698"/>
    <w:rsid w:val="0018074C"/>
    <w:rsid w:val="00180CB6"/>
    <w:rsid w:val="00180DFC"/>
    <w:rsid w:val="0018177F"/>
    <w:rsid w:val="001833B7"/>
    <w:rsid w:val="00183805"/>
    <w:rsid w:val="0018393F"/>
    <w:rsid w:val="00183BD9"/>
    <w:rsid w:val="00183F75"/>
    <w:rsid w:val="00184645"/>
    <w:rsid w:val="00184CF4"/>
    <w:rsid w:val="0018513D"/>
    <w:rsid w:val="001851BE"/>
    <w:rsid w:val="0018531B"/>
    <w:rsid w:val="00185380"/>
    <w:rsid w:val="00185861"/>
    <w:rsid w:val="00185CD5"/>
    <w:rsid w:val="00185E3F"/>
    <w:rsid w:val="00186592"/>
    <w:rsid w:val="00186AFD"/>
    <w:rsid w:val="00186D1C"/>
    <w:rsid w:val="00186F2E"/>
    <w:rsid w:val="00187C1D"/>
    <w:rsid w:val="00187C23"/>
    <w:rsid w:val="00187D0A"/>
    <w:rsid w:val="0019003C"/>
    <w:rsid w:val="001905A3"/>
    <w:rsid w:val="00190986"/>
    <w:rsid w:val="00190C21"/>
    <w:rsid w:val="00191046"/>
    <w:rsid w:val="00191BDC"/>
    <w:rsid w:val="00191D5C"/>
    <w:rsid w:val="00191F89"/>
    <w:rsid w:val="0019220A"/>
    <w:rsid w:val="00192472"/>
    <w:rsid w:val="001930CB"/>
    <w:rsid w:val="001933C9"/>
    <w:rsid w:val="001935E9"/>
    <w:rsid w:val="0019364E"/>
    <w:rsid w:val="00193A71"/>
    <w:rsid w:val="001940A8"/>
    <w:rsid w:val="0019421F"/>
    <w:rsid w:val="001942E2"/>
    <w:rsid w:val="0019505C"/>
    <w:rsid w:val="00195E71"/>
    <w:rsid w:val="0019626E"/>
    <w:rsid w:val="00197695"/>
    <w:rsid w:val="00197842"/>
    <w:rsid w:val="00197ABB"/>
    <w:rsid w:val="00197F75"/>
    <w:rsid w:val="001A061E"/>
    <w:rsid w:val="001A10D4"/>
    <w:rsid w:val="001A1B7E"/>
    <w:rsid w:val="001A1B80"/>
    <w:rsid w:val="001A1D99"/>
    <w:rsid w:val="001A200D"/>
    <w:rsid w:val="001A21D5"/>
    <w:rsid w:val="001A26D5"/>
    <w:rsid w:val="001A28EE"/>
    <w:rsid w:val="001A2BDA"/>
    <w:rsid w:val="001A39D4"/>
    <w:rsid w:val="001A3AC4"/>
    <w:rsid w:val="001A3FB3"/>
    <w:rsid w:val="001A50BB"/>
    <w:rsid w:val="001A51E1"/>
    <w:rsid w:val="001A531B"/>
    <w:rsid w:val="001A59EE"/>
    <w:rsid w:val="001A5F93"/>
    <w:rsid w:val="001A6354"/>
    <w:rsid w:val="001A6580"/>
    <w:rsid w:val="001A6E15"/>
    <w:rsid w:val="001A75B8"/>
    <w:rsid w:val="001B01CD"/>
    <w:rsid w:val="001B0BF9"/>
    <w:rsid w:val="001B0C7F"/>
    <w:rsid w:val="001B0F72"/>
    <w:rsid w:val="001B1002"/>
    <w:rsid w:val="001B1618"/>
    <w:rsid w:val="001B1A34"/>
    <w:rsid w:val="001B1B76"/>
    <w:rsid w:val="001B1BDD"/>
    <w:rsid w:val="001B239B"/>
    <w:rsid w:val="001B260D"/>
    <w:rsid w:val="001B281C"/>
    <w:rsid w:val="001B2D01"/>
    <w:rsid w:val="001B3F49"/>
    <w:rsid w:val="001B4111"/>
    <w:rsid w:val="001B4413"/>
    <w:rsid w:val="001B4829"/>
    <w:rsid w:val="001B588F"/>
    <w:rsid w:val="001B5E47"/>
    <w:rsid w:val="001B6A21"/>
    <w:rsid w:val="001B6A9A"/>
    <w:rsid w:val="001B6CED"/>
    <w:rsid w:val="001B6D4B"/>
    <w:rsid w:val="001B6F40"/>
    <w:rsid w:val="001B7107"/>
    <w:rsid w:val="001B7FCE"/>
    <w:rsid w:val="001C01DC"/>
    <w:rsid w:val="001C0475"/>
    <w:rsid w:val="001C07A5"/>
    <w:rsid w:val="001C0A3F"/>
    <w:rsid w:val="001C0E4B"/>
    <w:rsid w:val="001C1421"/>
    <w:rsid w:val="001C15F2"/>
    <w:rsid w:val="001C1E01"/>
    <w:rsid w:val="001C2466"/>
    <w:rsid w:val="001C2490"/>
    <w:rsid w:val="001C2EC2"/>
    <w:rsid w:val="001C3589"/>
    <w:rsid w:val="001C35A2"/>
    <w:rsid w:val="001C3D0F"/>
    <w:rsid w:val="001C4205"/>
    <w:rsid w:val="001C4FD2"/>
    <w:rsid w:val="001C51FD"/>
    <w:rsid w:val="001C6217"/>
    <w:rsid w:val="001C653E"/>
    <w:rsid w:val="001C65EA"/>
    <w:rsid w:val="001C6A28"/>
    <w:rsid w:val="001C70E4"/>
    <w:rsid w:val="001C71EA"/>
    <w:rsid w:val="001C7545"/>
    <w:rsid w:val="001C757C"/>
    <w:rsid w:val="001D00B1"/>
    <w:rsid w:val="001D068E"/>
    <w:rsid w:val="001D0855"/>
    <w:rsid w:val="001D1629"/>
    <w:rsid w:val="001D1990"/>
    <w:rsid w:val="001D1EEB"/>
    <w:rsid w:val="001D1F93"/>
    <w:rsid w:val="001D24A8"/>
    <w:rsid w:val="001D297B"/>
    <w:rsid w:val="001D2DDE"/>
    <w:rsid w:val="001D31CF"/>
    <w:rsid w:val="001D3C8F"/>
    <w:rsid w:val="001D3D1A"/>
    <w:rsid w:val="001D3DEC"/>
    <w:rsid w:val="001D3FFB"/>
    <w:rsid w:val="001D4767"/>
    <w:rsid w:val="001D4926"/>
    <w:rsid w:val="001D4E30"/>
    <w:rsid w:val="001D4EA4"/>
    <w:rsid w:val="001D5332"/>
    <w:rsid w:val="001D5A76"/>
    <w:rsid w:val="001D5D90"/>
    <w:rsid w:val="001D5E9E"/>
    <w:rsid w:val="001D61F6"/>
    <w:rsid w:val="001D6734"/>
    <w:rsid w:val="001D71C7"/>
    <w:rsid w:val="001D74C3"/>
    <w:rsid w:val="001D74D8"/>
    <w:rsid w:val="001D7673"/>
    <w:rsid w:val="001D772B"/>
    <w:rsid w:val="001D7C22"/>
    <w:rsid w:val="001D7E47"/>
    <w:rsid w:val="001E032A"/>
    <w:rsid w:val="001E03C7"/>
    <w:rsid w:val="001E0C39"/>
    <w:rsid w:val="001E0DA4"/>
    <w:rsid w:val="001E2349"/>
    <w:rsid w:val="001E2C58"/>
    <w:rsid w:val="001E2F5D"/>
    <w:rsid w:val="001E3401"/>
    <w:rsid w:val="001E3407"/>
    <w:rsid w:val="001E3B3D"/>
    <w:rsid w:val="001E4517"/>
    <w:rsid w:val="001E5291"/>
    <w:rsid w:val="001E5A03"/>
    <w:rsid w:val="001E5A29"/>
    <w:rsid w:val="001E5A94"/>
    <w:rsid w:val="001E5ADB"/>
    <w:rsid w:val="001E5BF1"/>
    <w:rsid w:val="001E5C6B"/>
    <w:rsid w:val="001E63EF"/>
    <w:rsid w:val="001E765F"/>
    <w:rsid w:val="001F08C3"/>
    <w:rsid w:val="001F0F25"/>
    <w:rsid w:val="001F1864"/>
    <w:rsid w:val="001F1E4A"/>
    <w:rsid w:val="001F1E72"/>
    <w:rsid w:val="001F227E"/>
    <w:rsid w:val="001F230E"/>
    <w:rsid w:val="001F2984"/>
    <w:rsid w:val="001F2EF7"/>
    <w:rsid w:val="001F364D"/>
    <w:rsid w:val="001F3EF1"/>
    <w:rsid w:val="001F3FA2"/>
    <w:rsid w:val="001F45D5"/>
    <w:rsid w:val="001F4A03"/>
    <w:rsid w:val="001F51A3"/>
    <w:rsid w:val="001F57B5"/>
    <w:rsid w:val="001F5911"/>
    <w:rsid w:val="001F59C3"/>
    <w:rsid w:val="001F5DCB"/>
    <w:rsid w:val="001F6911"/>
    <w:rsid w:val="001F6994"/>
    <w:rsid w:val="001F6FD0"/>
    <w:rsid w:val="001F7F9F"/>
    <w:rsid w:val="00200284"/>
    <w:rsid w:val="002003DC"/>
    <w:rsid w:val="002005A5"/>
    <w:rsid w:val="00200ECD"/>
    <w:rsid w:val="002018A6"/>
    <w:rsid w:val="00201C4B"/>
    <w:rsid w:val="00203366"/>
    <w:rsid w:val="00203766"/>
    <w:rsid w:val="00203A42"/>
    <w:rsid w:val="00203EC0"/>
    <w:rsid w:val="00204343"/>
    <w:rsid w:val="0020435E"/>
    <w:rsid w:val="002043B0"/>
    <w:rsid w:val="00204DDA"/>
    <w:rsid w:val="00204DFE"/>
    <w:rsid w:val="002056BC"/>
    <w:rsid w:val="00205E9B"/>
    <w:rsid w:val="00206222"/>
    <w:rsid w:val="00206740"/>
    <w:rsid w:val="002067CE"/>
    <w:rsid w:val="00206DE2"/>
    <w:rsid w:val="0020707F"/>
    <w:rsid w:val="0020779B"/>
    <w:rsid w:val="002078A7"/>
    <w:rsid w:val="002078DB"/>
    <w:rsid w:val="00207A4B"/>
    <w:rsid w:val="0021002B"/>
    <w:rsid w:val="0021065E"/>
    <w:rsid w:val="00210B16"/>
    <w:rsid w:val="00210BCC"/>
    <w:rsid w:val="00210E7C"/>
    <w:rsid w:val="00210F54"/>
    <w:rsid w:val="002115AC"/>
    <w:rsid w:val="00211E7F"/>
    <w:rsid w:val="0021216E"/>
    <w:rsid w:val="0021273E"/>
    <w:rsid w:val="00212B7D"/>
    <w:rsid w:val="002130DC"/>
    <w:rsid w:val="00213177"/>
    <w:rsid w:val="002132B6"/>
    <w:rsid w:val="00213743"/>
    <w:rsid w:val="00213FF0"/>
    <w:rsid w:val="00214188"/>
    <w:rsid w:val="00214845"/>
    <w:rsid w:val="002158D8"/>
    <w:rsid w:val="00216A12"/>
    <w:rsid w:val="00216DE3"/>
    <w:rsid w:val="00216EB6"/>
    <w:rsid w:val="00216F5C"/>
    <w:rsid w:val="00217199"/>
    <w:rsid w:val="002174ED"/>
    <w:rsid w:val="002175A8"/>
    <w:rsid w:val="00217EB4"/>
    <w:rsid w:val="00220EC4"/>
    <w:rsid w:val="002212EB"/>
    <w:rsid w:val="002219A1"/>
    <w:rsid w:val="002219A9"/>
    <w:rsid w:val="00221CCA"/>
    <w:rsid w:val="00222080"/>
    <w:rsid w:val="002225FE"/>
    <w:rsid w:val="00222A43"/>
    <w:rsid w:val="00222B70"/>
    <w:rsid w:val="00222DF3"/>
    <w:rsid w:val="0022340A"/>
    <w:rsid w:val="00223DC4"/>
    <w:rsid w:val="00223DCA"/>
    <w:rsid w:val="00223FEA"/>
    <w:rsid w:val="0022477A"/>
    <w:rsid w:val="0022492A"/>
    <w:rsid w:val="00224A5D"/>
    <w:rsid w:val="00224F9A"/>
    <w:rsid w:val="00225469"/>
    <w:rsid w:val="00225676"/>
    <w:rsid w:val="0022599B"/>
    <w:rsid w:val="002265F9"/>
    <w:rsid w:val="00226958"/>
    <w:rsid w:val="002271F9"/>
    <w:rsid w:val="00227719"/>
    <w:rsid w:val="00227A96"/>
    <w:rsid w:val="0023027A"/>
    <w:rsid w:val="00230EA0"/>
    <w:rsid w:val="00230F3A"/>
    <w:rsid w:val="00232B1B"/>
    <w:rsid w:val="00232BB5"/>
    <w:rsid w:val="00232EA4"/>
    <w:rsid w:val="00233722"/>
    <w:rsid w:val="00233FF6"/>
    <w:rsid w:val="00234222"/>
    <w:rsid w:val="00234321"/>
    <w:rsid w:val="0023532C"/>
    <w:rsid w:val="0023561C"/>
    <w:rsid w:val="00236C94"/>
    <w:rsid w:val="00240823"/>
    <w:rsid w:val="00240C41"/>
    <w:rsid w:val="00240C4B"/>
    <w:rsid w:val="00241442"/>
    <w:rsid w:val="00241DEF"/>
    <w:rsid w:val="00242004"/>
    <w:rsid w:val="00242180"/>
    <w:rsid w:val="0024219F"/>
    <w:rsid w:val="002427DB"/>
    <w:rsid w:val="00242D2C"/>
    <w:rsid w:val="00242E5A"/>
    <w:rsid w:val="00242EDF"/>
    <w:rsid w:val="002436BC"/>
    <w:rsid w:val="0024374F"/>
    <w:rsid w:val="00243C36"/>
    <w:rsid w:val="00244311"/>
    <w:rsid w:val="002443B7"/>
    <w:rsid w:val="002446CF"/>
    <w:rsid w:val="002448C7"/>
    <w:rsid w:val="0024544A"/>
    <w:rsid w:val="00245F65"/>
    <w:rsid w:val="00246266"/>
    <w:rsid w:val="0024652B"/>
    <w:rsid w:val="00246D76"/>
    <w:rsid w:val="00246E9E"/>
    <w:rsid w:val="0024701F"/>
    <w:rsid w:val="00247CD0"/>
    <w:rsid w:val="00247D3B"/>
    <w:rsid w:val="00247D80"/>
    <w:rsid w:val="0025003F"/>
    <w:rsid w:val="00250136"/>
    <w:rsid w:val="00250230"/>
    <w:rsid w:val="00250424"/>
    <w:rsid w:val="00251113"/>
    <w:rsid w:val="00251219"/>
    <w:rsid w:val="00251735"/>
    <w:rsid w:val="00251737"/>
    <w:rsid w:val="00251B50"/>
    <w:rsid w:val="00251BC7"/>
    <w:rsid w:val="00251CB3"/>
    <w:rsid w:val="002529D5"/>
    <w:rsid w:val="00252A37"/>
    <w:rsid w:val="00252FA1"/>
    <w:rsid w:val="002536EF"/>
    <w:rsid w:val="00254165"/>
    <w:rsid w:val="002548E8"/>
    <w:rsid w:val="00254B0B"/>
    <w:rsid w:val="00254EC6"/>
    <w:rsid w:val="00255333"/>
    <w:rsid w:val="0025542C"/>
    <w:rsid w:val="00255AB4"/>
    <w:rsid w:val="00255E28"/>
    <w:rsid w:val="00255F6C"/>
    <w:rsid w:val="00256767"/>
    <w:rsid w:val="00256953"/>
    <w:rsid w:val="00256BE2"/>
    <w:rsid w:val="00256E2F"/>
    <w:rsid w:val="00257225"/>
    <w:rsid w:val="00257372"/>
    <w:rsid w:val="002579D6"/>
    <w:rsid w:val="0025D523"/>
    <w:rsid w:val="0026041C"/>
    <w:rsid w:val="0026097D"/>
    <w:rsid w:val="00260B19"/>
    <w:rsid w:val="00261182"/>
    <w:rsid w:val="00261D02"/>
    <w:rsid w:val="00261E4C"/>
    <w:rsid w:val="00262409"/>
    <w:rsid w:val="00262754"/>
    <w:rsid w:val="00262C10"/>
    <w:rsid w:val="00262FB7"/>
    <w:rsid w:val="00263338"/>
    <w:rsid w:val="0026335D"/>
    <w:rsid w:val="0026351E"/>
    <w:rsid w:val="00263F80"/>
    <w:rsid w:val="00264835"/>
    <w:rsid w:val="002649B2"/>
    <w:rsid w:val="00264FCF"/>
    <w:rsid w:val="002656EB"/>
    <w:rsid w:val="002658E4"/>
    <w:rsid w:val="00265A95"/>
    <w:rsid w:val="00265B69"/>
    <w:rsid w:val="002662D0"/>
    <w:rsid w:val="00266557"/>
    <w:rsid w:val="00266C6E"/>
    <w:rsid w:val="00266F7B"/>
    <w:rsid w:val="00266F8E"/>
    <w:rsid w:val="00267351"/>
    <w:rsid w:val="00267CE9"/>
    <w:rsid w:val="00267F76"/>
    <w:rsid w:val="00267F81"/>
    <w:rsid w:val="002706B9"/>
    <w:rsid w:val="00270A77"/>
    <w:rsid w:val="00270B0A"/>
    <w:rsid w:val="00270F87"/>
    <w:rsid w:val="002712EB"/>
    <w:rsid w:val="002713C5"/>
    <w:rsid w:val="00271B24"/>
    <w:rsid w:val="00271E29"/>
    <w:rsid w:val="00271E67"/>
    <w:rsid w:val="00272C03"/>
    <w:rsid w:val="00273091"/>
    <w:rsid w:val="00273279"/>
    <w:rsid w:val="0027387C"/>
    <w:rsid w:val="00274089"/>
    <w:rsid w:val="00274288"/>
    <w:rsid w:val="00274333"/>
    <w:rsid w:val="00274441"/>
    <w:rsid w:val="0027486F"/>
    <w:rsid w:val="00274AC6"/>
    <w:rsid w:val="002756AD"/>
    <w:rsid w:val="00275837"/>
    <w:rsid w:val="002763DB"/>
    <w:rsid w:val="00277097"/>
    <w:rsid w:val="002771A2"/>
    <w:rsid w:val="00277C31"/>
    <w:rsid w:val="00277DE4"/>
    <w:rsid w:val="00277FA3"/>
    <w:rsid w:val="002800B2"/>
    <w:rsid w:val="00280AC6"/>
    <w:rsid w:val="002812BC"/>
    <w:rsid w:val="00282006"/>
    <w:rsid w:val="002823F4"/>
    <w:rsid w:val="00282C64"/>
    <w:rsid w:val="002830B6"/>
    <w:rsid w:val="00283184"/>
    <w:rsid w:val="002835E2"/>
    <w:rsid w:val="00283B1C"/>
    <w:rsid w:val="00283C28"/>
    <w:rsid w:val="00283FCE"/>
    <w:rsid w:val="00284446"/>
    <w:rsid w:val="00284492"/>
    <w:rsid w:val="00284523"/>
    <w:rsid w:val="00284763"/>
    <w:rsid w:val="00284E09"/>
    <w:rsid w:val="00284E56"/>
    <w:rsid w:val="00284F55"/>
    <w:rsid w:val="002854A8"/>
    <w:rsid w:val="00285E28"/>
    <w:rsid w:val="00285F7A"/>
    <w:rsid w:val="0028603A"/>
    <w:rsid w:val="002862F5"/>
    <w:rsid w:val="002862FE"/>
    <w:rsid w:val="00286C19"/>
    <w:rsid w:val="00286DBD"/>
    <w:rsid w:val="002877AB"/>
    <w:rsid w:val="00287853"/>
    <w:rsid w:val="00287A8D"/>
    <w:rsid w:val="00290E10"/>
    <w:rsid w:val="00290E49"/>
    <w:rsid w:val="00291183"/>
    <w:rsid w:val="00291242"/>
    <w:rsid w:val="00292007"/>
    <w:rsid w:val="0029203F"/>
    <w:rsid w:val="0029253A"/>
    <w:rsid w:val="002930DE"/>
    <w:rsid w:val="00293101"/>
    <w:rsid w:val="002931D1"/>
    <w:rsid w:val="00293F1F"/>
    <w:rsid w:val="0029506F"/>
    <w:rsid w:val="002953FD"/>
    <w:rsid w:val="002959C4"/>
    <w:rsid w:val="00295B3F"/>
    <w:rsid w:val="0029691A"/>
    <w:rsid w:val="00296DB7"/>
    <w:rsid w:val="00297022"/>
    <w:rsid w:val="00297544"/>
    <w:rsid w:val="0029762E"/>
    <w:rsid w:val="00297D23"/>
    <w:rsid w:val="002A0188"/>
    <w:rsid w:val="002A071A"/>
    <w:rsid w:val="002A098C"/>
    <w:rsid w:val="002A09EE"/>
    <w:rsid w:val="002A0A20"/>
    <w:rsid w:val="002A0A2F"/>
    <w:rsid w:val="002A0D66"/>
    <w:rsid w:val="002A1292"/>
    <w:rsid w:val="002A135F"/>
    <w:rsid w:val="002A1CC3"/>
    <w:rsid w:val="002A236D"/>
    <w:rsid w:val="002A2A2C"/>
    <w:rsid w:val="002A2A51"/>
    <w:rsid w:val="002A3BB4"/>
    <w:rsid w:val="002A3CD4"/>
    <w:rsid w:val="002A4008"/>
    <w:rsid w:val="002A4482"/>
    <w:rsid w:val="002A46D1"/>
    <w:rsid w:val="002A492D"/>
    <w:rsid w:val="002A498C"/>
    <w:rsid w:val="002A5388"/>
    <w:rsid w:val="002A538C"/>
    <w:rsid w:val="002A5402"/>
    <w:rsid w:val="002A54F6"/>
    <w:rsid w:val="002A56DE"/>
    <w:rsid w:val="002A5AD7"/>
    <w:rsid w:val="002A611B"/>
    <w:rsid w:val="002A6277"/>
    <w:rsid w:val="002A63E6"/>
    <w:rsid w:val="002A64A5"/>
    <w:rsid w:val="002A6581"/>
    <w:rsid w:val="002A6995"/>
    <w:rsid w:val="002A69C6"/>
    <w:rsid w:val="002A6B1D"/>
    <w:rsid w:val="002A6B66"/>
    <w:rsid w:val="002A7359"/>
    <w:rsid w:val="002A7370"/>
    <w:rsid w:val="002A7634"/>
    <w:rsid w:val="002A7B3F"/>
    <w:rsid w:val="002B0428"/>
    <w:rsid w:val="002B0BA7"/>
    <w:rsid w:val="002B0CFC"/>
    <w:rsid w:val="002B1727"/>
    <w:rsid w:val="002B193A"/>
    <w:rsid w:val="002B1D46"/>
    <w:rsid w:val="002B229D"/>
    <w:rsid w:val="002B2372"/>
    <w:rsid w:val="002B23A5"/>
    <w:rsid w:val="002B2A4C"/>
    <w:rsid w:val="002B2A93"/>
    <w:rsid w:val="002B2C88"/>
    <w:rsid w:val="002B2CAC"/>
    <w:rsid w:val="002B2E38"/>
    <w:rsid w:val="002B32AD"/>
    <w:rsid w:val="002B3370"/>
    <w:rsid w:val="002B37BF"/>
    <w:rsid w:val="002B3BEE"/>
    <w:rsid w:val="002B4252"/>
    <w:rsid w:val="002B4335"/>
    <w:rsid w:val="002B4C9A"/>
    <w:rsid w:val="002B4D02"/>
    <w:rsid w:val="002B5149"/>
    <w:rsid w:val="002B5185"/>
    <w:rsid w:val="002B51F9"/>
    <w:rsid w:val="002B5B2F"/>
    <w:rsid w:val="002B5CAE"/>
    <w:rsid w:val="002B5F65"/>
    <w:rsid w:val="002B6318"/>
    <w:rsid w:val="002B6515"/>
    <w:rsid w:val="002B661A"/>
    <w:rsid w:val="002B69B0"/>
    <w:rsid w:val="002B6AD9"/>
    <w:rsid w:val="002B72CD"/>
    <w:rsid w:val="002B787C"/>
    <w:rsid w:val="002B7D6B"/>
    <w:rsid w:val="002C04CD"/>
    <w:rsid w:val="002C11C2"/>
    <w:rsid w:val="002C1667"/>
    <w:rsid w:val="002C17B1"/>
    <w:rsid w:val="002C17B5"/>
    <w:rsid w:val="002C2135"/>
    <w:rsid w:val="002C22B3"/>
    <w:rsid w:val="002C2692"/>
    <w:rsid w:val="002C2988"/>
    <w:rsid w:val="002C2D96"/>
    <w:rsid w:val="002C38DE"/>
    <w:rsid w:val="002C3EFF"/>
    <w:rsid w:val="002C4282"/>
    <w:rsid w:val="002C443A"/>
    <w:rsid w:val="002C44C4"/>
    <w:rsid w:val="002C495A"/>
    <w:rsid w:val="002C4EB5"/>
    <w:rsid w:val="002C58E9"/>
    <w:rsid w:val="002C5B8A"/>
    <w:rsid w:val="002C5CD5"/>
    <w:rsid w:val="002C6808"/>
    <w:rsid w:val="002C6D17"/>
    <w:rsid w:val="002C75EF"/>
    <w:rsid w:val="002C7A43"/>
    <w:rsid w:val="002D01A4"/>
    <w:rsid w:val="002D0252"/>
    <w:rsid w:val="002D09F1"/>
    <w:rsid w:val="002D1A58"/>
    <w:rsid w:val="002D1B09"/>
    <w:rsid w:val="002D1BD2"/>
    <w:rsid w:val="002D1CD7"/>
    <w:rsid w:val="002D22B3"/>
    <w:rsid w:val="002D24CC"/>
    <w:rsid w:val="002D2A84"/>
    <w:rsid w:val="002D2BD9"/>
    <w:rsid w:val="002D3768"/>
    <w:rsid w:val="002D3788"/>
    <w:rsid w:val="002D4131"/>
    <w:rsid w:val="002D4283"/>
    <w:rsid w:val="002D45AB"/>
    <w:rsid w:val="002D483D"/>
    <w:rsid w:val="002D53F5"/>
    <w:rsid w:val="002D542A"/>
    <w:rsid w:val="002D5672"/>
    <w:rsid w:val="002D5763"/>
    <w:rsid w:val="002D5C4B"/>
    <w:rsid w:val="002D5F66"/>
    <w:rsid w:val="002D628F"/>
    <w:rsid w:val="002D642A"/>
    <w:rsid w:val="002D6690"/>
    <w:rsid w:val="002D726A"/>
    <w:rsid w:val="002D7536"/>
    <w:rsid w:val="002D7694"/>
    <w:rsid w:val="002D7758"/>
    <w:rsid w:val="002D78A8"/>
    <w:rsid w:val="002E02AB"/>
    <w:rsid w:val="002E0381"/>
    <w:rsid w:val="002E0D9D"/>
    <w:rsid w:val="002E17E3"/>
    <w:rsid w:val="002E1821"/>
    <w:rsid w:val="002E1B07"/>
    <w:rsid w:val="002E2476"/>
    <w:rsid w:val="002E2642"/>
    <w:rsid w:val="002E2A98"/>
    <w:rsid w:val="002E2AA2"/>
    <w:rsid w:val="002E3013"/>
    <w:rsid w:val="002E325D"/>
    <w:rsid w:val="002E325E"/>
    <w:rsid w:val="002E3895"/>
    <w:rsid w:val="002E4866"/>
    <w:rsid w:val="002E4B67"/>
    <w:rsid w:val="002E4ED6"/>
    <w:rsid w:val="002E5391"/>
    <w:rsid w:val="002E5824"/>
    <w:rsid w:val="002E5F79"/>
    <w:rsid w:val="002E6060"/>
    <w:rsid w:val="002E6C70"/>
    <w:rsid w:val="002E6D0D"/>
    <w:rsid w:val="002E7264"/>
    <w:rsid w:val="002E73DA"/>
    <w:rsid w:val="002E75E2"/>
    <w:rsid w:val="002F0436"/>
    <w:rsid w:val="002F0DB1"/>
    <w:rsid w:val="002F1743"/>
    <w:rsid w:val="002F1D8A"/>
    <w:rsid w:val="002F1E54"/>
    <w:rsid w:val="002F211F"/>
    <w:rsid w:val="002F2A0A"/>
    <w:rsid w:val="002F2A75"/>
    <w:rsid w:val="002F2CD0"/>
    <w:rsid w:val="002F2D32"/>
    <w:rsid w:val="002F2EBA"/>
    <w:rsid w:val="002F2F14"/>
    <w:rsid w:val="002F31AF"/>
    <w:rsid w:val="002F3C0A"/>
    <w:rsid w:val="002F3DE8"/>
    <w:rsid w:val="002F4753"/>
    <w:rsid w:val="002F4AFD"/>
    <w:rsid w:val="002F4B2C"/>
    <w:rsid w:val="002F50F3"/>
    <w:rsid w:val="002F5112"/>
    <w:rsid w:val="002F580D"/>
    <w:rsid w:val="002F5C05"/>
    <w:rsid w:val="002F5E95"/>
    <w:rsid w:val="002F61A2"/>
    <w:rsid w:val="002F6919"/>
    <w:rsid w:val="002F6C23"/>
    <w:rsid w:val="002F71CD"/>
    <w:rsid w:val="002F7270"/>
    <w:rsid w:val="002F7E63"/>
    <w:rsid w:val="0030058A"/>
    <w:rsid w:val="003007BA"/>
    <w:rsid w:val="0030121C"/>
    <w:rsid w:val="00301A89"/>
    <w:rsid w:val="00301AA3"/>
    <w:rsid w:val="00301CBF"/>
    <w:rsid w:val="00302053"/>
    <w:rsid w:val="00302EEF"/>
    <w:rsid w:val="00302F1F"/>
    <w:rsid w:val="00303296"/>
    <w:rsid w:val="00303480"/>
    <w:rsid w:val="00303A0C"/>
    <w:rsid w:val="00303FBF"/>
    <w:rsid w:val="003040F6"/>
    <w:rsid w:val="003046EA"/>
    <w:rsid w:val="003049D4"/>
    <w:rsid w:val="00304A42"/>
    <w:rsid w:val="00304EB7"/>
    <w:rsid w:val="00305466"/>
    <w:rsid w:val="00305506"/>
    <w:rsid w:val="003060D1"/>
    <w:rsid w:val="00310067"/>
    <w:rsid w:val="00310909"/>
    <w:rsid w:val="00310959"/>
    <w:rsid w:val="00310A77"/>
    <w:rsid w:val="00311367"/>
    <w:rsid w:val="00311774"/>
    <w:rsid w:val="00311959"/>
    <w:rsid w:val="0031209B"/>
    <w:rsid w:val="00313249"/>
    <w:rsid w:val="00313269"/>
    <w:rsid w:val="003136A4"/>
    <w:rsid w:val="00313874"/>
    <w:rsid w:val="0031481C"/>
    <w:rsid w:val="00314BF6"/>
    <w:rsid w:val="00314F23"/>
    <w:rsid w:val="003153E7"/>
    <w:rsid w:val="00315608"/>
    <w:rsid w:val="0031579E"/>
    <w:rsid w:val="003157B8"/>
    <w:rsid w:val="00315807"/>
    <w:rsid w:val="00315954"/>
    <w:rsid w:val="00315BDB"/>
    <w:rsid w:val="0031664D"/>
    <w:rsid w:val="00316DAE"/>
    <w:rsid w:val="0031782B"/>
    <w:rsid w:val="00317974"/>
    <w:rsid w:val="00317BA9"/>
    <w:rsid w:val="00317FA0"/>
    <w:rsid w:val="0032007B"/>
    <w:rsid w:val="003201EC"/>
    <w:rsid w:val="00320ECF"/>
    <w:rsid w:val="0032163A"/>
    <w:rsid w:val="0032197C"/>
    <w:rsid w:val="00321BAA"/>
    <w:rsid w:val="00321BB5"/>
    <w:rsid w:val="00321C66"/>
    <w:rsid w:val="003222F4"/>
    <w:rsid w:val="003227AB"/>
    <w:rsid w:val="00322998"/>
    <w:rsid w:val="00322F9C"/>
    <w:rsid w:val="003236FA"/>
    <w:rsid w:val="00324071"/>
    <w:rsid w:val="003240A8"/>
    <w:rsid w:val="003245B8"/>
    <w:rsid w:val="0032467F"/>
    <w:rsid w:val="00324A91"/>
    <w:rsid w:val="00324CCC"/>
    <w:rsid w:val="003251E2"/>
    <w:rsid w:val="003256E4"/>
    <w:rsid w:val="00325A44"/>
    <w:rsid w:val="00325EE0"/>
    <w:rsid w:val="00325F1B"/>
    <w:rsid w:val="003261B2"/>
    <w:rsid w:val="00326361"/>
    <w:rsid w:val="00327268"/>
    <w:rsid w:val="00327D33"/>
    <w:rsid w:val="00327FF7"/>
    <w:rsid w:val="003301DD"/>
    <w:rsid w:val="003304D7"/>
    <w:rsid w:val="00330E64"/>
    <w:rsid w:val="00331448"/>
    <w:rsid w:val="00331543"/>
    <w:rsid w:val="00331CD2"/>
    <w:rsid w:val="00332ECE"/>
    <w:rsid w:val="00333133"/>
    <w:rsid w:val="003333AB"/>
    <w:rsid w:val="0033349C"/>
    <w:rsid w:val="003338D7"/>
    <w:rsid w:val="00334446"/>
    <w:rsid w:val="0033546B"/>
    <w:rsid w:val="00335988"/>
    <w:rsid w:val="003359DB"/>
    <w:rsid w:val="00335DCC"/>
    <w:rsid w:val="0033646A"/>
    <w:rsid w:val="003369A1"/>
    <w:rsid w:val="003371F9"/>
    <w:rsid w:val="0033721B"/>
    <w:rsid w:val="003404AB"/>
    <w:rsid w:val="0034087A"/>
    <w:rsid w:val="00340D99"/>
    <w:rsid w:val="00341454"/>
    <w:rsid w:val="0034145D"/>
    <w:rsid w:val="0034157E"/>
    <w:rsid w:val="00341B19"/>
    <w:rsid w:val="00341C23"/>
    <w:rsid w:val="00341C6F"/>
    <w:rsid w:val="00341D2B"/>
    <w:rsid w:val="00341E89"/>
    <w:rsid w:val="003423D4"/>
    <w:rsid w:val="00342904"/>
    <w:rsid w:val="00342A34"/>
    <w:rsid w:val="00342D95"/>
    <w:rsid w:val="0034305E"/>
    <w:rsid w:val="0034361C"/>
    <w:rsid w:val="00343898"/>
    <w:rsid w:val="003439CB"/>
    <w:rsid w:val="00343E60"/>
    <w:rsid w:val="00344253"/>
    <w:rsid w:val="003443DB"/>
    <w:rsid w:val="003443E3"/>
    <w:rsid w:val="003445FF"/>
    <w:rsid w:val="003446B1"/>
    <w:rsid w:val="00344C40"/>
    <w:rsid w:val="00344DC2"/>
    <w:rsid w:val="00344FC6"/>
    <w:rsid w:val="00345269"/>
    <w:rsid w:val="00345D61"/>
    <w:rsid w:val="0034666F"/>
    <w:rsid w:val="003466BA"/>
    <w:rsid w:val="00347158"/>
    <w:rsid w:val="003475C4"/>
    <w:rsid w:val="0034774B"/>
    <w:rsid w:val="00347950"/>
    <w:rsid w:val="00347A75"/>
    <w:rsid w:val="00347D88"/>
    <w:rsid w:val="0034E524"/>
    <w:rsid w:val="00350330"/>
    <w:rsid w:val="00350CFF"/>
    <w:rsid w:val="00351926"/>
    <w:rsid w:val="00351F46"/>
    <w:rsid w:val="003520D5"/>
    <w:rsid w:val="003522E6"/>
    <w:rsid w:val="003525CC"/>
    <w:rsid w:val="0035297B"/>
    <w:rsid w:val="00352A41"/>
    <w:rsid w:val="00353743"/>
    <w:rsid w:val="00353893"/>
    <w:rsid w:val="0035404D"/>
    <w:rsid w:val="003541ED"/>
    <w:rsid w:val="00354262"/>
    <w:rsid w:val="0035445D"/>
    <w:rsid w:val="003547F5"/>
    <w:rsid w:val="00354969"/>
    <w:rsid w:val="00354A5B"/>
    <w:rsid w:val="00355385"/>
    <w:rsid w:val="003554CB"/>
    <w:rsid w:val="003556F7"/>
    <w:rsid w:val="00355F17"/>
    <w:rsid w:val="003569D6"/>
    <w:rsid w:val="00357649"/>
    <w:rsid w:val="00357E46"/>
    <w:rsid w:val="00360566"/>
    <w:rsid w:val="00360730"/>
    <w:rsid w:val="00360A86"/>
    <w:rsid w:val="00360A8A"/>
    <w:rsid w:val="00360BFA"/>
    <w:rsid w:val="003614CB"/>
    <w:rsid w:val="003614EA"/>
    <w:rsid w:val="00361A8A"/>
    <w:rsid w:val="00361D54"/>
    <w:rsid w:val="00361F0A"/>
    <w:rsid w:val="00361FE4"/>
    <w:rsid w:val="00362203"/>
    <w:rsid w:val="00362751"/>
    <w:rsid w:val="00362F15"/>
    <w:rsid w:val="003633BA"/>
    <w:rsid w:val="003636A1"/>
    <w:rsid w:val="00363717"/>
    <w:rsid w:val="00363A07"/>
    <w:rsid w:val="00363B49"/>
    <w:rsid w:val="003644DA"/>
    <w:rsid w:val="00364518"/>
    <w:rsid w:val="003648D3"/>
    <w:rsid w:val="00364B8D"/>
    <w:rsid w:val="00364E29"/>
    <w:rsid w:val="00364F2A"/>
    <w:rsid w:val="0036575D"/>
    <w:rsid w:val="003658FD"/>
    <w:rsid w:val="00365A7F"/>
    <w:rsid w:val="003660F9"/>
    <w:rsid w:val="003660FC"/>
    <w:rsid w:val="00366841"/>
    <w:rsid w:val="003668D5"/>
    <w:rsid w:val="003669A2"/>
    <w:rsid w:val="00367471"/>
    <w:rsid w:val="0036751C"/>
    <w:rsid w:val="003676A6"/>
    <w:rsid w:val="00367969"/>
    <w:rsid w:val="00367DC3"/>
    <w:rsid w:val="00367ECA"/>
    <w:rsid w:val="003703C1"/>
    <w:rsid w:val="003708EF"/>
    <w:rsid w:val="00370B0A"/>
    <w:rsid w:val="00371118"/>
    <w:rsid w:val="003712E9"/>
    <w:rsid w:val="00371381"/>
    <w:rsid w:val="00371E86"/>
    <w:rsid w:val="00372336"/>
    <w:rsid w:val="00372445"/>
    <w:rsid w:val="00372B73"/>
    <w:rsid w:val="00372DBB"/>
    <w:rsid w:val="00373188"/>
    <w:rsid w:val="003737AA"/>
    <w:rsid w:val="00374442"/>
    <w:rsid w:val="00374715"/>
    <w:rsid w:val="003757CA"/>
    <w:rsid w:val="00375E2F"/>
    <w:rsid w:val="00376040"/>
    <w:rsid w:val="003769EE"/>
    <w:rsid w:val="00376C31"/>
    <w:rsid w:val="00377107"/>
    <w:rsid w:val="00377686"/>
    <w:rsid w:val="0037786A"/>
    <w:rsid w:val="00380083"/>
    <w:rsid w:val="00381810"/>
    <w:rsid w:val="00382FC8"/>
    <w:rsid w:val="0038304B"/>
    <w:rsid w:val="003837B9"/>
    <w:rsid w:val="003838CF"/>
    <w:rsid w:val="00383986"/>
    <w:rsid w:val="00383E53"/>
    <w:rsid w:val="003848C1"/>
    <w:rsid w:val="003848CD"/>
    <w:rsid w:val="00385343"/>
    <w:rsid w:val="003855D4"/>
    <w:rsid w:val="0038565B"/>
    <w:rsid w:val="00385871"/>
    <w:rsid w:val="0038587B"/>
    <w:rsid w:val="00385D1F"/>
    <w:rsid w:val="00385D2E"/>
    <w:rsid w:val="00385DFA"/>
    <w:rsid w:val="00385EE3"/>
    <w:rsid w:val="003867E3"/>
    <w:rsid w:val="00386AF4"/>
    <w:rsid w:val="003873D0"/>
    <w:rsid w:val="00387ED3"/>
    <w:rsid w:val="00387F31"/>
    <w:rsid w:val="0039000A"/>
    <w:rsid w:val="00390080"/>
    <w:rsid w:val="003904CA"/>
    <w:rsid w:val="00390514"/>
    <w:rsid w:val="00390632"/>
    <w:rsid w:val="0039066F"/>
    <w:rsid w:val="00390F1B"/>
    <w:rsid w:val="00390FBC"/>
    <w:rsid w:val="003915B0"/>
    <w:rsid w:val="00391657"/>
    <w:rsid w:val="0039193C"/>
    <w:rsid w:val="00391BB3"/>
    <w:rsid w:val="00391CF6"/>
    <w:rsid w:val="00391E7D"/>
    <w:rsid w:val="00391F72"/>
    <w:rsid w:val="003921AC"/>
    <w:rsid w:val="00393B47"/>
    <w:rsid w:val="00393DAE"/>
    <w:rsid w:val="00394050"/>
    <w:rsid w:val="0039447C"/>
    <w:rsid w:val="0039447E"/>
    <w:rsid w:val="00394EC0"/>
    <w:rsid w:val="00395EAE"/>
    <w:rsid w:val="003962B6"/>
    <w:rsid w:val="003963C0"/>
    <w:rsid w:val="00396E00"/>
    <w:rsid w:val="00396F5E"/>
    <w:rsid w:val="003976D9"/>
    <w:rsid w:val="003A0A14"/>
    <w:rsid w:val="003A0FB1"/>
    <w:rsid w:val="003A1E52"/>
    <w:rsid w:val="003A1EAF"/>
    <w:rsid w:val="003A2012"/>
    <w:rsid w:val="003A299C"/>
    <w:rsid w:val="003A2BBA"/>
    <w:rsid w:val="003A2D8F"/>
    <w:rsid w:val="003A2F20"/>
    <w:rsid w:val="003A30AC"/>
    <w:rsid w:val="003A3123"/>
    <w:rsid w:val="003A360E"/>
    <w:rsid w:val="003A3823"/>
    <w:rsid w:val="003A42DE"/>
    <w:rsid w:val="003A4471"/>
    <w:rsid w:val="003A503E"/>
    <w:rsid w:val="003A5754"/>
    <w:rsid w:val="003A5F90"/>
    <w:rsid w:val="003A6040"/>
    <w:rsid w:val="003A6216"/>
    <w:rsid w:val="003A6347"/>
    <w:rsid w:val="003A6964"/>
    <w:rsid w:val="003A6E41"/>
    <w:rsid w:val="003A6F92"/>
    <w:rsid w:val="003A6FA2"/>
    <w:rsid w:val="003A7866"/>
    <w:rsid w:val="003A78FE"/>
    <w:rsid w:val="003B0829"/>
    <w:rsid w:val="003B1FEE"/>
    <w:rsid w:val="003B2BCA"/>
    <w:rsid w:val="003B3C7B"/>
    <w:rsid w:val="003B3DB2"/>
    <w:rsid w:val="003B3DBD"/>
    <w:rsid w:val="003B400A"/>
    <w:rsid w:val="003B442A"/>
    <w:rsid w:val="003B47A6"/>
    <w:rsid w:val="003B4835"/>
    <w:rsid w:val="003B4B71"/>
    <w:rsid w:val="003B4B88"/>
    <w:rsid w:val="003B4BD2"/>
    <w:rsid w:val="003B52ED"/>
    <w:rsid w:val="003B5589"/>
    <w:rsid w:val="003B5F56"/>
    <w:rsid w:val="003B5FF0"/>
    <w:rsid w:val="003B6444"/>
    <w:rsid w:val="003B6531"/>
    <w:rsid w:val="003B6658"/>
    <w:rsid w:val="003B7006"/>
    <w:rsid w:val="003B7B68"/>
    <w:rsid w:val="003B7C14"/>
    <w:rsid w:val="003C0020"/>
    <w:rsid w:val="003C0623"/>
    <w:rsid w:val="003C0EBD"/>
    <w:rsid w:val="003C0F18"/>
    <w:rsid w:val="003C114D"/>
    <w:rsid w:val="003C322D"/>
    <w:rsid w:val="003C48E7"/>
    <w:rsid w:val="003C51D2"/>
    <w:rsid w:val="003C57BE"/>
    <w:rsid w:val="003C5A85"/>
    <w:rsid w:val="003C60C8"/>
    <w:rsid w:val="003C664C"/>
    <w:rsid w:val="003C684D"/>
    <w:rsid w:val="003C6964"/>
    <w:rsid w:val="003C6BAF"/>
    <w:rsid w:val="003C7D6D"/>
    <w:rsid w:val="003D0BB3"/>
    <w:rsid w:val="003D1AE1"/>
    <w:rsid w:val="003D1BE9"/>
    <w:rsid w:val="003D1D9F"/>
    <w:rsid w:val="003D252A"/>
    <w:rsid w:val="003D2890"/>
    <w:rsid w:val="003D297F"/>
    <w:rsid w:val="003D29FD"/>
    <w:rsid w:val="003D2B05"/>
    <w:rsid w:val="003D2E0B"/>
    <w:rsid w:val="003D2E90"/>
    <w:rsid w:val="003D33B8"/>
    <w:rsid w:val="003D3724"/>
    <w:rsid w:val="003D38F0"/>
    <w:rsid w:val="003D3C65"/>
    <w:rsid w:val="003D48EA"/>
    <w:rsid w:val="003D4B4B"/>
    <w:rsid w:val="003D5194"/>
    <w:rsid w:val="003D55D6"/>
    <w:rsid w:val="003D5E7C"/>
    <w:rsid w:val="003D6B49"/>
    <w:rsid w:val="003D7449"/>
    <w:rsid w:val="003D7C41"/>
    <w:rsid w:val="003E11E8"/>
    <w:rsid w:val="003E130E"/>
    <w:rsid w:val="003E1356"/>
    <w:rsid w:val="003E1755"/>
    <w:rsid w:val="003E1BA7"/>
    <w:rsid w:val="003E1D39"/>
    <w:rsid w:val="003E21F7"/>
    <w:rsid w:val="003E227D"/>
    <w:rsid w:val="003E22D1"/>
    <w:rsid w:val="003E2859"/>
    <w:rsid w:val="003E2E52"/>
    <w:rsid w:val="003E3051"/>
    <w:rsid w:val="003E317A"/>
    <w:rsid w:val="003E3697"/>
    <w:rsid w:val="003E3703"/>
    <w:rsid w:val="003E3951"/>
    <w:rsid w:val="003E3DDB"/>
    <w:rsid w:val="003E40DE"/>
    <w:rsid w:val="003E4382"/>
    <w:rsid w:val="003E477D"/>
    <w:rsid w:val="003E6226"/>
    <w:rsid w:val="003E6409"/>
    <w:rsid w:val="003E6778"/>
    <w:rsid w:val="003E69D7"/>
    <w:rsid w:val="003E6A6D"/>
    <w:rsid w:val="003E6B67"/>
    <w:rsid w:val="003E6E18"/>
    <w:rsid w:val="003E7088"/>
    <w:rsid w:val="003E74E4"/>
    <w:rsid w:val="003F0207"/>
    <w:rsid w:val="003F023C"/>
    <w:rsid w:val="003F04B8"/>
    <w:rsid w:val="003F07BF"/>
    <w:rsid w:val="003F092B"/>
    <w:rsid w:val="003F103F"/>
    <w:rsid w:val="003F1508"/>
    <w:rsid w:val="003F19F5"/>
    <w:rsid w:val="003F268D"/>
    <w:rsid w:val="003F29A1"/>
    <w:rsid w:val="003F305C"/>
    <w:rsid w:val="003F3168"/>
    <w:rsid w:val="003F3A61"/>
    <w:rsid w:val="003F3DA5"/>
    <w:rsid w:val="003F402A"/>
    <w:rsid w:val="003F4877"/>
    <w:rsid w:val="003F5369"/>
    <w:rsid w:val="003F5667"/>
    <w:rsid w:val="003F586F"/>
    <w:rsid w:val="003F5ADA"/>
    <w:rsid w:val="003F5BC1"/>
    <w:rsid w:val="003F5DBF"/>
    <w:rsid w:val="003F65DD"/>
    <w:rsid w:val="003F7A01"/>
    <w:rsid w:val="00400406"/>
    <w:rsid w:val="00400850"/>
    <w:rsid w:val="004009CD"/>
    <w:rsid w:val="00400E62"/>
    <w:rsid w:val="00400EAA"/>
    <w:rsid w:val="004010DE"/>
    <w:rsid w:val="0040157C"/>
    <w:rsid w:val="00401CC3"/>
    <w:rsid w:val="0040224D"/>
    <w:rsid w:val="00402292"/>
    <w:rsid w:val="004022FF"/>
    <w:rsid w:val="00402702"/>
    <w:rsid w:val="00402728"/>
    <w:rsid w:val="004029AD"/>
    <w:rsid w:val="00402F3C"/>
    <w:rsid w:val="00403829"/>
    <w:rsid w:val="00403D14"/>
    <w:rsid w:val="00404123"/>
    <w:rsid w:val="00404686"/>
    <w:rsid w:val="004046B1"/>
    <w:rsid w:val="004048CA"/>
    <w:rsid w:val="004049EF"/>
    <w:rsid w:val="00404DB4"/>
    <w:rsid w:val="004051F5"/>
    <w:rsid w:val="0040551E"/>
    <w:rsid w:val="004056F0"/>
    <w:rsid w:val="0040595C"/>
    <w:rsid w:val="00405FA2"/>
    <w:rsid w:val="004068F8"/>
    <w:rsid w:val="00406E04"/>
    <w:rsid w:val="00407034"/>
    <w:rsid w:val="00407473"/>
    <w:rsid w:val="00407FD5"/>
    <w:rsid w:val="00410340"/>
    <w:rsid w:val="00410391"/>
    <w:rsid w:val="00410CA2"/>
    <w:rsid w:val="00410DBB"/>
    <w:rsid w:val="00410F1B"/>
    <w:rsid w:val="004117C7"/>
    <w:rsid w:val="004123BF"/>
    <w:rsid w:val="0041249D"/>
    <w:rsid w:val="004125BB"/>
    <w:rsid w:val="00412D4A"/>
    <w:rsid w:val="00412E9C"/>
    <w:rsid w:val="004132CF"/>
    <w:rsid w:val="00413544"/>
    <w:rsid w:val="00413A7F"/>
    <w:rsid w:val="0041409A"/>
    <w:rsid w:val="004147D0"/>
    <w:rsid w:val="004148AA"/>
    <w:rsid w:val="00414A31"/>
    <w:rsid w:val="00414FA9"/>
    <w:rsid w:val="004154C2"/>
    <w:rsid w:val="004159FD"/>
    <w:rsid w:val="00415ED2"/>
    <w:rsid w:val="00416712"/>
    <w:rsid w:val="00416EDE"/>
    <w:rsid w:val="00417089"/>
    <w:rsid w:val="004172D2"/>
    <w:rsid w:val="00417A3C"/>
    <w:rsid w:val="00417AAF"/>
    <w:rsid w:val="00420560"/>
    <w:rsid w:val="00420A43"/>
    <w:rsid w:val="00420ABA"/>
    <w:rsid w:val="00420BAA"/>
    <w:rsid w:val="0042158A"/>
    <w:rsid w:val="00421685"/>
    <w:rsid w:val="00422100"/>
    <w:rsid w:val="004224D2"/>
    <w:rsid w:val="004227E5"/>
    <w:rsid w:val="00422895"/>
    <w:rsid w:val="004229DE"/>
    <w:rsid w:val="00422C62"/>
    <w:rsid w:val="00422D87"/>
    <w:rsid w:val="0042371A"/>
    <w:rsid w:val="00423A52"/>
    <w:rsid w:val="00423B23"/>
    <w:rsid w:val="00424C82"/>
    <w:rsid w:val="00424F74"/>
    <w:rsid w:val="00425974"/>
    <w:rsid w:val="00425D24"/>
    <w:rsid w:val="00425D61"/>
    <w:rsid w:val="00426114"/>
    <w:rsid w:val="00426375"/>
    <w:rsid w:val="00426382"/>
    <w:rsid w:val="004267BD"/>
    <w:rsid w:val="004268AF"/>
    <w:rsid w:val="00426C65"/>
    <w:rsid w:val="00427763"/>
    <w:rsid w:val="00430261"/>
    <w:rsid w:val="004302E5"/>
    <w:rsid w:val="00430A68"/>
    <w:rsid w:val="004317DA"/>
    <w:rsid w:val="00431BED"/>
    <w:rsid w:val="00431E5E"/>
    <w:rsid w:val="0043237E"/>
    <w:rsid w:val="004323FE"/>
    <w:rsid w:val="00433435"/>
    <w:rsid w:val="00433886"/>
    <w:rsid w:val="00433C2A"/>
    <w:rsid w:val="00433F71"/>
    <w:rsid w:val="004343E8"/>
    <w:rsid w:val="00434A75"/>
    <w:rsid w:val="00434AE5"/>
    <w:rsid w:val="00435713"/>
    <w:rsid w:val="00435C32"/>
    <w:rsid w:val="00435E01"/>
    <w:rsid w:val="00435F48"/>
    <w:rsid w:val="00436426"/>
    <w:rsid w:val="00436968"/>
    <w:rsid w:val="00436A28"/>
    <w:rsid w:val="00436BD3"/>
    <w:rsid w:val="00436D3B"/>
    <w:rsid w:val="004372F4"/>
    <w:rsid w:val="004377D6"/>
    <w:rsid w:val="00437B2C"/>
    <w:rsid w:val="0044046A"/>
    <w:rsid w:val="004404A1"/>
    <w:rsid w:val="00440A4B"/>
    <w:rsid w:val="00441479"/>
    <w:rsid w:val="00442277"/>
    <w:rsid w:val="0044239E"/>
    <w:rsid w:val="004425B9"/>
    <w:rsid w:val="00442FF9"/>
    <w:rsid w:val="00443343"/>
    <w:rsid w:val="004434E4"/>
    <w:rsid w:val="0044375D"/>
    <w:rsid w:val="00443883"/>
    <w:rsid w:val="0044394A"/>
    <w:rsid w:val="004439C2"/>
    <w:rsid w:val="004439D6"/>
    <w:rsid w:val="00443DA9"/>
    <w:rsid w:val="004455E9"/>
    <w:rsid w:val="00445ADC"/>
    <w:rsid w:val="00446560"/>
    <w:rsid w:val="00446595"/>
    <w:rsid w:val="0044666F"/>
    <w:rsid w:val="00446716"/>
    <w:rsid w:val="00446774"/>
    <w:rsid w:val="00446951"/>
    <w:rsid w:val="00446C33"/>
    <w:rsid w:val="004470DD"/>
    <w:rsid w:val="00447CAA"/>
    <w:rsid w:val="00447D97"/>
    <w:rsid w:val="00450632"/>
    <w:rsid w:val="00450F71"/>
    <w:rsid w:val="00451233"/>
    <w:rsid w:val="0045137F"/>
    <w:rsid w:val="00451392"/>
    <w:rsid w:val="00451DCD"/>
    <w:rsid w:val="00452638"/>
    <w:rsid w:val="004530F0"/>
    <w:rsid w:val="0045371C"/>
    <w:rsid w:val="00453A74"/>
    <w:rsid w:val="004542C6"/>
    <w:rsid w:val="00454311"/>
    <w:rsid w:val="004545C0"/>
    <w:rsid w:val="00454C67"/>
    <w:rsid w:val="00454CFE"/>
    <w:rsid w:val="00454D5F"/>
    <w:rsid w:val="00455277"/>
    <w:rsid w:val="004552A9"/>
    <w:rsid w:val="0045541B"/>
    <w:rsid w:val="0045542D"/>
    <w:rsid w:val="004561AC"/>
    <w:rsid w:val="004561CD"/>
    <w:rsid w:val="00456237"/>
    <w:rsid w:val="0045641E"/>
    <w:rsid w:val="0045651B"/>
    <w:rsid w:val="00456650"/>
    <w:rsid w:val="0045695E"/>
    <w:rsid w:val="00456C36"/>
    <w:rsid w:val="00456D0D"/>
    <w:rsid w:val="004576B6"/>
    <w:rsid w:val="00457F50"/>
    <w:rsid w:val="00460285"/>
    <w:rsid w:val="004602FD"/>
    <w:rsid w:val="0046094A"/>
    <w:rsid w:val="0046097B"/>
    <w:rsid w:val="00460CBF"/>
    <w:rsid w:val="00460EFE"/>
    <w:rsid w:val="00460F9B"/>
    <w:rsid w:val="004618C8"/>
    <w:rsid w:val="00461AC6"/>
    <w:rsid w:val="00461CDA"/>
    <w:rsid w:val="00461E1C"/>
    <w:rsid w:val="00461F56"/>
    <w:rsid w:val="0046251A"/>
    <w:rsid w:val="00462F3E"/>
    <w:rsid w:val="0046302F"/>
    <w:rsid w:val="00463BC8"/>
    <w:rsid w:val="00463EE3"/>
    <w:rsid w:val="00464412"/>
    <w:rsid w:val="004653AB"/>
    <w:rsid w:val="004657E0"/>
    <w:rsid w:val="0046584F"/>
    <w:rsid w:val="00465BEC"/>
    <w:rsid w:val="004665F5"/>
    <w:rsid w:val="00466638"/>
    <w:rsid w:val="00466A65"/>
    <w:rsid w:val="0046747F"/>
    <w:rsid w:val="00467FD3"/>
    <w:rsid w:val="004700BE"/>
    <w:rsid w:val="0047045C"/>
    <w:rsid w:val="00470615"/>
    <w:rsid w:val="00470A98"/>
    <w:rsid w:val="00470C9C"/>
    <w:rsid w:val="0047114A"/>
    <w:rsid w:val="00471858"/>
    <w:rsid w:val="00471F10"/>
    <w:rsid w:val="0047235C"/>
    <w:rsid w:val="00472517"/>
    <w:rsid w:val="0047253C"/>
    <w:rsid w:val="00472F27"/>
    <w:rsid w:val="00472F34"/>
    <w:rsid w:val="00473174"/>
    <w:rsid w:val="00473789"/>
    <w:rsid w:val="00473D05"/>
    <w:rsid w:val="00473E59"/>
    <w:rsid w:val="00473E8D"/>
    <w:rsid w:val="00474612"/>
    <w:rsid w:val="00474614"/>
    <w:rsid w:val="00474747"/>
    <w:rsid w:val="0047490F"/>
    <w:rsid w:val="00474ADA"/>
    <w:rsid w:val="00474AEC"/>
    <w:rsid w:val="00474DC9"/>
    <w:rsid w:val="004753C3"/>
    <w:rsid w:val="00475653"/>
    <w:rsid w:val="00475FB6"/>
    <w:rsid w:val="004760A7"/>
    <w:rsid w:val="0047630B"/>
    <w:rsid w:val="004767CC"/>
    <w:rsid w:val="004772FD"/>
    <w:rsid w:val="0047739A"/>
    <w:rsid w:val="00477500"/>
    <w:rsid w:val="0047768E"/>
    <w:rsid w:val="00477CA7"/>
    <w:rsid w:val="00477F9D"/>
    <w:rsid w:val="00480035"/>
    <w:rsid w:val="004804D6"/>
    <w:rsid w:val="0048076F"/>
    <w:rsid w:val="00481516"/>
    <w:rsid w:val="0048189C"/>
    <w:rsid w:val="00481964"/>
    <w:rsid w:val="0048196A"/>
    <w:rsid w:val="004821CD"/>
    <w:rsid w:val="00482C89"/>
    <w:rsid w:val="00483C20"/>
    <w:rsid w:val="004848FC"/>
    <w:rsid w:val="0048524D"/>
    <w:rsid w:val="00485B98"/>
    <w:rsid w:val="00485FCD"/>
    <w:rsid w:val="0048695F"/>
    <w:rsid w:val="00486D04"/>
    <w:rsid w:val="00486D4B"/>
    <w:rsid w:val="00486DDC"/>
    <w:rsid w:val="004871EC"/>
    <w:rsid w:val="00487389"/>
    <w:rsid w:val="00487B0C"/>
    <w:rsid w:val="00487DB5"/>
    <w:rsid w:val="00490530"/>
    <w:rsid w:val="0049065A"/>
    <w:rsid w:val="004907DC"/>
    <w:rsid w:val="00490943"/>
    <w:rsid w:val="00490A22"/>
    <w:rsid w:val="00491356"/>
    <w:rsid w:val="00491A17"/>
    <w:rsid w:val="00491F23"/>
    <w:rsid w:val="0049259F"/>
    <w:rsid w:val="00492C8D"/>
    <w:rsid w:val="0049321C"/>
    <w:rsid w:val="00493622"/>
    <w:rsid w:val="00493C23"/>
    <w:rsid w:val="00494678"/>
    <w:rsid w:val="0049503F"/>
    <w:rsid w:val="00495167"/>
    <w:rsid w:val="00495207"/>
    <w:rsid w:val="00495672"/>
    <w:rsid w:val="0049579E"/>
    <w:rsid w:val="0049617E"/>
    <w:rsid w:val="00497035"/>
    <w:rsid w:val="00497553"/>
    <w:rsid w:val="00497AF2"/>
    <w:rsid w:val="004A0057"/>
    <w:rsid w:val="004A03F0"/>
    <w:rsid w:val="004A0950"/>
    <w:rsid w:val="004A0E96"/>
    <w:rsid w:val="004A163D"/>
    <w:rsid w:val="004A2716"/>
    <w:rsid w:val="004A31AD"/>
    <w:rsid w:val="004A31AE"/>
    <w:rsid w:val="004A4878"/>
    <w:rsid w:val="004A49F3"/>
    <w:rsid w:val="004A4CC9"/>
    <w:rsid w:val="004A53A5"/>
    <w:rsid w:val="004A54E6"/>
    <w:rsid w:val="004A56D0"/>
    <w:rsid w:val="004A5AB5"/>
    <w:rsid w:val="004A624F"/>
    <w:rsid w:val="004A6CE8"/>
    <w:rsid w:val="004A7C88"/>
    <w:rsid w:val="004B02D6"/>
    <w:rsid w:val="004B1073"/>
    <w:rsid w:val="004B13C1"/>
    <w:rsid w:val="004B162B"/>
    <w:rsid w:val="004B19FA"/>
    <w:rsid w:val="004B1B69"/>
    <w:rsid w:val="004B1F58"/>
    <w:rsid w:val="004B1FE7"/>
    <w:rsid w:val="004B2092"/>
    <w:rsid w:val="004B21DD"/>
    <w:rsid w:val="004B27F3"/>
    <w:rsid w:val="004B2E66"/>
    <w:rsid w:val="004B31DA"/>
    <w:rsid w:val="004B3D0B"/>
    <w:rsid w:val="004B42B8"/>
    <w:rsid w:val="004B44DC"/>
    <w:rsid w:val="004B4779"/>
    <w:rsid w:val="004B47E3"/>
    <w:rsid w:val="004B4C0C"/>
    <w:rsid w:val="004B596B"/>
    <w:rsid w:val="004B6288"/>
    <w:rsid w:val="004B6BA2"/>
    <w:rsid w:val="004B735E"/>
    <w:rsid w:val="004B7681"/>
    <w:rsid w:val="004B7BCB"/>
    <w:rsid w:val="004B7DD6"/>
    <w:rsid w:val="004B7E3B"/>
    <w:rsid w:val="004B7F0E"/>
    <w:rsid w:val="004C04B0"/>
    <w:rsid w:val="004C054B"/>
    <w:rsid w:val="004C094E"/>
    <w:rsid w:val="004C0E01"/>
    <w:rsid w:val="004C1747"/>
    <w:rsid w:val="004C1A81"/>
    <w:rsid w:val="004C1AA2"/>
    <w:rsid w:val="004C2068"/>
    <w:rsid w:val="004C2DAD"/>
    <w:rsid w:val="004C2DD5"/>
    <w:rsid w:val="004C3200"/>
    <w:rsid w:val="004C36DD"/>
    <w:rsid w:val="004C38D5"/>
    <w:rsid w:val="004C3A28"/>
    <w:rsid w:val="004C4B35"/>
    <w:rsid w:val="004C4D9D"/>
    <w:rsid w:val="004C4DEB"/>
    <w:rsid w:val="004C4E92"/>
    <w:rsid w:val="004C5D30"/>
    <w:rsid w:val="004C5DD8"/>
    <w:rsid w:val="004C6086"/>
    <w:rsid w:val="004C62ED"/>
    <w:rsid w:val="004C6481"/>
    <w:rsid w:val="004C69DC"/>
    <w:rsid w:val="004C6B35"/>
    <w:rsid w:val="004C6B38"/>
    <w:rsid w:val="004C6B70"/>
    <w:rsid w:val="004C7318"/>
    <w:rsid w:val="004C7541"/>
    <w:rsid w:val="004C77D0"/>
    <w:rsid w:val="004D01AD"/>
    <w:rsid w:val="004D0BC6"/>
    <w:rsid w:val="004D1BC0"/>
    <w:rsid w:val="004D1FF0"/>
    <w:rsid w:val="004D23B4"/>
    <w:rsid w:val="004D2595"/>
    <w:rsid w:val="004D25A4"/>
    <w:rsid w:val="004D26C1"/>
    <w:rsid w:val="004D276D"/>
    <w:rsid w:val="004D28EA"/>
    <w:rsid w:val="004D2C1F"/>
    <w:rsid w:val="004D3897"/>
    <w:rsid w:val="004D3B0C"/>
    <w:rsid w:val="004D3C88"/>
    <w:rsid w:val="004D430F"/>
    <w:rsid w:val="004D4E4B"/>
    <w:rsid w:val="004D6A84"/>
    <w:rsid w:val="004D6BE6"/>
    <w:rsid w:val="004D6DD6"/>
    <w:rsid w:val="004D75B2"/>
    <w:rsid w:val="004D7833"/>
    <w:rsid w:val="004D79A8"/>
    <w:rsid w:val="004E03E4"/>
    <w:rsid w:val="004E09EC"/>
    <w:rsid w:val="004E0CC5"/>
    <w:rsid w:val="004E0CE1"/>
    <w:rsid w:val="004E117D"/>
    <w:rsid w:val="004E1B4D"/>
    <w:rsid w:val="004E2091"/>
    <w:rsid w:val="004E27A5"/>
    <w:rsid w:val="004E2F84"/>
    <w:rsid w:val="004E334A"/>
    <w:rsid w:val="004E34FF"/>
    <w:rsid w:val="004E38EE"/>
    <w:rsid w:val="004E3A4C"/>
    <w:rsid w:val="004E3C1A"/>
    <w:rsid w:val="004E3DB6"/>
    <w:rsid w:val="004E4145"/>
    <w:rsid w:val="004E48F9"/>
    <w:rsid w:val="004E4E6B"/>
    <w:rsid w:val="004E55CD"/>
    <w:rsid w:val="004E5DD9"/>
    <w:rsid w:val="004E5EAB"/>
    <w:rsid w:val="004E60C1"/>
    <w:rsid w:val="004E658F"/>
    <w:rsid w:val="004E67A2"/>
    <w:rsid w:val="004E6A4B"/>
    <w:rsid w:val="004E6C37"/>
    <w:rsid w:val="004E71CA"/>
    <w:rsid w:val="004E7268"/>
    <w:rsid w:val="004E7362"/>
    <w:rsid w:val="004F0104"/>
    <w:rsid w:val="004F0405"/>
    <w:rsid w:val="004F06A1"/>
    <w:rsid w:val="004F0791"/>
    <w:rsid w:val="004F0BAD"/>
    <w:rsid w:val="004F1075"/>
    <w:rsid w:val="004F1F8C"/>
    <w:rsid w:val="004F2344"/>
    <w:rsid w:val="004F2B25"/>
    <w:rsid w:val="004F2EA7"/>
    <w:rsid w:val="004F392B"/>
    <w:rsid w:val="004F48B9"/>
    <w:rsid w:val="004F5794"/>
    <w:rsid w:val="004F5A4D"/>
    <w:rsid w:val="004F6059"/>
    <w:rsid w:val="004F6AD8"/>
    <w:rsid w:val="004F6B9F"/>
    <w:rsid w:val="004F7476"/>
    <w:rsid w:val="004F7B34"/>
    <w:rsid w:val="004F7D5C"/>
    <w:rsid w:val="005001A0"/>
    <w:rsid w:val="005003F4"/>
    <w:rsid w:val="00500E77"/>
    <w:rsid w:val="00500FC6"/>
    <w:rsid w:val="00501563"/>
    <w:rsid w:val="00501B5A"/>
    <w:rsid w:val="00501B9B"/>
    <w:rsid w:val="00501E0F"/>
    <w:rsid w:val="00502533"/>
    <w:rsid w:val="005027FA"/>
    <w:rsid w:val="00503057"/>
    <w:rsid w:val="0050380B"/>
    <w:rsid w:val="00503926"/>
    <w:rsid w:val="0050432D"/>
    <w:rsid w:val="00504641"/>
    <w:rsid w:val="0050497D"/>
    <w:rsid w:val="00504A68"/>
    <w:rsid w:val="005051DA"/>
    <w:rsid w:val="00505B04"/>
    <w:rsid w:val="00505BBB"/>
    <w:rsid w:val="005061AA"/>
    <w:rsid w:val="005069B7"/>
    <w:rsid w:val="00506B54"/>
    <w:rsid w:val="00506E7A"/>
    <w:rsid w:val="00506E92"/>
    <w:rsid w:val="00506F5D"/>
    <w:rsid w:val="00507215"/>
    <w:rsid w:val="005076FC"/>
    <w:rsid w:val="0050779F"/>
    <w:rsid w:val="00507AAF"/>
    <w:rsid w:val="00507F2B"/>
    <w:rsid w:val="005103F5"/>
    <w:rsid w:val="005105A2"/>
    <w:rsid w:val="005105B3"/>
    <w:rsid w:val="00510B0E"/>
    <w:rsid w:val="00511FA7"/>
    <w:rsid w:val="005124E8"/>
    <w:rsid w:val="0051275E"/>
    <w:rsid w:val="00512EBC"/>
    <w:rsid w:val="00513631"/>
    <w:rsid w:val="00513C92"/>
    <w:rsid w:val="00513FFE"/>
    <w:rsid w:val="0051410C"/>
    <w:rsid w:val="00514905"/>
    <w:rsid w:val="00514DDA"/>
    <w:rsid w:val="005157FF"/>
    <w:rsid w:val="00515A40"/>
    <w:rsid w:val="005160C8"/>
    <w:rsid w:val="005164EB"/>
    <w:rsid w:val="00516FE4"/>
    <w:rsid w:val="0051736C"/>
    <w:rsid w:val="0051768A"/>
    <w:rsid w:val="00517FFD"/>
    <w:rsid w:val="00520383"/>
    <w:rsid w:val="005205BA"/>
    <w:rsid w:val="0052067C"/>
    <w:rsid w:val="00520ED0"/>
    <w:rsid w:val="005211DB"/>
    <w:rsid w:val="00521244"/>
    <w:rsid w:val="0052149C"/>
    <w:rsid w:val="0052256F"/>
    <w:rsid w:val="00522A92"/>
    <w:rsid w:val="00522AB2"/>
    <w:rsid w:val="00522D1C"/>
    <w:rsid w:val="0052300D"/>
    <w:rsid w:val="0052304C"/>
    <w:rsid w:val="005233AD"/>
    <w:rsid w:val="005233F8"/>
    <w:rsid w:val="0052379A"/>
    <w:rsid w:val="00523BF6"/>
    <w:rsid w:val="0052450F"/>
    <w:rsid w:val="005247B5"/>
    <w:rsid w:val="0052489C"/>
    <w:rsid w:val="00524B0F"/>
    <w:rsid w:val="00524F27"/>
    <w:rsid w:val="00525282"/>
    <w:rsid w:val="0052545B"/>
    <w:rsid w:val="0052592B"/>
    <w:rsid w:val="00525B27"/>
    <w:rsid w:val="00525E55"/>
    <w:rsid w:val="00527781"/>
    <w:rsid w:val="00527B07"/>
    <w:rsid w:val="00527E59"/>
    <w:rsid w:val="005303CC"/>
    <w:rsid w:val="00530E89"/>
    <w:rsid w:val="005312A6"/>
    <w:rsid w:val="005314B8"/>
    <w:rsid w:val="00531559"/>
    <w:rsid w:val="00531BA3"/>
    <w:rsid w:val="00532313"/>
    <w:rsid w:val="00532CA9"/>
    <w:rsid w:val="00533094"/>
    <w:rsid w:val="00533441"/>
    <w:rsid w:val="00533848"/>
    <w:rsid w:val="00533E0A"/>
    <w:rsid w:val="00533E92"/>
    <w:rsid w:val="00533F4B"/>
    <w:rsid w:val="00533FEE"/>
    <w:rsid w:val="005343BB"/>
    <w:rsid w:val="005349FC"/>
    <w:rsid w:val="00534BB6"/>
    <w:rsid w:val="00534C92"/>
    <w:rsid w:val="00534FA1"/>
    <w:rsid w:val="00535336"/>
    <w:rsid w:val="00535FA8"/>
    <w:rsid w:val="005363C1"/>
    <w:rsid w:val="0053675C"/>
    <w:rsid w:val="00536DB6"/>
    <w:rsid w:val="00536ECB"/>
    <w:rsid w:val="00537052"/>
    <w:rsid w:val="005373A0"/>
    <w:rsid w:val="005379F7"/>
    <w:rsid w:val="00537F0A"/>
    <w:rsid w:val="005406D3"/>
    <w:rsid w:val="00540AD4"/>
    <w:rsid w:val="005413D1"/>
    <w:rsid w:val="0054147D"/>
    <w:rsid w:val="00541617"/>
    <w:rsid w:val="0054209C"/>
    <w:rsid w:val="0054212D"/>
    <w:rsid w:val="005421A9"/>
    <w:rsid w:val="005426E6"/>
    <w:rsid w:val="00542E75"/>
    <w:rsid w:val="005430C4"/>
    <w:rsid w:val="005432F8"/>
    <w:rsid w:val="00543AEC"/>
    <w:rsid w:val="00543D0F"/>
    <w:rsid w:val="005440B6"/>
    <w:rsid w:val="00544371"/>
    <w:rsid w:val="00544385"/>
    <w:rsid w:val="005446A6"/>
    <w:rsid w:val="00544F0C"/>
    <w:rsid w:val="0054550D"/>
    <w:rsid w:val="005460AF"/>
    <w:rsid w:val="0054636D"/>
    <w:rsid w:val="005468A9"/>
    <w:rsid w:val="005469CB"/>
    <w:rsid w:val="005469F8"/>
    <w:rsid w:val="00546C4C"/>
    <w:rsid w:val="00546E94"/>
    <w:rsid w:val="005470D3"/>
    <w:rsid w:val="0054788E"/>
    <w:rsid w:val="005502F9"/>
    <w:rsid w:val="00550D6A"/>
    <w:rsid w:val="00551684"/>
    <w:rsid w:val="00551ADC"/>
    <w:rsid w:val="00551DDB"/>
    <w:rsid w:val="00552B67"/>
    <w:rsid w:val="00553B34"/>
    <w:rsid w:val="005552B1"/>
    <w:rsid w:val="005552E3"/>
    <w:rsid w:val="005553FB"/>
    <w:rsid w:val="00555C5E"/>
    <w:rsid w:val="0055634F"/>
    <w:rsid w:val="00556400"/>
    <w:rsid w:val="00556598"/>
    <w:rsid w:val="00556734"/>
    <w:rsid w:val="005572CC"/>
    <w:rsid w:val="0055737C"/>
    <w:rsid w:val="0055746C"/>
    <w:rsid w:val="00557F75"/>
    <w:rsid w:val="00557FFA"/>
    <w:rsid w:val="0056011C"/>
    <w:rsid w:val="00560350"/>
    <w:rsid w:val="00561302"/>
    <w:rsid w:val="00561608"/>
    <w:rsid w:val="00561DAA"/>
    <w:rsid w:val="0056203C"/>
    <w:rsid w:val="00562527"/>
    <w:rsid w:val="00562F8A"/>
    <w:rsid w:val="0056338B"/>
    <w:rsid w:val="00564215"/>
    <w:rsid w:val="0056426B"/>
    <w:rsid w:val="005648CB"/>
    <w:rsid w:val="0056503F"/>
    <w:rsid w:val="005652D5"/>
    <w:rsid w:val="005656FC"/>
    <w:rsid w:val="00565B89"/>
    <w:rsid w:val="00566281"/>
    <w:rsid w:val="005662EB"/>
    <w:rsid w:val="00566541"/>
    <w:rsid w:val="0056660A"/>
    <w:rsid w:val="00567215"/>
    <w:rsid w:val="005678B4"/>
    <w:rsid w:val="005707B5"/>
    <w:rsid w:val="005708C4"/>
    <w:rsid w:val="00570A68"/>
    <w:rsid w:val="00571AEE"/>
    <w:rsid w:val="00571C71"/>
    <w:rsid w:val="00572468"/>
    <w:rsid w:val="00572570"/>
    <w:rsid w:val="005727C5"/>
    <w:rsid w:val="005729A5"/>
    <w:rsid w:val="00572AAD"/>
    <w:rsid w:val="00572B0E"/>
    <w:rsid w:val="00572B25"/>
    <w:rsid w:val="0057323A"/>
    <w:rsid w:val="0057370A"/>
    <w:rsid w:val="00573807"/>
    <w:rsid w:val="005739A0"/>
    <w:rsid w:val="00573B0F"/>
    <w:rsid w:val="00573F07"/>
    <w:rsid w:val="005744FF"/>
    <w:rsid w:val="0057460F"/>
    <w:rsid w:val="00574949"/>
    <w:rsid w:val="00574D4F"/>
    <w:rsid w:val="00574E3B"/>
    <w:rsid w:val="00575EAD"/>
    <w:rsid w:val="0057638A"/>
    <w:rsid w:val="00576516"/>
    <w:rsid w:val="005766C3"/>
    <w:rsid w:val="00576798"/>
    <w:rsid w:val="00576D44"/>
    <w:rsid w:val="00576FDB"/>
    <w:rsid w:val="005770B4"/>
    <w:rsid w:val="005778D4"/>
    <w:rsid w:val="005801F3"/>
    <w:rsid w:val="0058065A"/>
    <w:rsid w:val="00580DA0"/>
    <w:rsid w:val="005816A3"/>
    <w:rsid w:val="00582170"/>
    <w:rsid w:val="005821E3"/>
    <w:rsid w:val="00582379"/>
    <w:rsid w:val="0058273B"/>
    <w:rsid w:val="005829DD"/>
    <w:rsid w:val="00582E00"/>
    <w:rsid w:val="00584085"/>
    <w:rsid w:val="00584261"/>
    <w:rsid w:val="00584B51"/>
    <w:rsid w:val="00584CA9"/>
    <w:rsid w:val="00585064"/>
    <w:rsid w:val="00585DE7"/>
    <w:rsid w:val="00585F88"/>
    <w:rsid w:val="005861E5"/>
    <w:rsid w:val="0058632D"/>
    <w:rsid w:val="005865F4"/>
    <w:rsid w:val="00586855"/>
    <w:rsid w:val="00586BB2"/>
    <w:rsid w:val="00587246"/>
    <w:rsid w:val="00587C37"/>
    <w:rsid w:val="005904EE"/>
    <w:rsid w:val="0059147A"/>
    <w:rsid w:val="005916A1"/>
    <w:rsid w:val="00592134"/>
    <w:rsid w:val="00592136"/>
    <w:rsid w:val="005928D5"/>
    <w:rsid w:val="00592A7D"/>
    <w:rsid w:val="00592F00"/>
    <w:rsid w:val="00593A3A"/>
    <w:rsid w:val="00593FA0"/>
    <w:rsid w:val="0059416E"/>
    <w:rsid w:val="005941CB"/>
    <w:rsid w:val="005941CF"/>
    <w:rsid w:val="00594337"/>
    <w:rsid w:val="005945C1"/>
    <w:rsid w:val="0059461D"/>
    <w:rsid w:val="005948BA"/>
    <w:rsid w:val="005955E0"/>
    <w:rsid w:val="0059609A"/>
    <w:rsid w:val="0059630D"/>
    <w:rsid w:val="005968D5"/>
    <w:rsid w:val="0059707B"/>
    <w:rsid w:val="00597E73"/>
    <w:rsid w:val="00597F53"/>
    <w:rsid w:val="005A0178"/>
    <w:rsid w:val="005A05C3"/>
    <w:rsid w:val="005A0ACE"/>
    <w:rsid w:val="005A0ED5"/>
    <w:rsid w:val="005A102B"/>
    <w:rsid w:val="005A1765"/>
    <w:rsid w:val="005A1CD6"/>
    <w:rsid w:val="005A1EFB"/>
    <w:rsid w:val="005A24C9"/>
    <w:rsid w:val="005A2718"/>
    <w:rsid w:val="005A28E1"/>
    <w:rsid w:val="005A2A04"/>
    <w:rsid w:val="005A3562"/>
    <w:rsid w:val="005A39FF"/>
    <w:rsid w:val="005A3B86"/>
    <w:rsid w:val="005A3BD1"/>
    <w:rsid w:val="005A43A6"/>
    <w:rsid w:val="005A49F3"/>
    <w:rsid w:val="005A4D86"/>
    <w:rsid w:val="005A4F66"/>
    <w:rsid w:val="005A5213"/>
    <w:rsid w:val="005A5467"/>
    <w:rsid w:val="005A5C85"/>
    <w:rsid w:val="005A5E4A"/>
    <w:rsid w:val="005A64E7"/>
    <w:rsid w:val="005A66DC"/>
    <w:rsid w:val="005A683A"/>
    <w:rsid w:val="005A6E39"/>
    <w:rsid w:val="005A7029"/>
    <w:rsid w:val="005A7272"/>
    <w:rsid w:val="005A7B42"/>
    <w:rsid w:val="005A7B72"/>
    <w:rsid w:val="005B012C"/>
    <w:rsid w:val="005B0730"/>
    <w:rsid w:val="005B1654"/>
    <w:rsid w:val="005B18C2"/>
    <w:rsid w:val="005B1E54"/>
    <w:rsid w:val="005B211E"/>
    <w:rsid w:val="005B23E4"/>
    <w:rsid w:val="005B287E"/>
    <w:rsid w:val="005B29A8"/>
    <w:rsid w:val="005B30B3"/>
    <w:rsid w:val="005B3334"/>
    <w:rsid w:val="005B4433"/>
    <w:rsid w:val="005B446F"/>
    <w:rsid w:val="005B452F"/>
    <w:rsid w:val="005B5638"/>
    <w:rsid w:val="005B5790"/>
    <w:rsid w:val="005B5C6C"/>
    <w:rsid w:val="005B6C14"/>
    <w:rsid w:val="005B75D5"/>
    <w:rsid w:val="005B7C1E"/>
    <w:rsid w:val="005B7C89"/>
    <w:rsid w:val="005C02E8"/>
    <w:rsid w:val="005C038C"/>
    <w:rsid w:val="005C0499"/>
    <w:rsid w:val="005C0ABE"/>
    <w:rsid w:val="005C0B11"/>
    <w:rsid w:val="005C0E2C"/>
    <w:rsid w:val="005C0F44"/>
    <w:rsid w:val="005C1389"/>
    <w:rsid w:val="005C161A"/>
    <w:rsid w:val="005C1772"/>
    <w:rsid w:val="005C19C9"/>
    <w:rsid w:val="005C1B92"/>
    <w:rsid w:val="005C1C25"/>
    <w:rsid w:val="005C1FA3"/>
    <w:rsid w:val="005C218B"/>
    <w:rsid w:val="005C22AF"/>
    <w:rsid w:val="005C265D"/>
    <w:rsid w:val="005C2A7F"/>
    <w:rsid w:val="005C3163"/>
    <w:rsid w:val="005C3491"/>
    <w:rsid w:val="005C3786"/>
    <w:rsid w:val="005C48B8"/>
    <w:rsid w:val="005C4B4D"/>
    <w:rsid w:val="005C50A8"/>
    <w:rsid w:val="005C58FF"/>
    <w:rsid w:val="005C5B71"/>
    <w:rsid w:val="005C685A"/>
    <w:rsid w:val="005C68CB"/>
    <w:rsid w:val="005C6999"/>
    <w:rsid w:val="005C6D23"/>
    <w:rsid w:val="005C701E"/>
    <w:rsid w:val="005C76E0"/>
    <w:rsid w:val="005C7956"/>
    <w:rsid w:val="005D0B49"/>
    <w:rsid w:val="005D0CD3"/>
    <w:rsid w:val="005D142A"/>
    <w:rsid w:val="005D1B18"/>
    <w:rsid w:val="005D20FA"/>
    <w:rsid w:val="005D24AF"/>
    <w:rsid w:val="005D26B5"/>
    <w:rsid w:val="005D3579"/>
    <w:rsid w:val="005D3EC4"/>
    <w:rsid w:val="005D40A8"/>
    <w:rsid w:val="005D426A"/>
    <w:rsid w:val="005D4398"/>
    <w:rsid w:val="005D4501"/>
    <w:rsid w:val="005D4523"/>
    <w:rsid w:val="005D4FF6"/>
    <w:rsid w:val="005D5054"/>
    <w:rsid w:val="005D6813"/>
    <w:rsid w:val="005D6BBE"/>
    <w:rsid w:val="005D7069"/>
    <w:rsid w:val="005D7A3C"/>
    <w:rsid w:val="005E00B0"/>
    <w:rsid w:val="005E01A6"/>
    <w:rsid w:val="005E0541"/>
    <w:rsid w:val="005E0E5B"/>
    <w:rsid w:val="005E17F0"/>
    <w:rsid w:val="005E1AA9"/>
    <w:rsid w:val="005E1C9C"/>
    <w:rsid w:val="005E27E9"/>
    <w:rsid w:val="005E2B05"/>
    <w:rsid w:val="005E3569"/>
    <w:rsid w:val="005E3BD4"/>
    <w:rsid w:val="005E476D"/>
    <w:rsid w:val="005E4EC9"/>
    <w:rsid w:val="005E5941"/>
    <w:rsid w:val="005E59FD"/>
    <w:rsid w:val="005E61E9"/>
    <w:rsid w:val="005E6A2A"/>
    <w:rsid w:val="005E6B0A"/>
    <w:rsid w:val="005E7135"/>
    <w:rsid w:val="005E729B"/>
    <w:rsid w:val="005E7F20"/>
    <w:rsid w:val="005F063B"/>
    <w:rsid w:val="005F0683"/>
    <w:rsid w:val="005F07B9"/>
    <w:rsid w:val="005F0862"/>
    <w:rsid w:val="005F1773"/>
    <w:rsid w:val="005F19AB"/>
    <w:rsid w:val="005F1AB2"/>
    <w:rsid w:val="005F2483"/>
    <w:rsid w:val="005F26DF"/>
    <w:rsid w:val="005F278D"/>
    <w:rsid w:val="005F28D2"/>
    <w:rsid w:val="005F2BB7"/>
    <w:rsid w:val="005F2E57"/>
    <w:rsid w:val="005F3415"/>
    <w:rsid w:val="005F375C"/>
    <w:rsid w:val="005F3A9C"/>
    <w:rsid w:val="005F3C70"/>
    <w:rsid w:val="005F41AC"/>
    <w:rsid w:val="005F486B"/>
    <w:rsid w:val="005F4B46"/>
    <w:rsid w:val="005F501F"/>
    <w:rsid w:val="005F5C84"/>
    <w:rsid w:val="005F5D42"/>
    <w:rsid w:val="005F62D1"/>
    <w:rsid w:val="005F6476"/>
    <w:rsid w:val="005F7436"/>
    <w:rsid w:val="005F753E"/>
    <w:rsid w:val="005F756B"/>
    <w:rsid w:val="005F7C3D"/>
    <w:rsid w:val="005F7EDF"/>
    <w:rsid w:val="00600847"/>
    <w:rsid w:val="00600A06"/>
    <w:rsid w:val="00600B0C"/>
    <w:rsid w:val="00600BD3"/>
    <w:rsid w:val="00600D3F"/>
    <w:rsid w:val="00600FB1"/>
    <w:rsid w:val="0060164D"/>
    <w:rsid w:val="006017CF"/>
    <w:rsid w:val="00601D0A"/>
    <w:rsid w:val="006021F5"/>
    <w:rsid w:val="006022CB"/>
    <w:rsid w:val="0060277D"/>
    <w:rsid w:val="00602830"/>
    <w:rsid w:val="006029C8"/>
    <w:rsid w:val="00602C7B"/>
    <w:rsid w:val="00602D3B"/>
    <w:rsid w:val="00602FF8"/>
    <w:rsid w:val="006039D5"/>
    <w:rsid w:val="0060442F"/>
    <w:rsid w:val="00604574"/>
    <w:rsid w:val="00604627"/>
    <w:rsid w:val="00604A0A"/>
    <w:rsid w:val="00605C17"/>
    <w:rsid w:val="00605D9A"/>
    <w:rsid w:val="00606DEE"/>
    <w:rsid w:val="00606E32"/>
    <w:rsid w:val="00607AD8"/>
    <w:rsid w:val="00607B73"/>
    <w:rsid w:val="006102DA"/>
    <w:rsid w:val="00610C2C"/>
    <w:rsid w:val="00610E42"/>
    <w:rsid w:val="006110D7"/>
    <w:rsid w:val="006113D9"/>
    <w:rsid w:val="006115A9"/>
    <w:rsid w:val="006118C0"/>
    <w:rsid w:val="00611A9B"/>
    <w:rsid w:val="00611B19"/>
    <w:rsid w:val="006123B3"/>
    <w:rsid w:val="0061291D"/>
    <w:rsid w:val="0061293A"/>
    <w:rsid w:val="00612AB7"/>
    <w:rsid w:val="00612EED"/>
    <w:rsid w:val="00612F9E"/>
    <w:rsid w:val="006132CF"/>
    <w:rsid w:val="006134AC"/>
    <w:rsid w:val="00613652"/>
    <w:rsid w:val="00614DA0"/>
    <w:rsid w:val="00615D90"/>
    <w:rsid w:val="00615E8E"/>
    <w:rsid w:val="00616421"/>
    <w:rsid w:val="00616A7C"/>
    <w:rsid w:val="00616B81"/>
    <w:rsid w:val="00617386"/>
    <w:rsid w:val="0061781F"/>
    <w:rsid w:val="00617BA8"/>
    <w:rsid w:val="00617C4C"/>
    <w:rsid w:val="00617D4C"/>
    <w:rsid w:val="00617D9F"/>
    <w:rsid w:val="00617E4C"/>
    <w:rsid w:val="00617E53"/>
    <w:rsid w:val="006201C3"/>
    <w:rsid w:val="00620407"/>
    <w:rsid w:val="006205B4"/>
    <w:rsid w:val="00620910"/>
    <w:rsid w:val="00620923"/>
    <w:rsid w:val="00620B88"/>
    <w:rsid w:val="00621122"/>
    <w:rsid w:val="00621145"/>
    <w:rsid w:val="00621D79"/>
    <w:rsid w:val="00621F37"/>
    <w:rsid w:val="006221D7"/>
    <w:rsid w:val="0062226A"/>
    <w:rsid w:val="006228AD"/>
    <w:rsid w:val="00622B5F"/>
    <w:rsid w:val="00623194"/>
    <w:rsid w:val="00623F52"/>
    <w:rsid w:val="00623FA8"/>
    <w:rsid w:val="0062416D"/>
    <w:rsid w:val="00624946"/>
    <w:rsid w:val="00624CA8"/>
    <w:rsid w:val="006258DC"/>
    <w:rsid w:val="00625DA0"/>
    <w:rsid w:val="006265CC"/>
    <w:rsid w:val="006267CD"/>
    <w:rsid w:val="006269B0"/>
    <w:rsid w:val="0062723E"/>
    <w:rsid w:val="00627544"/>
    <w:rsid w:val="00627E76"/>
    <w:rsid w:val="00627EE0"/>
    <w:rsid w:val="00627FFE"/>
    <w:rsid w:val="00630272"/>
    <w:rsid w:val="00630637"/>
    <w:rsid w:val="00630A56"/>
    <w:rsid w:val="00631AA9"/>
    <w:rsid w:val="00632109"/>
    <w:rsid w:val="00632223"/>
    <w:rsid w:val="006329B9"/>
    <w:rsid w:val="00632B6F"/>
    <w:rsid w:val="00632FE2"/>
    <w:rsid w:val="006339AA"/>
    <w:rsid w:val="00634C0E"/>
    <w:rsid w:val="00634E0C"/>
    <w:rsid w:val="00634E70"/>
    <w:rsid w:val="00635AC9"/>
    <w:rsid w:val="00635B6F"/>
    <w:rsid w:val="00635B84"/>
    <w:rsid w:val="0063611B"/>
    <w:rsid w:val="00636175"/>
    <w:rsid w:val="006363D0"/>
    <w:rsid w:val="00636792"/>
    <w:rsid w:val="0063713A"/>
    <w:rsid w:val="006373BD"/>
    <w:rsid w:val="006375C4"/>
    <w:rsid w:val="006378EC"/>
    <w:rsid w:val="0064052B"/>
    <w:rsid w:val="0064177B"/>
    <w:rsid w:val="0064181A"/>
    <w:rsid w:val="00641A6B"/>
    <w:rsid w:val="00641E95"/>
    <w:rsid w:val="0064229C"/>
    <w:rsid w:val="00642AD6"/>
    <w:rsid w:val="00642C0D"/>
    <w:rsid w:val="006433BB"/>
    <w:rsid w:val="006433DB"/>
    <w:rsid w:val="0064343B"/>
    <w:rsid w:val="00643B47"/>
    <w:rsid w:val="006443B5"/>
    <w:rsid w:val="00644938"/>
    <w:rsid w:val="00644A3A"/>
    <w:rsid w:val="00645443"/>
    <w:rsid w:val="00645465"/>
    <w:rsid w:val="006459A5"/>
    <w:rsid w:val="00645BCD"/>
    <w:rsid w:val="00646101"/>
    <w:rsid w:val="0064618C"/>
    <w:rsid w:val="00647957"/>
    <w:rsid w:val="00647F4E"/>
    <w:rsid w:val="006500C1"/>
    <w:rsid w:val="00650162"/>
    <w:rsid w:val="006501A7"/>
    <w:rsid w:val="006507AC"/>
    <w:rsid w:val="006509D7"/>
    <w:rsid w:val="006510DF"/>
    <w:rsid w:val="0065122C"/>
    <w:rsid w:val="006518F6"/>
    <w:rsid w:val="00652267"/>
    <w:rsid w:val="00652417"/>
    <w:rsid w:val="006526A6"/>
    <w:rsid w:val="0065273F"/>
    <w:rsid w:val="00652799"/>
    <w:rsid w:val="0065286A"/>
    <w:rsid w:val="00652B37"/>
    <w:rsid w:val="006531C6"/>
    <w:rsid w:val="00653A39"/>
    <w:rsid w:val="00653F27"/>
    <w:rsid w:val="00654188"/>
    <w:rsid w:val="0065420C"/>
    <w:rsid w:val="00654281"/>
    <w:rsid w:val="0065436B"/>
    <w:rsid w:val="0065476A"/>
    <w:rsid w:val="00654BBA"/>
    <w:rsid w:val="00654F06"/>
    <w:rsid w:val="00655018"/>
    <w:rsid w:val="00655206"/>
    <w:rsid w:val="00655924"/>
    <w:rsid w:val="00655C96"/>
    <w:rsid w:val="00655DF8"/>
    <w:rsid w:val="00655E7F"/>
    <w:rsid w:val="006561C3"/>
    <w:rsid w:val="00656285"/>
    <w:rsid w:val="00656C12"/>
    <w:rsid w:val="00657379"/>
    <w:rsid w:val="00657450"/>
    <w:rsid w:val="00657A49"/>
    <w:rsid w:val="00657C99"/>
    <w:rsid w:val="00657D3F"/>
    <w:rsid w:val="006600E1"/>
    <w:rsid w:val="006604BF"/>
    <w:rsid w:val="00660648"/>
    <w:rsid w:val="006617DE"/>
    <w:rsid w:val="00661D17"/>
    <w:rsid w:val="00661F69"/>
    <w:rsid w:val="00662188"/>
    <w:rsid w:val="0066276E"/>
    <w:rsid w:val="00662CC6"/>
    <w:rsid w:val="00662DBF"/>
    <w:rsid w:val="00664446"/>
    <w:rsid w:val="0066513A"/>
    <w:rsid w:val="0066530C"/>
    <w:rsid w:val="0066658E"/>
    <w:rsid w:val="006669E9"/>
    <w:rsid w:val="00666A6B"/>
    <w:rsid w:val="00666AF4"/>
    <w:rsid w:val="0067038E"/>
    <w:rsid w:val="006704E5"/>
    <w:rsid w:val="006706FF"/>
    <w:rsid w:val="006713EF"/>
    <w:rsid w:val="00671ED6"/>
    <w:rsid w:val="00671FF2"/>
    <w:rsid w:val="00672069"/>
    <w:rsid w:val="006726CE"/>
    <w:rsid w:val="006726E9"/>
    <w:rsid w:val="006732B4"/>
    <w:rsid w:val="006737AD"/>
    <w:rsid w:val="00673B92"/>
    <w:rsid w:val="0067423D"/>
    <w:rsid w:val="0067435A"/>
    <w:rsid w:val="0067435E"/>
    <w:rsid w:val="006747BC"/>
    <w:rsid w:val="00674800"/>
    <w:rsid w:val="0067527B"/>
    <w:rsid w:val="006758B8"/>
    <w:rsid w:val="00675E32"/>
    <w:rsid w:val="00676491"/>
    <w:rsid w:val="00676A0E"/>
    <w:rsid w:val="00676F05"/>
    <w:rsid w:val="00677764"/>
    <w:rsid w:val="00677D30"/>
    <w:rsid w:val="006801E8"/>
    <w:rsid w:val="006802EC"/>
    <w:rsid w:val="00681411"/>
    <w:rsid w:val="00681527"/>
    <w:rsid w:val="00681876"/>
    <w:rsid w:val="00681D19"/>
    <w:rsid w:val="00681D4D"/>
    <w:rsid w:val="006822F0"/>
    <w:rsid w:val="00682358"/>
    <w:rsid w:val="00682446"/>
    <w:rsid w:val="0068272A"/>
    <w:rsid w:val="006832A6"/>
    <w:rsid w:val="00683930"/>
    <w:rsid w:val="006839CC"/>
    <w:rsid w:val="00683C22"/>
    <w:rsid w:val="00683F30"/>
    <w:rsid w:val="006852E8"/>
    <w:rsid w:val="0068587B"/>
    <w:rsid w:val="00686329"/>
    <w:rsid w:val="00686C5A"/>
    <w:rsid w:val="00686C85"/>
    <w:rsid w:val="006876E9"/>
    <w:rsid w:val="00687DD1"/>
    <w:rsid w:val="00690195"/>
    <w:rsid w:val="00690802"/>
    <w:rsid w:val="00691559"/>
    <w:rsid w:val="006916EA"/>
    <w:rsid w:val="00691717"/>
    <w:rsid w:val="00691AE3"/>
    <w:rsid w:val="00692AAF"/>
    <w:rsid w:val="00692C2D"/>
    <w:rsid w:val="00693579"/>
    <w:rsid w:val="00693D79"/>
    <w:rsid w:val="00693F08"/>
    <w:rsid w:val="0069429B"/>
    <w:rsid w:val="00694AA9"/>
    <w:rsid w:val="006950DA"/>
    <w:rsid w:val="006950EA"/>
    <w:rsid w:val="006959BE"/>
    <w:rsid w:val="00695A64"/>
    <w:rsid w:val="00695B51"/>
    <w:rsid w:val="006960A9"/>
    <w:rsid w:val="00696407"/>
    <w:rsid w:val="00696585"/>
    <w:rsid w:val="0069663F"/>
    <w:rsid w:val="00697010"/>
    <w:rsid w:val="006970FF"/>
    <w:rsid w:val="006972EB"/>
    <w:rsid w:val="00697511"/>
    <w:rsid w:val="0069771B"/>
    <w:rsid w:val="006977F8"/>
    <w:rsid w:val="00697AB3"/>
    <w:rsid w:val="00697BA1"/>
    <w:rsid w:val="00697CB5"/>
    <w:rsid w:val="006A037B"/>
    <w:rsid w:val="006A0AA4"/>
    <w:rsid w:val="006A11FF"/>
    <w:rsid w:val="006A264D"/>
    <w:rsid w:val="006A269C"/>
    <w:rsid w:val="006A2BBC"/>
    <w:rsid w:val="006A320A"/>
    <w:rsid w:val="006A394D"/>
    <w:rsid w:val="006A39FE"/>
    <w:rsid w:val="006A41A2"/>
    <w:rsid w:val="006A43E1"/>
    <w:rsid w:val="006A4758"/>
    <w:rsid w:val="006A49D0"/>
    <w:rsid w:val="006A49E9"/>
    <w:rsid w:val="006A4EEE"/>
    <w:rsid w:val="006A51AA"/>
    <w:rsid w:val="006A537A"/>
    <w:rsid w:val="006A54C7"/>
    <w:rsid w:val="006A5905"/>
    <w:rsid w:val="006A6966"/>
    <w:rsid w:val="006A6C3B"/>
    <w:rsid w:val="006A6E26"/>
    <w:rsid w:val="006A71E3"/>
    <w:rsid w:val="006A73DE"/>
    <w:rsid w:val="006A760A"/>
    <w:rsid w:val="006A7A29"/>
    <w:rsid w:val="006A7D04"/>
    <w:rsid w:val="006B0310"/>
    <w:rsid w:val="006B0A04"/>
    <w:rsid w:val="006B0B99"/>
    <w:rsid w:val="006B0CEE"/>
    <w:rsid w:val="006B162B"/>
    <w:rsid w:val="006B1839"/>
    <w:rsid w:val="006B18ED"/>
    <w:rsid w:val="006B223F"/>
    <w:rsid w:val="006B251B"/>
    <w:rsid w:val="006B2AD5"/>
    <w:rsid w:val="006B2E17"/>
    <w:rsid w:val="006B33EE"/>
    <w:rsid w:val="006B344E"/>
    <w:rsid w:val="006B390D"/>
    <w:rsid w:val="006B3924"/>
    <w:rsid w:val="006B419D"/>
    <w:rsid w:val="006B45EE"/>
    <w:rsid w:val="006B5554"/>
    <w:rsid w:val="006B5B04"/>
    <w:rsid w:val="006B5D84"/>
    <w:rsid w:val="006B5E3F"/>
    <w:rsid w:val="006B6339"/>
    <w:rsid w:val="006B6B94"/>
    <w:rsid w:val="006B72BA"/>
    <w:rsid w:val="006B76E6"/>
    <w:rsid w:val="006C0577"/>
    <w:rsid w:val="006C149D"/>
    <w:rsid w:val="006C1CD2"/>
    <w:rsid w:val="006C21AE"/>
    <w:rsid w:val="006C24D9"/>
    <w:rsid w:val="006C28D9"/>
    <w:rsid w:val="006C2C01"/>
    <w:rsid w:val="006C305F"/>
    <w:rsid w:val="006C374A"/>
    <w:rsid w:val="006C3BE9"/>
    <w:rsid w:val="006C40B7"/>
    <w:rsid w:val="006C4362"/>
    <w:rsid w:val="006C47D1"/>
    <w:rsid w:val="006C4E09"/>
    <w:rsid w:val="006C4FAD"/>
    <w:rsid w:val="006C55A4"/>
    <w:rsid w:val="006C5794"/>
    <w:rsid w:val="006C596E"/>
    <w:rsid w:val="006C5AD4"/>
    <w:rsid w:val="006C5EDF"/>
    <w:rsid w:val="006C60C3"/>
    <w:rsid w:val="006C65E8"/>
    <w:rsid w:val="006C6CA0"/>
    <w:rsid w:val="006C6E48"/>
    <w:rsid w:val="006C6F50"/>
    <w:rsid w:val="006C6FA6"/>
    <w:rsid w:val="006C7623"/>
    <w:rsid w:val="006C7650"/>
    <w:rsid w:val="006C7839"/>
    <w:rsid w:val="006C7D59"/>
    <w:rsid w:val="006D02BE"/>
    <w:rsid w:val="006D02EE"/>
    <w:rsid w:val="006D03F4"/>
    <w:rsid w:val="006D0554"/>
    <w:rsid w:val="006D08A7"/>
    <w:rsid w:val="006D08B3"/>
    <w:rsid w:val="006D097B"/>
    <w:rsid w:val="006D0E02"/>
    <w:rsid w:val="006D0F7B"/>
    <w:rsid w:val="006D1034"/>
    <w:rsid w:val="006D10B2"/>
    <w:rsid w:val="006D1197"/>
    <w:rsid w:val="006D1485"/>
    <w:rsid w:val="006D17F7"/>
    <w:rsid w:val="006D18D7"/>
    <w:rsid w:val="006D199E"/>
    <w:rsid w:val="006D1D47"/>
    <w:rsid w:val="006D1F19"/>
    <w:rsid w:val="006D2145"/>
    <w:rsid w:val="006D23B9"/>
    <w:rsid w:val="006D26DB"/>
    <w:rsid w:val="006D2B7F"/>
    <w:rsid w:val="006D2B8E"/>
    <w:rsid w:val="006D319D"/>
    <w:rsid w:val="006D3B36"/>
    <w:rsid w:val="006D3DE6"/>
    <w:rsid w:val="006D44F5"/>
    <w:rsid w:val="006D6678"/>
    <w:rsid w:val="006D6B19"/>
    <w:rsid w:val="006D769E"/>
    <w:rsid w:val="006D79A2"/>
    <w:rsid w:val="006D7BA9"/>
    <w:rsid w:val="006E1547"/>
    <w:rsid w:val="006E16A1"/>
    <w:rsid w:val="006E1C01"/>
    <w:rsid w:val="006E2355"/>
    <w:rsid w:val="006E26C7"/>
    <w:rsid w:val="006E29F1"/>
    <w:rsid w:val="006E2AC0"/>
    <w:rsid w:val="006E2E09"/>
    <w:rsid w:val="006E3331"/>
    <w:rsid w:val="006E3891"/>
    <w:rsid w:val="006E3893"/>
    <w:rsid w:val="006E399C"/>
    <w:rsid w:val="006E40C1"/>
    <w:rsid w:val="006E4EEC"/>
    <w:rsid w:val="006E4F8A"/>
    <w:rsid w:val="006E53EA"/>
    <w:rsid w:val="006E563C"/>
    <w:rsid w:val="006E5A36"/>
    <w:rsid w:val="006E5CE1"/>
    <w:rsid w:val="006E64B2"/>
    <w:rsid w:val="006E6871"/>
    <w:rsid w:val="006E6BE3"/>
    <w:rsid w:val="006E7586"/>
    <w:rsid w:val="006E7DB4"/>
    <w:rsid w:val="006F0B78"/>
    <w:rsid w:val="006F15DC"/>
    <w:rsid w:val="006F1807"/>
    <w:rsid w:val="006F1862"/>
    <w:rsid w:val="006F1A7E"/>
    <w:rsid w:val="006F1B01"/>
    <w:rsid w:val="006F1D82"/>
    <w:rsid w:val="006F2CC8"/>
    <w:rsid w:val="006F3005"/>
    <w:rsid w:val="006F3017"/>
    <w:rsid w:val="006F3FE4"/>
    <w:rsid w:val="006F438D"/>
    <w:rsid w:val="006F59F6"/>
    <w:rsid w:val="006F5E4A"/>
    <w:rsid w:val="006F661A"/>
    <w:rsid w:val="006F6B0D"/>
    <w:rsid w:val="006F6CAF"/>
    <w:rsid w:val="006F6D52"/>
    <w:rsid w:val="006F722A"/>
    <w:rsid w:val="006F7335"/>
    <w:rsid w:val="007003ED"/>
    <w:rsid w:val="00700656"/>
    <w:rsid w:val="0070181E"/>
    <w:rsid w:val="00701E13"/>
    <w:rsid w:val="00701ECA"/>
    <w:rsid w:val="0070283C"/>
    <w:rsid w:val="0070293E"/>
    <w:rsid w:val="00702AB7"/>
    <w:rsid w:val="007032D4"/>
    <w:rsid w:val="00703822"/>
    <w:rsid w:val="00703B09"/>
    <w:rsid w:val="00703FD4"/>
    <w:rsid w:val="007047F1"/>
    <w:rsid w:val="00704996"/>
    <w:rsid w:val="007049D1"/>
    <w:rsid w:val="00704D41"/>
    <w:rsid w:val="00705D46"/>
    <w:rsid w:val="0070642F"/>
    <w:rsid w:val="00706501"/>
    <w:rsid w:val="0070712A"/>
    <w:rsid w:val="0070721B"/>
    <w:rsid w:val="00707A80"/>
    <w:rsid w:val="00710200"/>
    <w:rsid w:val="00710816"/>
    <w:rsid w:val="00710B87"/>
    <w:rsid w:val="007114C0"/>
    <w:rsid w:val="007120AE"/>
    <w:rsid w:val="00712339"/>
    <w:rsid w:val="007125E5"/>
    <w:rsid w:val="007128D8"/>
    <w:rsid w:val="00712ACD"/>
    <w:rsid w:val="00713615"/>
    <w:rsid w:val="007137EF"/>
    <w:rsid w:val="007139F2"/>
    <w:rsid w:val="00713A0E"/>
    <w:rsid w:val="007149CA"/>
    <w:rsid w:val="0071524B"/>
    <w:rsid w:val="00715B3C"/>
    <w:rsid w:val="00715DAD"/>
    <w:rsid w:val="00716B37"/>
    <w:rsid w:val="007171E4"/>
    <w:rsid w:val="00717209"/>
    <w:rsid w:val="00717985"/>
    <w:rsid w:val="00717DCD"/>
    <w:rsid w:val="0072011A"/>
    <w:rsid w:val="00720356"/>
    <w:rsid w:val="00720B95"/>
    <w:rsid w:val="00720D9C"/>
    <w:rsid w:val="00721036"/>
    <w:rsid w:val="00721571"/>
    <w:rsid w:val="00721760"/>
    <w:rsid w:val="00721F83"/>
    <w:rsid w:val="00722216"/>
    <w:rsid w:val="00722554"/>
    <w:rsid w:val="007225B2"/>
    <w:rsid w:val="0072264C"/>
    <w:rsid w:val="007227AF"/>
    <w:rsid w:val="00722CD8"/>
    <w:rsid w:val="00723283"/>
    <w:rsid w:val="00723C2A"/>
    <w:rsid w:val="00723D6F"/>
    <w:rsid w:val="00723DF3"/>
    <w:rsid w:val="00724A10"/>
    <w:rsid w:val="00724B4D"/>
    <w:rsid w:val="00724BA0"/>
    <w:rsid w:val="00724C37"/>
    <w:rsid w:val="00724C95"/>
    <w:rsid w:val="0072564A"/>
    <w:rsid w:val="00725BE6"/>
    <w:rsid w:val="00726268"/>
    <w:rsid w:val="00726552"/>
    <w:rsid w:val="00726EB1"/>
    <w:rsid w:val="00726F27"/>
    <w:rsid w:val="00727283"/>
    <w:rsid w:val="007275A2"/>
    <w:rsid w:val="007303FC"/>
    <w:rsid w:val="007304C9"/>
    <w:rsid w:val="007307A3"/>
    <w:rsid w:val="007308A2"/>
    <w:rsid w:val="00730954"/>
    <w:rsid w:val="00730A9E"/>
    <w:rsid w:val="00731286"/>
    <w:rsid w:val="007316BC"/>
    <w:rsid w:val="00731994"/>
    <w:rsid w:val="00731D8E"/>
    <w:rsid w:val="00731FB5"/>
    <w:rsid w:val="00733246"/>
    <w:rsid w:val="00733945"/>
    <w:rsid w:val="007347A0"/>
    <w:rsid w:val="0073493D"/>
    <w:rsid w:val="00734DE4"/>
    <w:rsid w:val="00734F39"/>
    <w:rsid w:val="00735818"/>
    <w:rsid w:val="00735CCE"/>
    <w:rsid w:val="00736B17"/>
    <w:rsid w:val="00737028"/>
    <w:rsid w:val="007377B7"/>
    <w:rsid w:val="007377E7"/>
    <w:rsid w:val="007403EC"/>
    <w:rsid w:val="007418BB"/>
    <w:rsid w:val="0074254B"/>
    <w:rsid w:val="00743011"/>
    <w:rsid w:val="00743084"/>
    <w:rsid w:val="007437C5"/>
    <w:rsid w:val="00743DE2"/>
    <w:rsid w:val="00743EBC"/>
    <w:rsid w:val="007442A5"/>
    <w:rsid w:val="00744CA5"/>
    <w:rsid w:val="007452BA"/>
    <w:rsid w:val="00745E5D"/>
    <w:rsid w:val="00746C01"/>
    <w:rsid w:val="00747079"/>
    <w:rsid w:val="0074742A"/>
    <w:rsid w:val="00747819"/>
    <w:rsid w:val="007501F5"/>
    <w:rsid w:val="00750275"/>
    <w:rsid w:val="00750379"/>
    <w:rsid w:val="00750535"/>
    <w:rsid w:val="007514C8"/>
    <w:rsid w:val="00751729"/>
    <w:rsid w:val="007518AF"/>
    <w:rsid w:val="007521F7"/>
    <w:rsid w:val="00752760"/>
    <w:rsid w:val="00752B6C"/>
    <w:rsid w:val="0075345E"/>
    <w:rsid w:val="007534BD"/>
    <w:rsid w:val="0075374C"/>
    <w:rsid w:val="00753BC0"/>
    <w:rsid w:val="00754627"/>
    <w:rsid w:val="007551DB"/>
    <w:rsid w:val="007559C9"/>
    <w:rsid w:val="007567F8"/>
    <w:rsid w:val="00756B3F"/>
    <w:rsid w:val="00756B66"/>
    <w:rsid w:val="00756EC3"/>
    <w:rsid w:val="007570DE"/>
    <w:rsid w:val="00757792"/>
    <w:rsid w:val="00757FBE"/>
    <w:rsid w:val="007605D4"/>
    <w:rsid w:val="007605F7"/>
    <w:rsid w:val="007607F0"/>
    <w:rsid w:val="00760BB7"/>
    <w:rsid w:val="00760FD7"/>
    <w:rsid w:val="00760FF8"/>
    <w:rsid w:val="0076100C"/>
    <w:rsid w:val="0076104B"/>
    <w:rsid w:val="0076123F"/>
    <w:rsid w:val="00761C68"/>
    <w:rsid w:val="00761EA7"/>
    <w:rsid w:val="00761F2D"/>
    <w:rsid w:val="007620C7"/>
    <w:rsid w:val="0076275A"/>
    <w:rsid w:val="00762D2D"/>
    <w:rsid w:val="00763570"/>
    <w:rsid w:val="007635B2"/>
    <w:rsid w:val="00763804"/>
    <w:rsid w:val="00763B66"/>
    <w:rsid w:val="00763E6C"/>
    <w:rsid w:val="0076452E"/>
    <w:rsid w:val="00764E67"/>
    <w:rsid w:val="00765090"/>
    <w:rsid w:val="007655D7"/>
    <w:rsid w:val="00765B3D"/>
    <w:rsid w:val="007665E5"/>
    <w:rsid w:val="00766729"/>
    <w:rsid w:val="00766AD1"/>
    <w:rsid w:val="00766D6D"/>
    <w:rsid w:val="00766EDF"/>
    <w:rsid w:val="00766F31"/>
    <w:rsid w:val="00767392"/>
    <w:rsid w:val="007674DD"/>
    <w:rsid w:val="00767515"/>
    <w:rsid w:val="00767AE5"/>
    <w:rsid w:val="00767C3F"/>
    <w:rsid w:val="00770239"/>
    <w:rsid w:val="00770367"/>
    <w:rsid w:val="007703E7"/>
    <w:rsid w:val="007704C9"/>
    <w:rsid w:val="00770A16"/>
    <w:rsid w:val="00770D49"/>
    <w:rsid w:val="00770E25"/>
    <w:rsid w:val="007713F2"/>
    <w:rsid w:val="0077157C"/>
    <w:rsid w:val="00771692"/>
    <w:rsid w:val="00771725"/>
    <w:rsid w:val="00771770"/>
    <w:rsid w:val="007717BB"/>
    <w:rsid w:val="00771E50"/>
    <w:rsid w:val="0077289E"/>
    <w:rsid w:val="00772937"/>
    <w:rsid w:val="00772958"/>
    <w:rsid w:val="00772D4E"/>
    <w:rsid w:val="00772E71"/>
    <w:rsid w:val="00773356"/>
    <w:rsid w:val="0077347A"/>
    <w:rsid w:val="007736AC"/>
    <w:rsid w:val="00774255"/>
    <w:rsid w:val="007752FA"/>
    <w:rsid w:val="0077588D"/>
    <w:rsid w:val="00775977"/>
    <w:rsid w:val="007759E8"/>
    <w:rsid w:val="00775EB7"/>
    <w:rsid w:val="00776471"/>
    <w:rsid w:val="007765BA"/>
    <w:rsid w:val="0077692B"/>
    <w:rsid w:val="00776F28"/>
    <w:rsid w:val="0077770E"/>
    <w:rsid w:val="00777A32"/>
    <w:rsid w:val="00777BB9"/>
    <w:rsid w:val="00780199"/>
    <w:rsid w:val="0078029C"/>
    <w:rsid w:val="00780739"/>
    <w:rsid w:val="00780DD9"/>
    <w:rsid w:val="00780EE1"/>
    <w:rsid w:val="00780FED"/>
    <w:rsid w:val="00782B10"/>
    <w:rsid w:val="00782E42"/>
    <w:rsid w:val="0078367E"/>
    <w:rsid w:val="00785293"/>
    <w:rsid w:val="007856D8"/>
    <w:rsid w:val="00785722"/>
    <w:rsid w:val="00785947"/>
    <w:rsid w:val="00785ECC"/>
    <w:rsid w:val="00786890"/>
    <w:rsid w:val="00787307"/>
    <w:rsid w:val="00787626"/>
    <w:rsid w:val="007878E1"/>
    <w:rsid w:val="00787E02"/>
    <w:rsid w:val="00787E82"/>
    <w:rsid w:val="00790023"/>
    <w:rsid w:val="00790458"/>
    <w:rsid w:val="00790564"/>
    <w:rsid w:val="00790F2F"/>
    <w:rsid w:val="00791A55"/>
    <w:rsid w:val="00791BC4"/>
    <w:rsid w:val="00791FF9"/>
    <w:rsid w:val="0079212E"/>
    <w:rsid w:val="00792344"/>
    <w:rsid w:val="00792C6A"/>
    <w:rsid w:val="00792EC3"/>
    <w:rsid w:val="00793109"/>
    <w:rsid w:val="00793C25"/>
    <w:rsid w:val="00793C26"/>
    <w:rsid w:val="00793CD9"/>
    <w:rsid w:val="00793E94"/>
    <w:rsid w:val="00794B90"/>
    <w:rsid w:val="007951D6"/>
    <w:rsid w:val="007952A7"/>
    <w:rsid w:val="007954D4"/>
    <w:rsid w:val="00795C95"/>
    <w:rsid w:val="00795DCF"/>
    <w:rsid w:val="00796315"/>
    <w:rsid w:val="00796335"/>
    <w:rsid w:val="00796934"/>
    <w:rsid w:val="00797195"/>
    <w:rsid w:val="00797261"/>
    <w:rsid w:val="00797493"/>
    <w:rsid w:val="007977C5"/>
    <w:rsid w:val="007978C4"/>
    <w:rsid w:val="00797C29"/>
    <w:rsid w:val="007A0CE9"/>
    <w:rsid w:val="007A0CF3"/>
    <w:rsid w:val="007A0F2C"/>
    <w:rsid w:val="007A1427"/>
    <w:rsid w:val="007A154B"/>
    <w:rsid w:val="007A197B"/>
    <w:rsid w:val="007A2A99"/>
    <w:rsid w:val="007A3394"/>
    <w:rsid w:val="007A38E0"/>
    <w:rsid w:val="007A3AD1"/>
    <w:rsid w:val="007A3BF7"/>
    <w:rsid w:val="007A4139"/>
    <w:rsid w:val="007A435C"/>
    <w:rsid w:val="007A498E"/>
    <w:rsid w:val="007A4DEA"/>
    <w:rsid w:val="007A4F5F"/>
    <w:rsid w:val="007A59F9"/>
    <w:rsid w:val="007A5C72"/>
    <w:rsid w:val="007A5D67"/>
    <w:rsid w:val="007A64DC"/>
    <w:rsid w:val="007A6A0F"/>
    <w:rsid w:val="007A6F56"/>
    <w:rsid w:val="007A7789"/>
    <w:rsid w:val="007A7906"/>
    <w:rsid w:val="007A79C3"/>
    <w:rsid w:val="007A79C6"/>
    <w:rsid w:val="007B0780"/>
    <w:rsid w:val="007B10C0"/>
    <w:rsid w:val="007B14CE"/>
    <w:rsid w:val="007B1E32"/>
    <w:rsid w:val="007B1F7F"/>
    <w:rsid w:val="007B2060"/>
    <w:rsid w:val="007B207F"/>
    <w:rsid w:val="007B208E"/>
    <w:rsid w:val="007B258E"/>
    <w:rsid w:val="007B2E79"/>
    <w:rsid w:val="007B3670"/>
    <w:rsid w:val="007B3867"/>
    <w:rsid w:val="007B411A"/>
    <w:rsid w:val="007B4AA8"/>
    <w:rsid w:val="007B4FAA"/>
    <w:rsid w:val="007B566C"/>
    <w:rsid w:val="007B5C70"/>
    <w:rsid w:val="007B5FAF"/>
    <w:rsid w:val="007B663F"/>
    <w:rsid w:val="007B67BF"/>
    <w:rsid w:val="007B68A8"/>
    <w:rsid w:val="007B6902"/>
    <w:rsid w:val="007B6AA6"/>
    <w:rsid w:val="007B7090"/>
    <w:rsid w:val="007B7198"/>
    <w:rsid w:val="007C07D6"/>
    <w:rsid w:val="007C08C3"/>
    <w:rsid w:val="007C10DA"/>
    <w:rsid w:val="007C196E"/>
    <w:rsid w:val="007C1B97"/>
    <w:rsid w:val="007C29A9"/>
    <w:rsid w:val="007C3A8E"/>
    <w:rsid w:val="007C3C30"/>
    <w:rsid w:val="007C3F3B"/>
    <w:rsid w:val="007C4037"/>
    <w:rsid w:val="007C46DD"/>
    <w:rsid w:val="007C4B32"/>
    <w:rsid w:val="007C4C47"/>
    <w:rsid w:val="007C5BC0"/>
    <w:rsid w:val="007C654F"/>
    <w:rsid w:val="007C69B3"/>
    <w:rsid w:val="007C6CCE"/>
    <w:rsid w:val="007C7167"/>
    <w:rsid w:val="007C717A"/>
    <w:rsid w:val="007C7DD2"/>
    <w:rsid w:val="007D0380"/>
    <w:rsid w:val="007D07BE"/>
    <w:rsid w:val="007D0C3D"/>
    <w:rsid w:val="007D1322"/>
    <w:rsid w:val="007D1448"/>
    <w:rsid w:val="007D1D36"/>
    <w:rsid w:val="007D2660"/>
    <w:rsid w:val="007D28A8"/>
    <w:rsid w:val="007D2CB5"/>
    <w:rsid w:val="007D2D63"/>
    <w:rsid w:val="007D31FE"/>
    <w:rsid w:val="007D3428"/>
    <w:rsid w:val="007D361B"/>
    <w:rsid w:val="007D3CCB"/>
    <w:rsid w:val="007D3D69"/>
    <w:rsid w:val="007D3FD1"/>
    <w:rsid w:val="007D400E"/>
    <w:rsid w:val="007D4AD8"/>
    <w:rsid w:val="007D4C1F"/>
    <w:rsid w:val="007D53B8"/>
    <w:rsid w:val="007D55EA"/>
    <w:rsid w:val="007D5797"/>
    <w:rsid w:val="007D588C"/>
    <w:rsid w:val="007D58D3"/>
    <w:rsid w:val="007D59F1"/>
    <w:rsid w:val="007D6605"/>
    <w:rsid w:val="007D67CD"/>
    <w:rsid w:val="007D6CE7"/>
    <w:rsid w:val="007D7183"/>
    <w:rsid w:val="007D7472"/>
    <w:rsid w:val="007D74F3"/>
    <w:rsid w:val="007D764C"/>
    <w:rsid w:val="007D7DC6"/>
    <w:rsid w:val="007D7E5E"/>
    <w:rsid w:val="007D7F41"/>
    <w:rsid w:val="007E0412"/>
    <w:rsid w:val="007E046D"/>
    <w:rsid w:val="007E0A8D"/>
    <w:rsid w:val="007E0AA5"/>
    <w:rsid w:val="007E0E68"/>
    <w:rsid w:val="007E1493"/>
    <w:rsid w:val="007E15D7"/>
    <w:rsid w:val="007E17B7"/>
    <w:rsid w:val="007E2860"/>
    <w:rsid w:val="007E29DA"/>
    <w:rsid w:val="007E2C4A"/>
    <w:rsid w:val="007E2D39"/>
    <w:rsid w:val="007E3299"/>
    <w:rsid w:val="007E3836"/>
    <w:rsid w:val="007E3C0E"/>
    <w:rsid w:val="007E413E"/>
    <w:rsid w:val="007E48D7"/>
    <w:rsid w:val="007E4E85"/>
    <w:rsid w:val="007E50C1"/>
    <w:rsid w:val="007E532C"/>
    <w:rsid w:val="007E581C"/>
    <w:rsid w:val="007E5A85"/>
    <w:rsid w:val="007E5C7C"/>
    <w:rsid w:val="007E5DC3"/>
    <w:rsid w:val="007E63E0"/>
    <w:rsid w:val="007E6807"/>
    <w:rsid w:val="007E755B"/>
    <w:rsid w:val="007E77E1"/>
    <w:rsid w:val="007E7A8B"/>
    <w:rsid w:val="007E7C5A"/>
    <w:rsid w:val="007E7F5F"/>
    <w:rsid w:val="007F0060"/>
    <w:rsid w:val="007F012C"/>
    <w:rsid w:val="007F03A2"/>
    <w:rsid w:val="007F0870"/>
    <w:rsid w:val="007F0D62"/>
    <w:rsid w:val="007F16ED"/>
    <w:rsid w:val="007F21A2"/>
    <w:rsid w:val="007F23E7"/>
    <w:rsid w:val="007F27D0"/>
    <w:rsid w:val="007F2E6F"/>
    <w:rsid w:val="007F2EC8"/>
    <w:rsid w:val="007F33CF"/>
    <w:rsid w:val="007F35FE"/>
    <w:rsid w:val="007F3B83"/>
    <w:rsid w:val="007F46DB"/>
    <w:rsid w:val="007F4875"/>
    <w:rsid w:val="007F4FAA"/>
    <w:rsid w:val="007F5D0B"/>
    <w:rsid w:val="007F6050"/>
    <w:rsid w:val="007F672A"/>
    <w:rsid w:val="007F67D5"/>
    <w:rsid w:val="007F67F7"/>
    <w:rsid w:val="007F69A1"/>
    <w:rsid w:val="007F795B"/>
    <w:rsid w:val="008002D5"/>
    <w:rsid w:val="00800325"/>
    <w:rsid w:val="008004C6"/>
    <w:rsid w:val="00800AE9"/>
    <w:rsid w:val="00800D5C"/>
    <w:rsid w:val="0080142D"/>
    <w:rsid w:val="008014EA"/>
    <w:rsid w:val="00801BD2"/>
    <w:rsid w:val="00801CAA"/>
    <w:rsid w:val="00802A84"/>
    <w:rsid w:val="00802DE3"/>
    <w:rsid w:val="008034F3"/>
    <w:rsid w:val="008041AE"/>
    <w:rsid w:val="00804267"/>
    <w:rsid w:val="008044D3"/>
    <w:rsid w:val="00804785"/>
    <w:rsid w:val="008048C1"/>
    <w:rsid w:val="00804C42"/>
    <w:rsid w:val="0080509F"/>
    <w:rsid w:val="008055DF"/>
    <w:rsid w:val="0080563C"/>
    <w:rsid w:val="008056F8"/>
    <w:rsid w:val="00805E3C"/>
    <w:rsid w:val="00806852"/>
    <w:rsid w:val="00806D6C"/>
    <w:rsid w:val="00806FE0"/>
    <w:rsid w:val="008072B4"/>
    <w:rsid w:val="00807470"/>
    <w:rsid w:val="00807511"/>
    <w:rsid w:val="00807DE6"/>
    <w:rsid w:val="008101EF"/>
    <w:rsid w:val="00810228"/>
    <w:rsid w:val="00810450"/>
    <w:rsid w:val="00810544"/>
    <w:rsid w:val="008107D2"/>
    <w:rsid w:val="008107E9"/>
    <w:rsid w:val="00810BF6"/>
    <w:rsid w:val="008111F0"/>
    <w:rsid w:val="00811568"/>
    <w:rsid w:val="0081194C"/>
    <w:rsid w:val="00811EAA"/>
    <w:rsid w:val="00812571"/>
    <w:rsid w:val="00812B96"/>
    <w:rsid w:val="00812CBF"/>
    <w:rsid w:val="0081348C"/>
    <w:rsid w:val="00813920"/>
    <w:rsid w:val="00813B72"/>
    <w:rsid w:val="00813D24"/>
    <w:rsid w:val="00813D5E"/>
    <w:rsid w:val="00814C82"/>
    <w:rsid w:val="00815160"/>
    <w:rsid w:val="00815993"/>
    <w:rsid w:val="00815B1B"/>
    <w:rsid w:val="00815C37"/>
    <w:rsid w:val="00816403"/>
    <w:rsid w:val="00816545"/>
    <w:rsid w:val="008168D5"/>
    <w:rsid w:val="008173DA"/>
    <w:rsid w:val="008179DA"/>
    <w:rsid w:val="00817A48"/>
    <w:rsid w:val="00817A5E"/>
    <w:rsid w:val="00817BA4"/>
    <w:rsid w:val="008201E8"/>
    <w:rsid w:val="0082041A"/>
    <w:rsid w:val="00820E1B"/>
    <w:rsid w:val="00821566"/>
    <w:rsid w:val="00821891"/>
    <w:rsid w:val="0082218E"/>
    <w:rsid w:val="0082270E"/>
    <w:rsid w:val="008228DA"/>
    <w:rsid w:val="0082292D"/>
    <w:rsid w:val="00822951"/>
    <w:rsid w:val="00822967"/>
    <w:rsid w:val="00822E58"/>
    <w:rsid w:val="008230AB"/>
    <w:rsid w:val="00823377"/>
    <w:rsid w:val="00823436"/>
    <w:rsid w:val="00823A67"/>
    <w:rsid w:val="00823B27"/>
    <w:rsid w:val="00823E4D"/>
    <w:rsid w:val="00823F18"/>
    <w:rsid w:val="00824388"/>
    <w:rsid w:val="00824537"/>
    <w:rsid w:val="008247D2"/>
    <w:rsid w:val="00824AA9"/>
    <w:rsid w:val="00824C30"/>
    <w:rsid w:val="0082546F"/>
    <w:rsid w:val="00825A7F"/>
    <w:rsid w:val="00825E2A"/>
    <w:rsid w:val="00825F1E"/>
    <w:rsid w:val="008262CE"/>
    <w:rsid w:val="008264F1"/>
    <w:rsid w:val="008266D0"/>
    <w:rsid w:val="00826D2C"/>
    <w:rsid w:val="00827052"/>
    <w:rsid w:val="0082729B"/>
    <w:rsid w:val="00827627"/>
    <w:rsid w:val="00827629"/>
    <w:rsid w:val="0082763B"/>
    <w:rsid w:val="00827CB3"/>
    <w:rsid w:val="00827D57"/>
    <w:rsid w:val="00827E75"/>
    <w:rsid w:val="00827FF8"/>
    <w:rsid w:val="008303E4"/>
    <w:rsid w:val="0083106C"/>
    <w:rsid w:val="00831160"/>
    <w:rsid w:val="0083129F"/>
    <w:rsid w:val="008317BF"/>
    <w:rsid w:val="00831C8C"/>
    <w:rsid w:val="008324DD"/>
    <w:rsid w:val="008327BB"/>
    <w:rsid w:val="008329EF"/>
    <w:rsid w:val="00832A3D"/>
    <w:rsid w:val="0083318C"/>
    <w:rsid w:val="008335A2"/>
    <w:rsid w:val="0083365D"/>
    <w:rsid w:val="00833E94"/>
    <w:rsid w:val="00834538"/>
    <w:rsid w:val="0083534C"/>
    <w:rsid w:val="00835360"/>
    <w:rsid w:val="008354DB"/>
    <w:rsid w:val="0083578D"/>
    <w:rsid w:val="00835C1E"/>
    <w:rsid w:val="008362B7"/>
    <w:rsid w:val="008362CD"/>
    <w:rsid w:val="00836427"/>
    <w:rsid w:val="00836AF2"/>
    <w:rsid w:val="00836CC0"/>
    <w:rsid w:val="00836E2F"/>
    <w:rsid w:val="0083749A"/>
    <w:rsid w:val="008406D7"/>
    <w:rsid w:val="00840ACE"/>
    <w:rsid w:val="00840D31"/>
    <w:rsid w:val="008410F0"/>
    <w:rsid w:val="00841346"/>
    <w:rsid w:val="0084150E"/>
    <w:rsid w:val="008419CC"/>
    <w:rsid w:val="008419FD"/>
    <w:rsid w:val="00842122"/>
    <w:rsid w:val="00842BE9"/>
    <w:rsid w:val="008431FD"/>
    <w:rsid w:val="0084394D"/>
    <w:rsid w:val="00844351"/>
    <w:rsid w:val="008446AE"/>
    <w:rsid w:val="008451E9"/>
    <w:rsid w:val="00845400"/>
    <w:rsid w:val="00845548"/>
    <w:rsid w:val="0084559A"/>
    <w:rsid w:val="0084560A"/>
    <w:rsid w:val="00846034"/>
    <w:rsid w:val="008462A0"/>
    <w:rsid w:val="0084633B"/>
    <w:rsid w:val="008474C3"/>
    <w:rsid w:val="008478DE"/>
    <w:rsid w:val="00847A3B"/>
    <w:rsid w:val="00847A73"/>
    <w:rsid w:val="00850323"/>
    <w:rsid w:val="008506D9"/>
    <w:rsid w:val="008509F5"/>
    <w:rsid w:val="00850B23"/>
    <w:rsid w:val="00850B38"/>
    <w:rsid w:val="008511A9"/>
    <w:rsid w:val="00851379"/>
    <w:rsid w:val="00851740"/>
    <w:rsid w:val="008517C5"/>
    <w:rsid w:val="00852119"/>
    <w:rsid w:val="008522F4"/>
    <w:rsid w:val="00852AC4"/>
    <w:rsid w:val="00852AD0"/>
    <w:rsid w:val="00853017"/>
    <w:rsid w:val="0085360F"/>
    <w:rsid w:val="00853788"/>
    <w:rsid w:val="00853F77"/>
    <w:rsid w:val="00854239"/>
    <w:rsid w:val="008542EA"/>
    <w:rsid w:val="008545C9"/>
    <w:rsid w:val="008549ED"/>
    <w:rsid w:val="00854C34"/>
    <w:rsid w:val="008557C4"/>
    <w:rsid w:val="00855AEE"/>
    <w:rsid w:val="00855E55"/>
    <w:rsid w:val="00856055"/>
    <w:rsid w:val="008560CD"/>
    <w:rsid w:val="008562CE"/>
    <w:rsid w:val="00856DBF"/>
    <w:rsid w:val="00856E9D"/>
    <w:rsid w:val="008572D8"/>
    <w:rsid w:val="008573D0"/>
    <w:rsid w:val="00857B58"/>
    <w:rsid w:val="00857C86"/>
    <w:rsid w:val="008609F1"/>
    <w:rsid w:val="00860C38"/>
    <w:rsid w:val="00860E1D"/>
    <w:rsid w:val="00860E3D"/>
    <w:rsid w:val="008612CD"/>
    <w:rsid w:val="008620F0"/>
    <w:rsid w:val="008624BE"/>
    <w:rsid w:val="0086276E"/>
    <w:rsid w:val="00863651"/>
    <w:rsid w:val="00863983"/>
    <w:rsid w:val="00863ECD"/>
    <w:rsid w:val="008643FA"/>
    <w:rsid w:val="0086479B"/>
    <w:rsid w:val="00864DD8"/>
    <w:rsid w:val="00864F03"/>
    <w:rsid w:val="00865092"/>
    <w:rsid w:val="008650D0"/>
    <w:rsid w:val="0086597E"/>
    <w:rsid w:val="008659F6"/>
    <w:rsid w:val="00866E32"/>
    <w:rsid w:val="0087032E"/>
    <w:rsid w:val="00870D55"/>
    <w:rsid w:val="008710D2"/>
    <w:rsid w:val="00871798"/>
    <w:rsid w:val="0087194E"/>
    <w:rsid w:val="00871998"/>
    <w:rsid w:val="00871D1D"/>
    <w:rsid w:val="00872210"/>
    <w:rsid w:val="00872442"/>
    <w:rsid w:val="00872874"/>
    <w:rsid w:val="008728D1"/>
    <w:rsid w:val="00872EA4"/>
    <w:rsid w:val="00872F81"/>
    <w:rsid w:val="00873589"/>
    <w:rsid w:val="00873D01"/>
    <w:rsid w:val="00873FC9"/>
    <w:rsid w:val="008743E0"/>
    <w:rsid w:val="00874754"/>
    <w:rsid w:val="00874B4F"/>
    <w:rsid w:val="00875DE9"/>
    <w:rsid w:val="00876108"/>
    <w:rsid w:val="00876127"/>
    <w:rsid w:val="00876230"/>
    <w:rsid w:val="00876336"/>
    <w:rsid w:val="00876485"/>
    <w:rsid w:val="008769C1"/>
    <w:rsid w:val="00876B9D"/>
    <w:rsid w:val="00877B2B"/>
    <w:rsid w:val="00877EE2"/>
    <w:rsid w:val="008804F7"/>
    <w:rsid w:val="008807FB"/>
    <w:rsid w:val="00880CB1"/>
    <w:rsid w:val="008815D7"/>
    <w:rsid w:val="008816C8"/>
    <w:rsid w:val="008818AB"/>
    <w:rsid w:val="00881B19"/>
    <w:rsid w:val="008824B5"/>
    <w:rsid w:val="00882B43"/>
    <w:rsid w:val="00883592"/>
    <w:rsid w:val="008838DD"/>
    <w:rsid w:val="00883AA9"/>
    <w:rsid w:val="00883AF4"/>
    <w:rsid w:val="00883B79"/>
    <w:rsid w:val="00883C26"/>
    <w:rsid w:val="00884898"/>
    <w:rsid w:val="00884A04"/>
    <w:rsid w:val="00884D1F"/>
    <w:rsid w:val="008851EF"/>
    <w:rsid w:val="00886582"/>
    <w:rsid w:val="008865DF"/>
    <w:rsid w:val="008866B4"/>
    <w:rsid w:val="008867F3"/>
    <w:rsid w:val="00887E2C"/>
    <w:rsid w:val="008904B8"/>
    <w:rsid w:val="00890E5C"/>
    <w:rsid w:val="00890EB8"/>
    <w:rsid w:val="00891054"/>
    <w:rsid w:val="00891BE2"/>
    <w:rsid w:val="00892304"/>
    <w:rsid w:val="008925A1"/>
    <w:rsid w:val="008939C4"/>
    <w:rsid w:val="00893E5F"/>
    <w:rsid w:val="00894301"/>
    <w:rsid w:val="008949B3"/>
    <w:rsid w:val="008951DE"/>
    <w:rsid w:val="00895905"/>
    <w:rsid w:val="008963A0"/>
    <w:rsid w:val="00896C29"/>
    <w:rsid w:val="00897041"/>
    <w:rsid w:val="00897095"/>
    <w:rsid w:val="00897C80"/>
    <w:rsid w:val="00897F14"/>
    <w:rsid w:val="008A086A"/>
    <w:rsid w:val="008A08BD"/>
    <w:rsid w:val="008A1831"/>
    <w:rsid w:val="008A22A0"/>
    <w:rsid w:val="008A238E"/>
    <w:rsid w:val="008A26D2"/>
    <w:rsid w:val="008A270F"/>
    <w:rsid w:val="008A33EA"/>
    <w:rsid w:val="008A4135"/>
    <w:rsid w:val="008A4D41"/>
    <w:rsid w:val="008A4D4E"/>
    <w:rsid w:val="008A4EFD"/>
    <w:rsid w:val="008A5EE0"/>
    <w:rsid w:val="008A603E"/>
    <w:rsid w:val="008A61A8"/>
    <w:rsid w:val="008A625D"/>
    <w:rsid w:val="008A6CC3"/>
    <w:rsid w:val="008A6CDA"/>
    <w:rsid w:val="008A74A3"/>
    <w:rsid w:val="008A754F"/>
    <w:rsid w:val="008A77D2"/>
    <w:rsid w:val="008A7BE1"/>
    <w:rsid w:val="008A7EF0"/>
    <w:rsid w:val="008B018C"/>
    <w:rsid w:val="008B02D5"/>
    <w:rsid w:val="008B05D9"/>
    <w:rsid w:val="008B0A8C"/>
    <w:rsid w:val="008B0B18"/>
    <w:rsid w:val="008B0B41"/>
    <w:rsid w:val="008B1247"/>
    <w:rsid w:val="008B1ABF"/>
    <w:rsid w:val="008B1FDB"/>
    <w:rsid w:val="008B276A"/>
    <w:rsid w:val="008B2B8D"/>
    <w:rsid w:val="008B2E93"/>
    <w:rsid w:val="008B38C4"/>
    <w:rsid w:val="008B3B49"/>
    <w:rsid w:val="008B50F1"/>
    <w:rsid w:val="008B5CCA"/>
    <w:rsid w:val="008B6418"/>
    <w:rsid w:val="008B67B7"/>
    <w:rsid w:val="008B6997"/>
    <w:rsid w:val="008B7123"/>
    <w:rsid w:val="008B7943"/>
    <w:rsid w:val="008B7B26"/>
    <w:rsid w:val="008B7C92"/>
    <w:rsid w:val="008C072F"/>
    <w:rsid w:val="008C0BC2"/>
    <w:rsid w:val="008C0F2B"/>
    <w:rsid w:val="008C1800"/>
    <w:rsid w:val="008C1EF2"/>
    <w:rsid w:val="008C2D61"/>
    <w:rsid w:val="008C2ED2"/>
    <w:rsid w:val="008C3444"/>
    <w:rsid w:val="008C3881"/>
    <w:rsid w:val="008C39DE"/>
    <w:rsid w:val="008C4454"/>
    <w:rsid w:val="008C4A24"/>
    <w:rsid w:val="008C4AAF"/>
    <w:rsid w:val="008C5618"/>
    <w:rsid w:val="008C6992"/>
    <w:rsid w:val="008C7007"/>
    <w:rsid w:val="008C76AB"/>
    <w:rsid w:val="008D0FB0"/>
    <w:rsid w:val="008D1016"/>
    <w:rsid w:val="008D1882"/>
    <w:rsid w:val="008D252D"/>
    <w:rsid w:val="008D26E4"/>
    <w:rsid w:val="008D2702"/>
    <w:rsid w:val="008D3C3F"/>
    <w:rsid w:val="008D41F9"/>
    <w:rsid w:val="008D4A82"/>
    <w:rsid w:val="008D4F50"/>
    <w:rsid w:val="008D520D"/>
    <w:rsid w:val="008D541F"/>
    <w:rsid w:val="008D5711"/>
    <w:rsid w:val="008D5845"/>
    <w:rsid w:val="008D5B41"/>
    <w:rsid w:val="008D5E63"/>
    <w:rsid w:val="008D61D7"/>
    <w:rsid w:val="008D625D"/>
    <w:rsid w:val="008D74F0"/>
    <w:rsid w:val="008D7B41"/>
    <w:rsid w:val="008D7BA0"/>
    <w:rsid w:val="008D7DE5"/>
    <w:rsid w:val="008D7E92"/>
    <w:rsid w:val="008D7F90"/>
    <w:rsid w:val="008E02AC"/>
    <w:rsid w:val="008E03FE"/>
    <w:rsid w:val="008E076B"/>
    <w:rsid w:val="008E13D4"/>
    <w:rsid w:val="008E20F6"/>
    <w:rsid w:val="008E2388"/>
    <w:rsid w:val="008E4BEB"/>
    <w:rsid w:val="008E4CA6"/>
    <w:rsid w:val="008E5131"/>
    <w:rsid w:val="008E522D"/>
    <w:rsid w:val="008E52D0"/>
    <w:rsid w:val="008E5EA0"/>
    <w:rsid w:val="008E631D"/>
    <w:rsid w:val="008E74D0"/>
    <w:rsid w:val="008E74F9"/>
    <w:rsid w:val="008E7CCF"/>
    <w:rsid w:val="008E7EC1"/>
    <w:rsid w:val="008F0000"/>
    <w:rsid w:val="008F00F9"/>
    <w:rsid w:val="008F0540"/>
    <w:rsid w:val="008F0A57"/>
    <w:rsid w:val="008F0B7B"/>
    <w:rsid w:val="008F0D79"/>
    <w:rsid w:val="008F110C"/>
    <w:rsid w:val="008F13AB"/>
    <w:rsid w:val="008F15B2"/>
    <w:rsid w:val="008F2988"/>
    <w:rsid w:val="008F2D07"/>
    <w:rsid w:val="008F2E7F"/>
    <w:rsid w:val="008F2EF6"/>
    <w:rsid w:val="008F3096"/>
    <w:rsid w:val="008F3173"/>
    <w:rsid w:val="008F3189"/>
    <w:rsid w:val="008F38C6"/>
    <w:rsid w:val="008F3EDF"/>
    <w:rsid w:val="008F4015"/>
    <w:rsid w:val="008F40D1"/>
    <w:rsid w:val="008F4783"/>
    <w:rsid w:val="008F4842"/>
    <w:rsid w:val="008F4A2B"/>
    <w:rsid w:val="008F4ABF"/>
    <w:rsid w:val="008F4AE2"/>
    <w:rsid w:val="008F4D0E"/>
    <w:rsid w:val="008F4F1C"/>
    <w:rsid w:val="008F4F7A"/>
    <w:rsid w:val="008F5128"/>
    <w:rsid w:val="008F5281"/>
    <w:rsid w:val="008F59CA"/>
    <w:rsid w:val="008F5B18"/>
    <w:rsid w:val="008F5F6E"/>
    <w:rsid w:val="008F5FBB"/>
    <w:rsid w:val="008F6086"/>
    <w:rsid w:val="008F62D7"/>
    <w:rsid w:val="008F635D"/>
    <w:rsid w:val="008F6988"/>
    <w:rsid w:val="008F6ECF"/>
    <w:rsid w:val="008F6F1E"/>
    <w:rsid w:val="008F6FD2"/>
    <w:rsid w:val="008F7414"/>
    <w:rsid w:val="008F7A47"/>
    <w:rsid w:val="008F7E10"/>
    <w:rsid w:val="00900470"/>
    <w:rsid w:val="00900A00"/>
    <w:rsid w:val="00900DDC"/>
    <w:rsid w:val="00900EF8"/>
    <w:rsid w:val="009012E2"/>
    <w:rsid w:val="009013C8"/>
    <w:rsid w:val="0090141F"/>
    <w:rsid w:val="00901468"/>
    <w:rsid w:val="0090149C"/>
    <w:rsid w:val="00901A6F"/>
    <w:rsid w:val="00901B41"/>
    <w:rsid w:val="00901BC8"/>
    <w:rsid w:val="00901D36"/>
    <w:rsid w:val="00901DE1"/>
    <w:rsid w:val="00901E71"/>
    <w:rsid w:val="009027BA"/>
    <w:rsid w:val="00902955"/>
    <w:rsid w:val="00902A1C"/>
    <w:rsid w:val="0090367D"/>
    <w:rsid w:val="00903778"/>
    <w:rsid w:val="00903857"/>
    <w:rsid w:val="00904017"/>
    <w:rsid w:val="0090425B"/>
    <w:rsid w:val="00905D32"/>
    <w:rsid w:val="0090601E"/>
    <w:rsid w:val="0090609E"/>
    <w:rsid w:val="00906313"/>
    <w:rsid w:val="009065B0"/>
    <w:rsid w:val="0090662A"/>
    <w:rsid w:val="009069FA"/>
    <w:rsid w:val="00906D78"/>
    <w:rsid w:val="0090714F"/>
    <w:rsid w:val="009071E5"/>
    <w:rsid w:val="00907BAB"/>
    <w:rsid w:val="00907C56"/>
    <w:rsid w:val="00907CD8"/>
    <w:rsid w:val="00910586"/>
    <w:rsid w:val="00910769"/>
    <w:rsid w:val="00910D08"/>
    <w:rsid w:val="00910E62"/>
    <w:rsid w:val="0091149B"/>
    <w:rsid w:val="009114E5"/>
    <w:rsid w:val="009116DE"/>
    <w:rsid w:val="009117F1"/>
    <w:rsid w:val="00911D29"/>
    <w:rsid w:val="00912537"/>
    <w:rsid w:val="009129AC"/>
    <w:rsid w:val="00913561"/>
    <w:rsid w:val="00913844"/>
    <w:rsid w:val="00913BE7"/>
    <w:rsid w:val="00913CF6"/>
    <w:rsid w:val="0091419F"/>
    <w:rsid w:val="00914590"/>
    <w:rsid w:val="009155AE"/>
    <w:rsid w:val="00915DD4"/>
    <w:rsid w:val="00916119"/>
    <w:rsid w:val="009162BC"/>
    <w:rsid w:val="009167E6"/>
    <w:rsid w:val="00916C33"/>
    <w:rsid w:val="00916EF3"/>
    <w:rsid w:val="00917058"/>
    <w:rsid w:val="0091767C"/>
    <w:rsid w:val="00917796"/>
    <w:rsid w:val="00917A53"/>
    <w:rsid w:val="00917C32"/>
    <w:rsid w:val="009201AB"/>
    <w:rsid w:val="009207FD"/>
    <w:rsid w:val="00920E6E"/>
    <w:rsid w:val="00921303"/>
    <w:rsid w:val="00921713"/>
    <w:rsid w:val="00921AE3"/>
    <w:rsid w:val="00922084"/>
    <w:rsid w:val="009224B3"/>
    <w:rsid w:val="009228D2"/>
    <w:rsid w:val="00922FDB"/>
    <w:rsid w:val="0092303D"/>
    <w:rsid w:val="0092358E"/>
    <w:rsid w:val="009237F1"/>
    <w:rsid w:val="00924728"/>
    <w:rsid w:val="009250CC"/>
    <w:rsid w:val="009257C3"/>
    <w:rsid w:val="00925F53"/>
    <w:rsid w:val="00926066"/>
    <w:rsid w:val="0092646A"/>
    <w:rsid w:val="00926B23"/>
    <w:rsid w:val="009300A6"/>
    <w:rsid w:val="00930579"/>
    <w:rsid w:val="00930C76"/>
    <w:rsid w:val="00930D1A"/>
    <w:rsid w:val="00930D43"/>
    <w:rsid w:val="009311F5"/>
    <w:rsid w:val="009313A7"/>
    <w:rsid w:val="009314DF"/>
    <w:rsid w:val="009315F7"/>
    <w:rsid w:val="0093172A"/>
    <w:rsid w:val="0093185C"/>
    <w:rsid w:val="00931EEF"/>
    <w:rsid w:val="00932205"/>
    <w:rsid w:val="009325F3"/>
    <w:rsid w:val="009328B1"/>
    <w:rsid w:val="00932B5D"/>
    <w:rsid w:val="00932D65"/>
    <w:rsid w:val="00933864"/>
    <w:rsid w:val="00933A41"/>
    <w:rsid w:val="00934054"/>
    <w:rsid w:val="009340E8"/>
    <w:rsid w:val="0093483D"/>
    <w:rsid w:val="00934883"/>
    <w:rsid w:val="009349F6"/>
    <w:rsid w:val="00934D1B"/>
    <w:rsid w:val="0093510B"/>
    <w:rsid w:val="009352D2"/>
    <w:rsid w:val="00935477"/>
    <w:rsid w:val="00935ED1"/>
    <w:rsid w:val="0093634D"/>
    <w:rsid w:val="009365BC"/>
    <w:rsid w:val="00936769"/>
    <w:rsid w:val="00937644"/>
    <w:rsid w:val="00937736"/>
    <w:rsid w:val="0094014F"/>
    <w:rsid w:val="009410CC"/>
    <w:rsid w:val="00941294"/>
    <w:rsid w:val="00941887"/>
    <w:rsid w:val="00941C86"/>
    <w:rsid w:val="00941F30"/>
    <w:rsid w:val="0094223D"/>
    <w:rsid w:val="00942269"/>
    <w:rsid w:val="00942F8F"/>
    <w:rsid w:val="00943176"/>
    <w:rsid w:val="009439C7"/>
    <w:rsid w:val="00943FD6"/>
    <w:rsid w:val="00944209"/>
    <w:rsid w:val="009443A6"/>
    <w:rsid w:val="00944EC2"/>
    <w:rsid w:val="00944ED8"/>
    <w:rsid w:val="00944F19"/>
    <w:rsid w:val="00945217"/>
    <w:rsid w:val="00945713"/>
    <w:rsid w:val="00945BD9"/>
    <w:rsid w:val="00945CB3"/>
    <w:rsid w:val="00945F00"/>
    <w:rsid w:val="009468F1"/>
    <w:rsid w:val="00946918"/>
    <w:rsid w:val="00946D7E"/>
    <w:rsid w:val="00947379"/>
    <w:rsid w:val="00947497"/>
    <w:rsid w:val="009479BE"/>
    <w:rsid w:val="00947CAB"/>
    <w:rsid w:val="00947ED4"/>
    <w:rsid w:val="009505A9"/>
    <w:rsid w:val="009508AB"/>
    <w:rsid w:val="00950FB0"/>
    <w:rsid w:val="00952C24"/>
    <w:rsid w:val="00952C87"/>
    <w:rsid w:val="00952CE5"/>
    <w:rsid w:val="009539E0"/>
    <w:rsid w:val="00953C77"/>
    <w:rsid w:val="00953ED6"/>
    <w:rsid w:val="00953EEB"/>
    <w:rsid w:val="00954198"/>
    <w:rsid w:val="0095435A"/>
    <w:rsid w:val="009543E6"/>
    <w:rsid w:val="009549C4"/>
    <w:rsid w:val="00954A51"/>
    <w:rsid w:val="00954B12"/>
    <w:rsid w:val="0095520D"/>
    <w:rsid w:val="00955269"/>
    <w:rsid w:val="009553E0"/>
    <w:rsid w:val="00955C35"/>
    <w:rsid w:val="00955D1E"/>
    <w:rsid w:val="00956168"/>
    <w:rsid w:val="0095661E"/>
    <w:rsid w:val="00956721"/>
    <w:rsid w:val="00957008"/>
    <w:rsid w:val="009573B3"/>
    <w:rsid w:val="009574C5"/>
    <w:rsid w:val="009575DC"/>
    <w:rsid w:val="009577FC"/>
    <w:rsid w:val="00957BC6"/>
    <w:rsid w:val="00957C8C"/>
    <w:rsid w:val="009600A5"/>
    <w:rsid w:val="00960128"/>
    <w:rsid w:val="00960419"/>
    <w:rsid w:val="00960835"/>
    <w:rsid w:val="00960889"/>
    <w:rsid w:val="00960F36"/>
    <w:rsid w:val="00961ACD"/>
    <w:rsid w:val="00961B32"/>
    <w:rsid w:val="00961D30"/>
    <w:rsid w:val="00962189"/>
    <w:rsid w:val="00962649"/>
    <w:rsid w:val="0096286D"/>
    <w:rsid w:val="00962927"/>
    <w:rsid w:val="009629F3"/>
    <w:rsid w:val="00963389"/>
    <w:rsid w:val="00963391"/>
    <w:rsid w:val="009633B1"/>
    <w:rsid w:val="009635EE"/>
    <w:rsid w:val="0096380C"/>
    <w:rsid w:val="00963DA0"/>
    <w:rsid w:val="00964B6E"/>
    <w:rsid w:val="00964E71"/>
    <w:rsid w:val="0096577A"/>
    <w:rsid w:val="00965790"/>
    <w:rsid w:val="00965A09"/>
    <w:rsid w:val="00965AC5"/>
    <w:rsid w:val="00965FFC"/>
    <w:rsid w:val="00966319"/>
    <w:rsid w:val="00966493"/>
    <w:rsid w:val="00966738"/>
    <w:rsid w:val="00966918"/>
    <w:rsid w:val="00966A40"/>
    <w:rsid w:val="009671D3"/>
    <w:rsid w:val="009673FC"/>
    <w:rsid w:val="00967BDC"/>
    <w:rsid w:val="00970453"/>
    <w:rsid w:val="00970BBD"/>
    <w:rsid w:val="00970EF9"/>
    <w:rsid w:val="00971031"/>
    <w:rsid w:val="00971358"/>
    <w:rsid w:val="00971D76"/>
    <w:rsid w:val="00972044"/>
    <w:rsid w:val="009725D8"/>
    <w:rsid w:val="009728E2"/>
    <w:rsid w:val="00972DC1"/>
    <w:rsid w:val="009732FE"/>
    <w:rsid w:val="009739FA"/>
    <w:rsid w:val="00973B59"/>
    <w:rsid w:val="009747DE"/>
    <w:rsid w:val="00974D15"/>
    <w:rsid w:val="0097513F"/>
    <w:rsid w:val="009751BF"/>
    <w:rsid w:val="009751FA"/>
    <w:rsid w:val="00976AD8"/>
    <w:rsid w:val="00976AF3"/>
    <w:rsid w:val="009775F1"/>
    <w:rsid w:val="00980097"/>
    <w:rsid w:val="0098011D"/>
    <w:rsid w:val="0098030A"/>
    <w:rsid w:val="00980B1C"/>
    <w:rsid w:val="00980C51"/>
    <w:rsid w:val="00981047"/>
    <w:rsid w:val="00981202"/>
    <w:rsid w:val="00981250"/>
    <w:rsid w:val="009814B7"/>
    <w:rsid w:val="009817B3"/>
    <w:rsid w:val="00981F24"/>
    <w:rsid w:val="009828F8"/>
    <w:rsid w:val="00982A65"/>
    <w:rsid w:val="00983468"/>
    <w:rsid w:val="00983F1B"/>
    <w:rsid w:val="00983FA7"/>
    <w:rsid w:val="009841C9"/>
    <w:rsid w:val="00984355"/>
    <w:rsid w:val="00984418"/>
    <w:rsid w:val="0098451B"/>
    <w:rsid w:val="009854AA"/>
    <w:rsid w:val="0098580C"/>
    <w:rsid w:val="00985AB6"/>
    <w:rsid w:val="009868AC"/>
    <w:rsid w:val="00987242"/>
    <w:rsid w:val="00987271"/>
    <w:rsid w:val="009873D1"/>
    <w:rsid w:val="009905CB"/>
    <w:rsid w:val="0099095F"/>
    <w:rsid w:val="00990A42"/>
    <w:rsid w:val="0099139F"/>
    <w:rsid w:val="00991729"/>
    <w:rsid w:val="00992014"/>
    <w:rsid w:val="009923E2"/>
    <w:rsid w:val="0099275C"/>
    <w:rsid w:val="00992AEB"/>
    <w:rsid w:val="00992F66"/>
    <w:rsid w:val="0099349B"/>
    <w:rsid w:val="00993B2C"/>
    <w:rsid w:val="00993C31"/>
    <w:rsid w:val="009945D4"/>
    <w:rsid w:val="00994E93"/>
    <w:rsid w:val="0099521A"/>
    <w:rsid w:val="0099522F"/>
    <w:rsid w:val="0099592F"/>
    <w:rsid w:val="00996409"/>
    <w:rsid w:val="00996AB3"/>
    <w:rsid w:val="00996EAA"/>
    <w:rsid w:val="00997574"/>
    <w:rsid w:val="00997C4F"/>
    <w:rsid w:val="00997FEF"/>
    <w:rsid w:val="009A020B"/>
    <w:rsid w:val="009A143C"/>
    <w:rsid w:val="009A2624"/>
    <w:rsid w:val="009A290A"/>
    <w:rsid w:val="009A2A74"/>
    <w:rsid w:val="009A2E98"/>
    <w:rsid w:val="009A3071"/>
    <w:rsid w:val="009A3491"/>
    <w:rsid w:val="009A3604"/>
    <w:rsid w:val="009A3843"/>
    <w:rsid w:val="009A3F56"/>
    <w:rsid w:val="009A4730"/>
    <w:rsid w:val="009A4E93"/>
    <w:rsid w:val="009A501F"/>
    <w:rsid w:val="009A570D"/>
    <w:rsid w:val="009A5762"/>
    <w:rsid w:val="009A57F2"/>
    <w:rsid w:val="009A5940"/>
    <w:rsid w:val="009A5E1B"/>
    <w:rsid w:val="009A61F0"/>
    <w:rsid w:val="009A6455"/>
    <w:rsid w:val="009A6C71"/>
    <w:rsid w:val="009A7043"/>
    <w:rsid w:val="009A757F"/>
    <w:rsid w:val="009A78AD"/>
    <w:rsid w:val="009A7D73"/>
    <w:rsid w:val="009B015D"/>
    <w:rsid w:val="009B051C"/>
    <w:rsid w:val="009B0B54"/>
    <w:rsid w:val="009B0C1F"/>
    <w:rsid w:val="009B121E"/>
    <w:rsid w:val="009B1842"/>
    <w:rsid w:val="009B1BD7"/>
    <w:rsid w:val="009B1D97"/>
    <w:rsid w:val="009B2326"/>
    <w:rsid w:val="009B237E"/>
    <w:rsid w:val="009B25DA"/>
    <w:rsid w:val="009B3203"/>
    <w:rsid w:val="009B3532"/>
    <w:rsid w:val="009B39CA"/>
    <w:rsid w:val="009B3E30"/>
    <w:rsid w:val="009B4755"/>
    <w:rsid w:val="009B4C63"/>
    <w:rsid w:val="009B5119"/>
    <w:rsid w:val="009B515A"/>
    <w:rsid w:val="009B5163"/>
    <w:rsid w:val="009B51EC"/>
    <w:rsid w:val="009B5326"/>
    <w:rsid w:val="009B5D10"/>
    <w:rsid w:val="009B5D5A"/>
    <w:rsid w:val="009B6974"/>
    <w:rsid w:val="009B6A75"/>
    <w:rsid w:val="009B6B75"/>
    <w:rsid w:val="009B6E2A"/>
    <w:rsid w:val="009B6F9E"/>
    <w:rsid w:val="009B7807"/>
    <w:rsid w:val="009B7BD3"/>
    <w:rsid w:val="009C0121"/>
    <w:rsid w:val="009C05C4"/>
    <w:rsid w:val="009C0808"/>
    <w:rsid w:val="009C0844"/>
    <w:rsid w:val="009C0C16"/>
    <w:rsid w:val="009C0F63"/>
    <w:rsid w:val="009C114E"/>
    <w:rsid w:val="009C1D47"/>
    <w:rsid w:val="009C1F06"/>
    <w:rsid w:val="009C212A"/>
    <w:rsid w:val="009C230C"/>
    <w:rsid w:val="009C241F"/>
    <w:rsid w:val="009C3314"/>
    <w:rsid w:val="009C37AA"/>
    <w:rsid w:val="009C4CCE"/>
    <w:rsid w:val="009C5A66"/>
    <w:rsid w:val="009C6091"/>
    <w:rsid w:val="009C6213"/>
    <w:rsid w:val="009C6753"/>
    <w:rsid w:val="009C6E61"/>
    <w:rsid w:val="009C6E7D"/>
    <w:rsid w:val="009C734A"/>
    <w:rsid w:val="009C7436"/>
    <w:rsid w:val="009C743E"/>
    <w:rsid w:val="009C7AAC"/>
    <w:rsid w:val="009C7F5E"/>
    <w:rsid w:val="009D014B"/>
    <w:rsid w:val="009D027C"/>
    <w:rsid w:val="009D04FD"/>
    <w:rsid w:val="009D064D"/>
    <w:rsid w:val="009D0688"/>
    <w:rsid w:val="009D0CC4"/>
    <w:rsid w:val="009D1BF3"/>
    <w:rsid w:val="009D2193"/>
    <w:rsid w:val="009D2553"/>
    <w:rsid w:val="009D26A0"/>
    <w:rsid w:val="009D27FA"/>
    <w:rsid w:val="009D287D"/>
    <w:rsid w:val="009D3086"/>
    <w:rsid w:val="009D390B"/>
    <w:rsid w:val="009D4173"/>
    <w:rsid w:val="009D4862"/>
    <w:rsid w:val="009D5679"/>
    <w:rsid w:val="009D5A3B"/>
    <w:rsid w:val="009D5A6E"/>
    <w:rsid w:val="009D64FB"/>
    <w:rsid w:val="009D65F3"/>
    <w:rsid w:val="009D74B2"/>
    <w:rsid w:val="009D74F7"/>
    <w:rsid w:val="009D7892"/>
    <w:rsid w:val="009E017D"/>
    <w:rsid w:val="009E0246"/>
    <w:rsid w:val="009E059B"/>
    <w:rsid w:val="009E05D2"/>
    <w:rsid w:val="009E074E"/>
    <w:rsid w:val="009E0FE4"/>
    <w:rsid w:val="009E1061"/>
    <w:rsid w:val="009E14BD"/>
    <w:rsid w:val="009E1778"/>
    <w:rsid w:val="009E1E80"/>
    <w:rsid w:val="009E1F6D"/>
    <w:rsid w:val="009E3226"/>
    <w:rsid w:val="009E35C5"/>
    <w:rsid w:val="009E361E"/>
    <w:rsid w:val="009E3668"/>
    <w:rsid w:val="009E3845"/>
    <w:rsid w:val="009E3BB5"/>
    <w:rsid w:val="009E4324"/>
    <w:rsid w:val="009E4772"/>
    <w:rsid w:val="009E4E44"/>
    <w:rsid w:val="009E515C"/>
    <w:rsid w:val="009E5515"/>
    <w:rsid w:val="009E7229"/>
    <w:rsid w:val="009F0263"/>
    <w:rsid w:val="009F046D"/>
    <w:rsid w:val="009F0E14"/>
    <w:rsid w:val="009F1914"/>
    <w:rsid w:val="009F1A30"/>
    <w:rsid w:val="009F1FAC"/>
    <w:rsid w:val="009F2ACF"/>
    <w:rsid w:val="009F2F3A"/>
    <w:rsid w:val="009F3B0B"/>
    <w:rsid w:val="009F3DAE"/>
    <w:rsid w:val="009F45AD"/>
    <w:rsid w:val="009F4879"/>
    <w:rsid w:val="009F4FC8"/>
    <w:rsid w:val="009F5623"/>
    <w:rsid w:val="009F580E"/>
    <w:rsid w:val="009F6739"/>
    <w:rsid w:val="009F6B24"/>
    <w:rsid w:val="009F7390"/>
    <w:rsid w:val="009F786F"/>
    <w:rsid w:val="009F7C54"/>
    <w:rsid w:val="00A000EA"/>
    <w:rsid w:val="00A00605"/>
    <w:rsid w:val="00A00FAF"/>
    <w:rsid w:val="00A01FE3"/>
    <w:rsid w:val="00A02196"/>
    <w:rsid w:val="00A0248C"/>
    <w:rsid w:val="00A02B8A"/>
    <w:rsid w:val="00A02EFB"/>
    <w:rsid w:val="00A037FD"/>
    <w:rsid w:val="00A0387D"/>
    <w:rsid w:val="00A04B78"/>
    <w:rsid w:val="00A04D14"/>
    <w:rsid w:val="00A04FF1"/>
    <w:rsid w:val="00A05568"/>
    <w:rsid w:val="00A0576A"/>
    <w:rsid w:val="00A0595E"/>
    <w:rsid w:val="00A06376"/>
    <w:rsid w:val="00A06A23"/>
    <w:rsid w:val="00A06AC9"/>
    <w:rsid w:val="00A06B4D"/>
    <w:rsid w:val="00A06C0B"/>
    <w:rsid w:val="00A07097"/>
    <w:rsid w:val="00A0716B"/>
    <w:rsid w:val="00A07350"/>
    <w:rsid w:val="00A075B7"/>
    <w:rsid w:val="00A07D04"/>
    <w:rsid w:val="00A07D2C"/>
    <w:rsid w:val="00A1034E"/>
    <w:rsid w:val="00A10A68"/>
    <w:rsid w:val="00A11222"/>
    <w:rsid w:val="00A112AC"/>
    <w:rsid w:val="00A1164C"/>
    <w:rsid w:val="00A1174C"/>
    <w:rsid w:val="00A118C5"/>
    <w:rsid w:val="00A11926"/>
    <w:rsid w:val="00A11965"/>
    <w:rsid w:val="00A11ED8"/>
    <w:rsid w:val="00A12C41"/>
    <w:rsid w:val="00A13B1E"/>
    <w:rsid w:val="00A13B36"/>
    <w:rsid w:val="00A13F9E"/>
    <w:rsid w:val="00A14126"/>
    <w:rsid w:val="00A1420A"/>
    <w:rsid w:val="00A14767"/>
    <w:rsid w:val="00A14E4F"/>
    <w:rsid w:val="00A14F75"/>
    <w:rsid w:val="00A15F0F"/>
    <w:rsid w:val="00A15F52"/>
    <w:rsid w:val="00A1639E"/>
    <w:rsid w:val="00A16651"/>
    <w:rsid w:val="00A166D4"/>
    <w:rsid w:val="00A167E0"/>
    <w:rsid w:val="00A168D6"/>
    <w:rsid w:val="00A169DF"/>
    <w:rsid w:val="00A16BDC"/>
    <w:rsid w:val="00A1738D"/>
    <w:rsid w:val="00A17F57"/>
    <w:rsid w:val="00A20351"/>
    <w:rsid w:val="00A208E0"/>
    <w:rsid w:val="00A20DE0"/>
    <w:rsid w:val="00A21948"/>
    <w:rsid w:val="00A21C22"/>
    <w:rsid w:val="00A21FDF"/>
    <w:rsid w:val="00A22277"/>
    <w:rsid w:val="00A2342C"/>
    <w:rsid w:val="00A2386A"/>
    <w:rsid w:val="00A239B7"/>
    <w:rsid w:val="00A23B2B"/>
    <w:rsid w:val="00A2421A"/>
    <w:rsid w:val="00A258D8"/>
    <w:rsid w:val="00A259EC"/>
    <w:rsid w:val="00A25A8B"/>
    <w:rsid w:val="00A26978"/>
    <w:rsid w:val="00A26A4B"/>
    <w:rsid w:val="00A2736D"/>
    <w:rsid w:val="00A27444"/>
    <w:rsid w:val="00A27768"/>
    <w:rsid w:val="00A27932"/>
    <w:rsid w:val="00A3011A"/>
    <w:rsid w:val="00A3057B"/>
    <w:rsid w:val="00A30715"/>
    <w:rsid w:val="00A30EA6"/>
    <w:rsid w:val="00A312DC"/>
    <w:rsid w:val="00A31D47"/>
    <w:rsid w:val="00A32082"/>
    <w:rsid w:val="00A3257A"/>
    <w:rsid w:val="00A328C6"/>
    <w:rsid w:val="00A32D1D"/>
    <w:rsid w:val="00A33812"/>
    <w:rsid w:val="00A33889"/>
    <w:rsid w:val="00A33C35"/>
    <w:rsid w:val="00A33E0D"/>
    <w:rsid w:val="00A33EAC"/>
    <w:rsid w:val="00A341D8"/>
    <w:rsid w:val="00A3465F"/>
    <w:rsid w:val="00A34B8D"/>
    <w:rsid w:val="00A353E1"/>
    <w:rsid w:val="00A35880"/>
    <w:rsid w:val="00A35F34"/>
    <w:rsid w:val="00A35FA9"/>
    <w:rsid w:val="00A36024"/>
    <w:rsid w:val="00A3645D"/>
    <w:rsid w:val="00A36806"/>
    <w:rsid w:val="00A36D16"/>
    <w:rsid w:val="00A4048E"/>
    <w:rsid w:val="00A40D9E"/>
    <w:rsid w:val="00A40EBB"/>
    <w:rsid w:val="00A40ECF"/>
    <w:rsid w:val="00A411DF"/>
    <w:rsid w:val="00A41838"/>
    <w:rsid w:val="00A41E80"/>
    <w:rsid w:val="00A4266C"/>
    <w:rsid w:val="00A4276D"/>
    <w:rsid w:val="00A43456"/>
    <w:rsid w:val="00A436D2"/>
    <w:rsid w:val="00A43F97"/>
    <w:rsid w:val="00A43FD2"/>
    <w:rsid w:val="00A44046"/>
    <w:rsid w:val="00A443E6"/>
    <w:rsid w:val="00A44455"/>
    <w:rsid w:val="00A44F13"/>
    <w:rsid w:val="00A45241"/>
    <w:rsid w:val="00A452AC"/>
    <w:rsid w:val="00A45C7B"/>
    <w:rsid w:val="00A463B1"/>
    <w:rsid w:val="00A46404"/>
    <w:rsid w:val="00A46A21"/>
    <w:rsid w:val="00A47A28"/>
    <w:rsid w:val="00A47EEB"/>
    <w:rsid w:val="00A500D8"/>
    <w:rsid w:val="00A508D6"/>
    <w:rsid w:val="00A50A18"/>
    <w:rsid w:val="00A51290"/>
    <w:rsid w:val="00A515DF"/>
    <w:rsid w:val="00A518FE"/>
    <w:rsid w:val="00A51A17"/>
    <w:rsid w:val="00A51AD7"/>
    <w:rsid w:val="00A51E35"/>
    <w:rsid w:val="00A524D2"/>
    <w:rsid w:val="00A52505"/>
    <w:rsid w:val="00A52E11"/>
    <w:rsid w:val="00A530A2"/>
    <w:rsid w:val="00A53252"/>
    <w:rsid w:val="00A53859"/>
    <w:rsid w:val="00A544EF"/>
    <w:rsid w:val="00A54C24"/>
    <w:rsid w:val="00A5512A"/>
    <w:rsid w:val="00A55477"/>
    <w:rsid w:val="00A555C2"/>
    <w:rsid w:val="00A55759"/>
    <w:rsid w:val="00A55A47"/>
    <w:rsid w:val="00A5600F"/>
    <w:rsid w:val="00A56681"/>
    <w:rsid w:val="00A56990"/>
    <w:rsid w:val="00A569CF"/>
    <w:rsid w:val="00A57114"/>
    <w:rsid w:val="00A57146"/>
    <w:rsid w:val="00A577CE"/>
    <w:rsid w:val="00A57A93"/>
    <w:rsid w:val="00A600A1"/>
    <w:rsid w:val="00A60318"/>
    <w:rsid w:val="00A6035D"/>
    <w:rsid w:val="00A61541"/>
    <w:rsid w:val="00A61B19"/>
    <w:rsid w:val="00A61F5A"/>
    <w:rsid w:val="00A620C8"/>
    <w:rsid w:val="00A621EA"/>
    <w:rsid w:val="00A62409"/>
    <w:rsid w:val="00A62A45"/>
    <w:rsid w:val="00A63104"/>
    <w:rsid w:val="00A6321D"/>
    <w:rsid w:val="00A6351F"/>
    <w:rsid w:val="00A63658"/>
    <w:rsid w:val="00A63F94"/>
    <w:rsid w:val="00A6441F"/>
    <w:rsid w:val="00A64569"/>
    <w:rsid w:val="00A646D4"/>
    <w:rsid w:val="00A64B5B"/>
    <w:rsid w:val="00A64EB5"/>
    <w:rsid w:val="00A652FA"/>
    <w:rsid w:val="00A6539A"/>
    <w:rsid w:val="00A654E5"/>
    <w:rsid w:val="00A667E4"/>
    <w:rsid w:val="00A6691E"/>
    <w:rsid w:val="00A66A72"/>
    <w:rsid w:val="00A66ACF"/>
    <w:rsid w:val="00A66C45"/>
    <w:rsid w:val="00A6734D"/>
    <w:rsid w:val="00A67476"/>
    <w:rsid w:val="00A704D2"/>
    <w:rsid w:val="00A70AD6"/>
    <w:rsid w:val="00A70BF5"/>
    <w:rsid w:val="00A71BBF"/>
    <w:rsid w:val="00A72582"/>
    <w:rsid w:val="00A72679"/>
    <w:rsid w:val="00A72A2B"/>
    <w:rsid w:val="00A72F89"/>
    <w:rsid w:val="00A730A0"/>
    <w:rsid w:val="00A7393C"/>
    <w:rsid w:val="00A73A24"/>
    <w:rsid w:val="00A73ACF"/>
    <w:rsid w:val="00A763B0"/>
    <w:rsid w:val="00A77350"/>
    <w:rsid w:val="00A77696"/>
    <w:rsid w:val="00A778CE"/>
    <w:rsid w:val="00A80C00"/>
    <w:rsid w:val="00A80D20"/>
    <w:rsid w:val="00A80E9B"/>
    <w:rsid w:val="00A8204E"/>
    <w:rsid w:val="00A82109"/>
    <w:rsid w:val="00A82C37"/>
    <w:rsid w:val="00A83082"/>
    <w:rsid w:val="00A836BB"/>
    <w:rsid w:val="00A83C3B"/>
    <w:rsid w:val="00A83C6D"/>
    <w:rsid w:val="00A83DE8"/>
    <w:rsid w:val="00A840FD"/>
    <w:rsid w:val="00A84E24"/>
    <w:rsid w:val="00A853F0"/>
    <w:rsid w:val="00A8552A"/>
    <w:rsid w:val="00A858B6"/>
    <w:rsid w:val="00A85A45"/>
    <w:rsid w:val="00A85B1F"/>
    <w:rsid w:val="00A85DB7"/>
    <w:rsid w:val="00A8636C"/>
    <w:rsid w:val="00A86FD3"/>
    <w:rsid w:val="00A870A9"/>
    <w:rsid w:val="00A8726A"/>
    <w:rsid w:val="00A87376"/>
    <w:rsid w:val="00A873CD"/>
    <w:rsid w:val="00A874F9"/>
    <w:rsid w:val="00A8781A"/>
    <w:rsid w:val="00A8784D"/>
    <w:rsid w:val="00A8785B"/>
    <w:rsid w:val="00A908F5"/>
    <w:rsid w:val="00A910D9"/>
    <w:rsid w:val="00A91146"/>
    <w:rsid w:val="00A91558"/>
    <w:rsid w:val="00A917E2"/>
    <w:rsid w:val="00A91BB9"/>
    <w:rsid w:val="00A91BDA"/>
    <w:rsid w:val="00A920E6"/>
    <w:rsid w:val="00A9243F"/>
    <w:rsid w:val="00A9252D"/>
    <w:rsid w:val="00A92546"/>
    <w:rsid w:val="00A92969"/>
    <w:rsid w:val="00A92E4D"/>
    <w:rsid w:val="00A93542"/>
    <w:rsid w:val="00A937CD"/>
    <w:rsid w:val="00A941BA"/>
    <w:rsid w:val="00A94D15"/>
    <w:rsid w:val="00A94E02"/>
    <w:rsid w:val="00A95B8C"/>
    <w:rsid w:val="00A95DDB"/>
    <w:rsid w:val="00A966F9"/>
    <w:rsid w:val="00A96A50"/>
    <w:rsid w:val="00A96B7B"/>
    <w:rsid w:val="00A96E19"/>
    <w:rsid w:val="00A96FF2"/>
    <w:rsid w:val="00A97411"/>
    <w:rsid w:val="00A97590"/>
    <w:rsid w:val="00A975E0"/>
    <w:rsid w:val="00A977F0"/>
    <w:rsid w:val="00A979AF"/>
    <w:rsid w:val="00A97F43"/>
    <w:rsid w:val="00AA045E"/>
    <w:rsid w:val="00AA0561"/>
    <w:rsid w:val="00AA103E"/>
    <w:rsid w:val="00AA1168"/>
    <w:rsid w:val="00AA13FB"/>
    <w:rsid w:val="00AA141B"/>
    <w:rsid w:val="00AA1C4E"/>
    <w:rsid w:val="00AA213E"/>
    <w:rsid w:val="00AA2B38"/>
    <w:rsid w:val="00AA37A4"/>
    <w:rsid w:val="00AA38D3"/>
    <w:rsid w:val="00AA3EBB"/>
    <w:rsid w:val="00AA3ED3"/>
    <w:rsid w:val="00AA40DD"/>
    <w:rsid w:val="00AA4302"/>
    <w:rsid w:val="00AA4B43"/>
    <w:rsid w:val="00AA4CC2"/>
    <w:rsid w:val="00AA5099"/>
    <w:rsid w:val="00AA525F"/>
    <w:rsid w:val="00AA52A5"/>
    <w:rsid w:val="00AA5392"/>
    <w:rsid w:val="00AA5765"/>
    <w:rsid w:val="00AA578E"/>
    <w:rsid w:val="00AA5CDF"/>
    <w:rsid w:val="00AA61BF"/>
    <w:rsid w:val="00AA6350"/>
    <w:rsid w:val="00AA6513"/>
    <w:rsid w:val="00AA6977"/>
    <w:rsid w:val="00AA719C"/>
    <w:rsid w:val="00AA735A"/>
    <w:rsid w:val="00AA79F6"/>
    <w:rsid w:val="00AA7E64"/>
    <w:rsid w:val="00AB016B"/>
    <w:rsid w:val="00AB02AF"/>
    <w:rsid w:val="00AB0A78"/>
    <w:rsid w:val="00AB0C86"/>
    <w:rsid w:val="00AB18F3"/>
    <w:rsid w:val="00AB1B8B"/>
    <w:rsid w:val="00AB1FE0"/>
    <w:rsid w:val="00AB218B"/>
    <w:rsid w:val="00AB2BEB"/>
    <w:rsid w:val="00AB3201"/>
    <w:rsid w:val="00AB36D2"/>
    <w:rsid w:val="00AB3983"/>
    <w:rsid w:val="00AB39FF"/>
    <w:rsid w:val="00AB3F47"/>
    <w:rsid w:val="00AB406D"/>
    <w:rsid w:val="00AB483D"/>
    <w:rsid w:val="00AB4C54"/>
    <w:rsid w:val="00AB4D13"/>
    <w:rsid w:val="00AB4DEA"/>
    <w:rsid w:val="00AB5EA0"/>
    <w:rsid w:val="00AB6091"/>
    <w:rsid w:val="00AB612F"/>
    <w:rsid w:val="00AB6F93"/>
    <w:rsid w:val="00AB7288"/>
    <w:rsid w:val="00AB7990"/>
    <w:rsid w:val="00AB7BEE"/>
    <w:rsid w:val="00AC01DD"/>
    <w:rsid w:val="00AC0304"/>
    <w:rsid w:val="00AC1231"/>
    <w:rsid w:val="00AC156B"/>
    <w:rsid w:val="00AC15C0"/>
    <w:rsid w:val="00AC1FBB"/>
    <w:rsid w:val="00AC2696"/>
    <w:rsid w:val="00AC293D"/>
    <w:rsid w:val="00AC376F"/>
    <w:rsid w:val="00AC458B"/>
    <w:rsid w:val="00AC488C"/>
    <w:rsid w:val="00AC4B9D"/>
    <w:rsid w:val="00AC504D"/>
    <w:rsid w:val="00AC523A"/>
    <w:rsid w:val="00AC527B"/>
    <w:rsid w:val="00AC5292"/>
    <w:rsid w:val="00AC5F6E"/>
    <w:rsid w:val="00AC63BE"/>
    <w:rsid w:val="00AC63E3"/>
    <w:rsid w:val="00AC667E"/>
    <w:rsid w:val="00AC6AB7"/>
    <w:rsid w:val="00AC6CC9"/>
    <w:rsid w:val="00AC7495"/>
    <w:rsid w:val="00AD01B1"/>
    <w:rsid w:val="00AD023E"/>
    <w:rsid w:val="00AD04F4"/>
    <w:rsid w:val="00AD061C"/>
    <w:rsid w:val="00AD08BF"/>
    <w:rsid w:val="00AD169B"/>
    <w:rsid w:val="00AD2380"/>
    <w:rsid w:val="00AD26C2"/>
    <w:rsid w:val="00AD292D"/>
    <w:rsid w:val="00AD2E02"/>
    <w:rsid w:val="00AD318A"/>
    <w:rsid w:val="00AD377F"/>
    <w:rsid w:val="00AD3DE8"/>
    <w:rsid w:val="00AD3E2F"/>
    <w:rsid w:val="00AD4000"/>
    <w:rsid w:val="00AD43E0"/>
    <w:rsid w:val="00AD451C"/>
    <w:rsid w:val="00AD4652"/>
    <w:rsid w:val="00AD4D3D"/>
    <w:rsid w:val="00AD51EE"/>
    <w:rsid w:val="00AD5589"/>
    <w:rsid w:val="00AD5B83"/>
    <w:rsid w:val="00AD791E"/>
    <w:rsid w:val="00AE00D9"/>
    <w:rsid w:val="00AE04DA"/>
    <w:rsid w:val="00AE05F4"/>
    <w:rsid w:val="00AE0C82"/>
    <w:rsid w:val="00AE0D97"/>
    <w:rsid w:val="00AE1149"/>
    <w:rsid w:val="00AE120B"/>
    <w:rsid w:val="00AE146D"/>
    <w:rsid w:val="00AE15C8"/>
    <w:rsid w:val="00AE1A26"/>
    <w:rsid w:val="00AE2144"/>
    <w:rsid w:val="00AE2342"/>
    <w:rsid w:val="00AE2365"/>
    <w:rsid w:val="00AE2879"/>
    <w:rsid w:val="00AE32D6"/>
    <w:rsid w:val="00AE353F"/>
    <w:rsid w:val="00AE3DB9"/>
    <w:rsid w:val="00AE4289"/>
    <w:rsid w:val="00AE4349"/>
    <w:rsid w:val="00AE48A3"/>
    <w:rsid w:val="00AE4FBB"/>
    <w:rsid w:val="00AE5837"/>
    <w:rsid w:val="00AE5852"/>
    <w:rsid w:val="00AE5CEC"/>
    <w:rsid w:val="00AE5F5F"/>
    <w:rsid w:val="00AE60CB"/>
    <w:rsid w:val="00AE651F"/>
    <w:rsid w:val="00AE679B"/>
    <w:rsid w:val="00AE6B26"/>
    <w:rsid w:val="00AE70AE"/>
    <w:rsid w:val="00AE70C1"/>
    <w:rsid w:val="00AE70C8"/>
    <w:rsid w:val="00AE724E"/>
    <w:rsid w:val="00AE780B"/>
    <w:rsid w:val="00AE7E32"/>
    <w:rsid w:val="00AF01F1"/>
    <w:rsid w:val="00AF1137"/>
    <w:rsid w:val="00AF11B7"/>
    <w:rsid w:val="00AF18CE"/>
    <w:rsid w:val="00AF31C0"/>
    <w:rsid w:val="00AF3836"/>
    <w:rsid w:val="00AF418E"/>
    <w:rsid w:val="00AF454E"/>
    <w:rsid w:val="00AF456E"/>
    <w:rsid w:val="00AF53F9"/>
    <w:rsid w:val="00AF55C6"/>
    <w:rsid w:val="00AF59A1"/>
    <w:rsid w:val="00AF5D9F"/>
    <w:rsid w:val="00AF5EFE"/>
    <w:rsid w:val="00AF650D"/>
    <w:rsid w:val="00AF6CE1"/>
    <w:rsid w:val="00AF7EC6"/>
    <w:rsid w:val="00B000A4"/>
    <w:rsid w:val="00B0090F"/>
    <w:rsid w:val="00B00D34"/>
    <w:rsid w:val="00B012D0"/>
    <w:rsid w:val="00B013B4"/>
    <w:rsid w:val="00B013CF"/>
    <w:rsid w:val="00B0256C"/>
    <w:rsid w:val="00B03381"/>
    <w:rsid w:val="00B037A6"/>
    <w:rsid w:val="00B039F9"/>
    <w:rsid w:val="00B03F95"/>
    <w:rsid w:val="00B04A27"/>
    <w:rsid w:val="00B051EE"/>
    <w:rsid w:val="00B052EE"/>
    <w:rsid w:val="00B05759"/>
    <w:rsid w:val="00B060A6"/>
    <w:rsid w:val="00B06565"/>
    <w:rsid w:val="00B06592"/>
    <w:rsid w:val="00B06FB6"/>
    <w:rsid w:val="00B07DD2"/>
    <w:rsid w:val="00B119AB"/>
    <w:rsid w:val="00B11B27"/>
    <w:rsid w:val="00B12512"/>
    <w:rsid w:val="00B12589"/>
    <w:rsid w:val="00B1258F"/>
    <w:rsid w:val="00B12A84"/>
    <w:rsid w:val="00B13016"/>
    <w:rsid w:val="00B13069"/>
    <w:rsid w:val="00B13679"/>
    <w:rsid w:val="00B1376E"/>
    <w:rsid w:val="00B13808"/>
    <w:rsid w:val="00B13BD5"/>
    <w:rsid w:val="00B1413A"/>
    <w:rsid w:val="00B143DD"/>
    <w:rsid w:val="00B14C49"/>
    <w:rsid w:val="00B14FA1"/>
    <w:rsid w:val="00B1582A"/>
    <w:rsid w:val="00B15D0F"/>
    <w:rsid w:val="00B16287"/>
    <w:rsid w:val="00B16313"/>
    <w:rsid w:val="00B16815"/>
    <w:rsid w:val="00B16A67"/>
    <w:rsid w:val="00B16A96"/>
    <w:rsid w:val="00B16C7F"/>
    <w:rsid w:val="00B16FB4"/>
    <w:rsid w:val="00B172A0"/>
    <w:rsid w:val="00B17321"/>
    <w:rsid w:val="00B173B9"/>
    <w:rsid w:val="00B17C10"/>
    <w:rsid w:val="00B17C14"/>
    <w:rsid w:val="00B201B9"/>
    <w:rsid w:val="00B205F4"/>
    <w:rsid w:val="00B20B9E"/>
    <w:rsid w:val="00B21121"/>
    <w:rsid w:val="00B21DD6"/>
    <w:rsid w:val="00B229F0"/>
    <w:rsid w:val="00B22C62"/>
    <w:rsid w:val="00B22DA9"/>
    <w:rsid w:val="00B23239"/>
    <w:rsid w:val="00B232A4"/>
    <w:rsid w:val="00B23BA7"/>
    <w:rsid w:val="00B24020"/>
    <w:rsid w:val="00B2436F"/>
    <w:rsid w:val="00B24A08"/>
    <w:rsid w:val="00B24FC7"/>
    <w:rsid w:val="00B25E1A"/>
    <w:rsid w:val="00B26747"/>
    <w:rsid w:val="00B26C4D"/>
    <w:rsid w:val="00B27361"/>
    <w:rsid w:val="00B27749"/>
    <w:rsid w:val="00B27898"/>
    <w:rsid w:val="00B278F5"/>
    <w:rsid w:val="00B305ED"/>
    <w:rsid w:val="00B30E43"/>
    <w:rsid w:val="00B30FBC"/>
    <w:rsid w:val="00B3152E"/>
    <w:rsid w:val="00B31ED7"/>
    <w:rsid w:val="00B3253A"/>
    <w:rsid w:val="00B32581"/>
    <w:rsid w:val="00B33887"/>
    <w:rsid w:val="00B3440C"/>
    <w:rsid w:val="00B34524"/>
    <w:rsid w:val="00B34986"/>
    <w:rsid w:val="00B350DA"/>
    <w:rsid w:val="00B3515C"/>
    <w:rsid w:val="00B3545B"/>
    <w:rsid w:val="00B35571"/>
    <w:rsid w:val="00B35BEB"/>
    <w:rsid w:val="00B35FF7"/>
    <w:rsid w:val="00B361DE"/>
    <w:rsid w:val="00B36374"/>
    <w:rsid w:val="00B36A82"/>
    <w:rsid w:val="00B36AB4"/>
    <w:rsid w:val="00B36D7E"/>
    <w:rsid w:val="00B37A8F"/>
    <w:rsid w:val="00B37C98"/>
    <w:rsid w:val="00B400DC"/>
    <w:rsid w:val="00B40314"/>
    <w:rsid w:val="00B403F0"/>
    <w:rsid w:val="00B40417"/>
    <w:rsid w:val="00B40B14"/>
    <w:rsid w:val="00B411BE"/>
    <w:rsid w:val="00B41AA2"/>
    <w:rsid w:val="00B41EFB"/>
    <w:rsid w:val="00B422EA"/>
    <w:rsid w:val="00B42973"/>
    <w:rsid w:val="00B42CFF"/>
    <w:rsid w:val="00B43239"/>
    <w:rsid w:val="00B43584"/>
    <w:rsid w:val="00B445F7"/>
    <w:rsid w:val="00B44636"/>
    <w:rsid w:val="00B44C3F"/>
    <w:rsid w:val="00B45233"/>
    <w:rsid w:val="00B45846"/>
    <w:rsid w:val="00B46168"/>
    <w:rsid w:val="00B464DD"/>
    <w:rsid w:val="00B4656E"/>
    <w:rsid w:val="00B46AC0"/>
    <w:rsid w:val="00B470FD"/>
    <w:rsid w:val="00B4714C"/>
    <w:rsid w:val="00B47511"/>
    <w:rsid w:val="00B47577"/>
    <w:rsid w:val="00B477AA"/>
    <w:rsid w:val="00B47CA6"/>
    <w:rsid w:val="00B507A7"/>
    <w:rsid w:val="00B5182E"/>
    <w:rsid w:val="00B51999"/>
    <w:rsid w:val="00B52612"/>
    <w:rsid w:val="00B5274F"/>
    <w:rsid w:val="00B52B54"/>
    <w:rsid w:val="00B5345F"/>
    <w:rsid w:val="00B53739"/>
    <w:rsid w:val="00B54466"/>
    <w:rsid w:val="00B54EC5"/>
    <w:rsid w:val="00B5540E"/>
    <w:rsid w:val="00B5547D"/>
    <w:rsid w:val="00B554C2"/>
    <w:rsid w:val="00B55A99"/>
    <w:rsid w:val="00B55F47"/>
    <w:rsid w:val="00B563EE"/>
    <w:rsid w:val="00B56514"/>
    <w:rsid w:val="00B56571"/>
    <w:rsid w:val="00B565FE"/>
    <w:rsid w:val="00B56757"/>
    <w:rsid w:val="00B56CF3"/>
    <w:rsid w:val="00B572DB"/>
    <w:rsid w:val="00B5769A"/>
    <w:rsid w:val="00B579E4"/>
    <w:rsid w:val="00B57C23"/>
    <w:rsid w:val="00B57C45"/>
    <w:rsid w:val="00B57E38"/>
    <w:rsid w:val="00B60169"/>
    <w:rsid w:val="00B60D93"/>
    <w:rsid w:val="00B61CB8"/>
    <w:rsid w:val="00B6209C"/>
    <w:rsid w:val="00B621C8"/>
    <w:rsid w:val="00B6221D"/>
    <w:rsid w:val="00B62512"/>
    <w:rsid w:val="00B6353E"/>
    <w:rsid w:val="00B63BCA"/>
    <w:rsid w:val="00B64078"/>
    <w:rsid w:val="00B6409E"/>
    <w:rsid w:val="00B64158"/>
    <w:rsid w:val="00B64F52"/>
    <w:rsid w:val="00B6554C"/>
    <w:rsid w:val="00B65866"/>
    <w:rsid w:val="00B658EB"/>
    <w:rsid w:val="00B65E68"/>
    <w:rsid w:val="00B65F8F"/>
    <w:rsid w:val="00B66544"/>
    <w:rsid w:val="00B6670B"/>
    <w:rsid w:val="00B6721C"/>
    <w:rsid w:val="00B67782"/>
    <w:rsid w:val="00B703E7"/>
    <w:rsid w:val="00B707F0"/>
    <w:rsid w:val="00B70A2C"/>
    <w:rsid w:val="00B70FFC"/>
    <w:rsid w:val="00B71868"/>
    <w:rsid w:val="00B7216B"/>
    <w:rsid w:val="00B723A8"/>
    <w:rsid w:val="00B724B9"/>
    <w:rsid w:val="00B72563"/>
    <w:rsid w:val="00B72B78"/>
    <w:rsid w:val="00B72E5A"/>
    <w:rsid w:val="00B73382"/>
    <w:rsid w:val="00B73BD1"/>
    <w:rsid w:val="00B745DC"/>
    <w:rsid w:val="00B74CB1"/>
    <w:rsid w:val="00B75011"/>
    <w:rsid w:val="00B7534E"/>
    <w:rsid w:val="00B75C2E"/>
    <w:rsid w:val="00B75E06"/>
    <w:rsid w:val="00B7673A"/>
    <w:rsid w:val="00B76860"/>
    <w:rsid w:val="00B76A86"/>
    <w:rsid w:val="00B76C89"/>
    <w:rsid w:val="00B76D3B"/>
    <w:rsid w:val="00B77900"/>
    <w:rsid w:val="00B77950"/>
    <w:rsid w:val="00B779B6"/>
    <w:rsid w:val="00B77A4A"/>
    <w:rsid w:val="00B77A7E"/>
    <w:rsid w:val="00B77F2E"/>
    <w:rsid w:val="00B801A4"/>
    <w:rsid w:val="00B8040B"/>
    <w:rsid w:val="00B80512"/>
    <w:rsid w:val="00B8080C"/>
    <w:rsid w:val="00B80CC7"/>
    <w:rsid w:val="00B81700"/>
    <w:rsid w:val="00B818B5"/>
    <w:rsid w:val="00B81E6A"/>
    <w:rsid w:val="00B81FB9"/>
    <w:rsid w:val="00B821A9"/>
    <w:rsid w:val="00B82B4D"/>
    <w:rsid w:val="00B82D69"/>
    <w:rsid w:val="00B8386E"/>
    <w:rsid w:val="00B83B23"/>
    <w:rsid w:val="00B841CD"/>
    <w:rsid w:val="00B8508B"/>
    <w:rsid w:val="00B85281"/>
    <w:rsid w:val="00B853C4"/>
    <w:rsid w:val="00B85650"/>
    <w:rsid w:val="00B8570D"/>
    <w:rsid w:val="00B8576F"/>
    <w:rsid w:val="00B85941"/>
    <w:rsid w:val="00B85D70"/>
    <w:rsid w:val="00B86110"/>
    <w:rsid w:val="00B8672E"/>
    <w:rsid w:val="00B87374"/>
    <w:rsid w:val="00B87662"/>
    <w:rsid w:val="00B87EB4"/>
    <w:rsid w:val="00B905D4"/>
    <w:rsid w:val="00B906E2"/>
    <w:rsid w:val="00B90E89"/>
    <w:rsid w:val="00B90EA8"/>
    <w:rsid w:val="00B91129"/>
    <w:rsid w:val="00B915D3"/>
    <w:rsid w:val="00B91D23"/>
    <w:rsid w:val="00B91E84"/>
    <w:rsid w:val="00B91F44"/>
    <w:rsid w:val="00B92542"/>
    <w:rsid w:val="00B92589"/>
    <w:rsid w:val="00B92E14"/>
    <w:rsid w:val="00B935A0"/>
    <w:rsid w:val="00B93CA1"/>
    <w:rsid w:val="00B9473D"/>
    <w:rsid w:val="00B94AA3"/>
    <w:rsid w:val="00B94BE9"/>
    <w:rsid w:val="00B95DE4"/>
    <w:rsid w:val="00B960B9"/>
    <w:rsid w:val="00B96367"/>
    <w:rsid w:val="00B966C3"/>
    <w:rsid w:val="00B9736E"/>
    <w:rsid w:val="00B97393"/>
    <w:rsid w:val="00B97610"/>
    <w:rsid w:val="00B97843"/>
    <w:rsid w:val="00B97908"/>
    <w:rsid w:val="00B97D85"/>
    <w:rsid w:val="00BA0199"/>
    <w:rsid w:val="00BA0314"/>
    <w:rsid w:val="00BA0342"/>
    <w:rsid w:val="00BA0499"/>
    <w:rsid w:val="00BA0533"/>
    <w:rsid w:val="00BA0A80"/>
    <w:rsid w:val="00BA0C69"/>
    <w:rsid w:val="00BA0CBA"/>
    <w:rsid w:val="00BA0D32"/>
    <w:rsid w:val="00BA1249"/>
    <w:rsid w:val="00BA13B6"/>
    <w:rsid w:val="00BA215B"/>
    <w:rsid w:val="00BA23F4"/>
    <w:rsid w:val="00BA2416"/>
    <w:rsid w:val="00BA280D"/>
    <w:rsid w:val="00BA29E1"/>
    <w:rsid w:val="00BA39A0"/>
    <w:rsid w:val="00BA515F"/>
    <w:rsid w:val="00BA54BA"/>
    <w:rsid w:val="00BA5AC3"/>
    <w:rsid w:val="00BA6006"/>
    <w:rsid w:val="00BA68EA"/>
    <w:rsid w:val="00BA73CA"/>
    <w:rsid w:val="00BA7906"/>
    <w:rsid w:val="00BA7A36"/>
    <w:rsid w:val="00BA7EB0"/>
    <w:rsid w:val="00BB006B"/>
    <w:rsid w:val="00BB006F"/>
    <w:rsid w:val="00BB057D"/>
    <w:rsid w:val="00BB0706"/>
    <w:rsid w:val="00BB0B04"/>
    <w:rsid w:val="00BB0FEE"/>
    <w:rsid w:val="00BB113A"/>
    <w:rsid w:val="00BB115A"/>
    <w:rsid w:val="00BB1466"/>
    <w:rsid w:val="00BB1598"/>
    <w:rsid w:val="00BB15C8"/>
    <w:rsid w:val="00BB15CD"/>
    <w:rsid w:val="00BB172B"/>
    <w:rsid w:val="00BB1829"/>
    <w:rsid w:val="00BB1E6E"/>
    <w:rsid w:val="00BB288C"/>
    <w:rsid w:val="00BB2CE2"/>
    <w:rsid w:val="00BB2DD0"/>
    <w:rsid w:val="00BB2E85"/>
    <w:rsid w:val="00BB2F62"/>
    <w:rsid w:val="00BB3293"/>
    <w:rsid w:val="00BB369A"/>
    <w:rsid w:val="00BB4162"/>
    <w:rsid w:val="00BB436A"/>
    <w:rsid w:val="00BB4613"/>
    <w:rsid w:val="00BB4B09"/>
    <w:rsid w:val="00BB4E74"/>
    <w:rsid w:val="00BB5191"/>
    <w:rsid w:val="00BB5A0D"/>
    <w:rsid w:val="00BB5C20"/>
    <w:rsid w:val="00BB6095"/>
    <w:rsid w:val="00BB62B1"/>
    <w:rsid w:val="00BB64FC"/>
    <w:rsid w:val="00BB6536"/>
    <w:rsid w:val="00BB74A1"/>
    <w:rsid w:val="00BB7810"/>
    <w:rsid w:val="00BC0037"/>
    <w:rsid w:val="00BC0681"/>
    <w:rsid w:val="00BC073A"/>
    <w:rsid w:val="00BC08FA"/>
    <w:rsid w:val="00BC0F06"/>
    <w:rsid w:val="00BC12C0"/>
    <w:rsid w:val="00BC16E7"/>
    <w:rsid w:val="00BC197E"/>
    <w:rsid w:val="00BC1B99"/>
    <w:rsid w:val="00BC217E"/>
    <w:rsid w:val="00BC3212"/>
    <w:rsid w:val="00BC386F"/>
    <w:rsid w:val="00BC3A79"/>
    <w:rsid w:val="00BC3ABE"/>
    <w:rsid w:val="00BC3F4D"/>
    <w:rsid w:val="00BC4799"/>
    <w:rsid w:val="00BC4987"/>
    <w:rsid w:val="00BC4EAC"/>
    <w:rsid w:val="00BC5324"/>
    <w:rsid w:val="00BC5671"/>
    <w:rsid w:val="00BC59E8"/>
    <w:rsid w:val="00BC5A23"/>
    <w:rsid w:val="00BC5A62"/>
    <w:rsid w:val="00BC5B1C"/>
    <w:rsid w:val="00BC6086"/>
    <w:rsid w:val="00BC60B2"/>
    <w:rsid w:val="00BC60D4"/>
    <w:rsid w:val="00BC678B"/>
    <w:rsid w:val="00BC6EF9"/>
    <w:rsid w:val="00BC705B"/>
    <w:rsid w:val="00BC7288"/>
    <w:rsid w:val="00BC77D9"/>
    <w:rsid w:val="00BC7A3F"/>
    <w:rsid w:val="00BD0190"/>
    <w:rsid w:val="00BD025A"/>
    <w:rsid w:val="00BD0B02"/>
    <w:rsid w:val="00BD0E38"/>
    <w:rsid w:val="00BD16A2"/>
    <w:rsid w:val="00BD1882"/>
    <w:rsid w:val="00BD1C45"/>
    <w:rsid w:val="00BD1C86"/>
    <w:rsid w:val="00BD1D57"/>
    <w:rsid w:val="00BD1EE8"/>
    <w:rsid w:val="00BD1F13"/>
    <w:rsid w:val="00BD2281"/>
    <w:rsid w:val="00BD22FA"/>
    <w:rsid w:val="00BD2795"/>
    <w:rsid w:val="00BD2DCC"/>
    <w:rsid w:val="00BD3005"/>
    <w:rsid w:val="00BD3195"/>
    <w:rsid w:val="00BD3819"/>
    <w:rsid w:val="00BD3865"/>
    <w:rsid w:val="00BD3A94"/>
    <w:rsid w:val="00BD40AB"/>
    <w:rsid w:val="00BD40FC"/>
    <w:rsid w:val="00BD49B2"/>
    <w:rsid w:val="00BD56F1"/>
    <w:rsid w:val="00BD5A2D"/>
    <w:rsid w:val="00BD5E31"/>
    <w:rsid w:val="00BD6064"/>
    <w:rsid w:val="00BD60D4"/>
    <w:rsid w:val="00BD6118"/>
    <w:rsid w:val="00BD6223"/>
    <w:rsid w:val="00BD65AD"/>
    <w:rsid w:val="00BD6830"/>
    <w:rsid w:val="00BD6F7D"/>
    <w:rsid w:val="00BE0B31"/>
    <w:rsid w:val="00BE1363"/>
    <w:rsid w:val="00BE195F"/>
    <w:rsid w:val="00BE1D18"/>
    <w:rsid w:val="00BE208F"/>
    <w:rsid w:val="00BE2094"/>
    <w:rsid w:val="00BE2524"/>
    <w:rsid w:val="00BE26AB"/>
    <w:rsid w:val="00BE2C97"/>
    <w:rsid w:val="00BE32D9"/>
    <w:rsid w:val="00BE3D3B"/>
    <w:rsid w:val="00BE488E"/>
    <w:rsid w:val="00BE4FFA"/>
    <w:rsid w:val="00BE5149"/>
    <w:rsid w:val="00BE520E"/>
    <w:rsid w:val="00BE5D8E"/>
    <w:rsid w:val="00BE5D9C"/>
    <w:rsid w:val="00BE5FFE"/>
    <w:rsid w:val="00BE682A"/>
    <w:rsid w:val="00BE6E8D"/>
    <w:rsid w:val="00BE6F73"/>
    <w:rsid w:val="00BE78D8"/>
    <w:rsid w:val="00BE794F"/>
    <w:rsid w:val="00BE7BBA"/>
    <w:rsid w:val="00BE7BD2"/>
    <w:rsid w:val="00BF04BF"/>
    <w:rsid w:val="00BF04E9"/>
    <w:rsid w:val="00BF0F49"/>
    <w:rsid w:val="00BF1198"/>
    <w:rsid w:val="00BF1670"/>
    <w:rsid w:val="00BF218E"/>
    <w:rsid w:val="00BF2A86"/>
    <w:rsid w:val="00BF2BC4"/>
    <w:rsid w:val="00BF3339"/>
    <w:rsid w:val="00BF346F"/>
    <w:rsid w:val="00BF3575"/>
    <w:rsid w:val="00BF3B1F"/>
    <w:rsid w:val="00BF418E"/>
    <w:rsid w:val="00BF4544"/>
    <w:rsid w:val="00BF4740"/>
    <w:rsid w:val="00BF5591"/>
    <w:rsid w:val="00BF561B"/>
    <w:rsid w:val="00BF587F"/>
    <w:rsid w:val="00BF5924"/>
    <w:rsid w:val="00BF5BA5"/>
    <w:rsid w:val="00BF5C32"/>
    <w:rsid w:val="00BF5C7F"/>
    <w:rsid w:val="00BF6482"/>
    <w:rsid w:val="00BF66CA"/>
    <w:rsid w:val="00BF73B0"/>
    <w:rsid w:val="00BF7572"/>
    <w:rsid w:val="00BF7D5E"/>
    <w:rsid w:val="00BF7ECC"/>
    <w:rsid w:val="00C00304"/>
    <w:rsid w:val="00C015B8"/>
    <w:rsid w:val="00C021B5"/>
    <w:rsid w:val="00C024B7"/>
    <w:rsid w:val="00C02561"/>
    <w:rsid w:val="00C02F8C"/>
    <w:rsid w:val="00C038DF"/>
    <w:rsid w:val="00C0395A"/>
    <w:rsid w:val="00C03AFF"/>
    <w:rsid w:val="00C0442C"/>
    <w:rsid w:val="00C04CF7"/>
    <w:rsid w:val="00C04D13"/>
    <w:rsid w:val="00C04D18"/>
    <w:rsid w:val="00C05149"/>
    <w:rsid w:val="00C0611F"/>
    <w:rsid w:val="00C06398"/>
    <w:rsid w:val="00C067BC"/>
    <w:rsid w:val="00C06E5D"/>
    <w:rsid w:val="00C06E7D"/>
    <w:rsid w:val="00C06FD2"/>
    <w:rsid w:val="00C0711A"/>
    <w:rsid w:val="00C07318"/>
    <w:rsid w:val="00C07648"/>
    <w:rsid w:val="00C079D1"/>
    <w:rsid w:val="00C07C2E"/>
    <w:rsid w:val="00C10413"/>
    <w:rsid w:val="00C104B3"/>
    <w:rsid w:val="00C1072C"/>
    <w:rsid w:val="00C108B1"/>
    <w:rsid w:val="00C11088"/>
    <w:rsid w:val="00C11095"/>
    <w:rsid w:val="00C11A0A"/>
    <w:rsid w:val="00C11B16"/>
    <w:rsid w:val="00C12363"/>
    <w:rsid w:val="00C128DE"/>
    <w:rsid w:val="00C1293F"/>
    <w:rsid w:val="00C1296A"/>
    <w:rsid w:val="00C12A1D"/>
    <w:rsid w:val="00C1337E"/>
    <w:rsid w:val="00C135BB"/>
    <w:rsid w:val="00C13D46"/>
    <w:rsid w:val="00C13E6F"/>
    <w:rsid w:val="00C14C18"/>
    <w:rsid w:val="00C14E4E"/>
    <w:rsid w:val="00C15211"/>
    <w:rsid w:val="00C15815"/>
    <w:rsid w:val="00C159E3"/>
    <w:rsid w:val="00C15B13"/>
    <w:rsid w:val="00C15D9B"/>
    <w:rsid w:val="00C15E96"/>
    <w:rsid w:val="00C16403"/>
    <w:rsid w:val="00C167F2"/>
    <w:rsid w:val="00C17A1E"/>
    <w:rsid w:val="00C17A20"/>
    <w:rsid w:val="00C17B08"/>
    <w:rsid w:val="00C20543"/>
    <w:rsid w:val="00C207FB"/>
    <w:rsid w:val="00C20DD0"/>
    <w:rsid w:val="00C2121E"/>
    <w:rsid w:val="00C21D0B"/>
    <w:rsid w:val="00C225AA"/>
    <w:rsid w:val="00C225F3"/>
    <w:rsid w:val="00C22695"/>
    <w:rsid w:val="00C22DAB"/>
    <w:rsid w:val="00C22F48"/>
    <w:rsid w:val="00C23095"/>
    <w:rsid w:val="00C23580"/>
    <w:rsid w:val="00C23AFB"/>
    <w:rsid w:val="00C245A6"/>
    <w:rsid w:val="00C24910"/>
    <w:rsid w:val="00C25342"/>
    <w:rsid w:val="00C25357"/>
    <w:rsid w:val="00C253AE"/>
    <w:rsid w:val="00C26A69"/>
    <w:rsid w:val="00C27284"/>
    <w:rsid w:val="00C275F6"/>
    <w:rsid w:val="00C27675"/>
    <w:rsid w:val="00C2773C"/>
    <w:rsid w:val="00C302A9"/>
    <w:rsid w:val="00C303A6"/>
    <w:rsid w:val="00C3048B"/>
    <w:rsid w:val="00C309C8"/>
    <w:rsid w:val="00C30F59"/>
    <w:rsid w:val="00C3159C"/>
    <w:rsid w:val="00C32028"/>
    <w:rsid w:val="00C320C3"/>
    <w:rsid w:val="00C3220A"/>
    <w:rsid w:val="00C3264C"/>
    <w:rsid w:val="00C328B5"/>
    <w:rsid w:val="00C328DA"/>
    <w:rsid w:val="00C33163"/>
    <w:rsid w:val="00C337DB"/>
    <w:rsid w:val="00C33AB5"/>
    <w:rsid w:val="00C33BB0"/>
    <w:rsid w:val="00C33DF1"/>
    <w:rsid w:val="00C34406"/>
    <w:rsid w:val="00C34669"/>
    <w:rsid w:val="00C35BE8"/>
    <w:rsid w:val="00C35C0A"/>
    <w:rsid w:val="00C35E4B"/>
    <w:rsid w:val="00C35E85"/>
    <w:rsid w:val="00C35EE7"/>
    <w:rsid w:val="00C36A19"/>
    <w:rsid w:val="00C36A5C"/>
    <w:rsid w:val="00C36AA2"/>
    <w:rsid w:val="00C36EF8"/>
    <w:rsid w:val="00C37113"/>
    <w:rsid w:val="00C37869"/>
    <w:rsid w:val="00C37990"/>
    <w:rsid w:val="00C37E29"/>
    <w:rsid w:val="00C40936"/>
    <w:rsid w:val="00C40ACF"/>
    <w:rsid w:val="00C40FDB"/>
    <w:rsid w:val="00C4116F"/>
    <w:rsid w:val="00C41522"/>
    <w:rsid w:val="00C419E4"/>
    <w:rsid w:val="00C419F6"/>
    <w:rsid w:val="00C41F1B"/>
    <w:rsid w:val="00C41F75"/>
    <w:rsid w:val="00C42BE9"/>
    <w:rsid w:val="00C43133"/>
    <w:rsid w:val="00C4361E"/>
    <w:rsid w:val="00C43699"/>
    <w:rsid w:val="00C43826"/>
    <w:rsid w:val="00C438BF"/>
    <w:rsid w:val="00C446A7"/>
    <w:rsid w:val="00C44811"/>
    <w:rsid w:val="00C448B7"/>
    <w:rsid w:val="00C44942"/>
    <w:rsid w:val="00C44A8F"/>
    <w:rsid w:val="00C44B42"/>
    <w:rsid w:val="00C44C25"/>
    <w:rsid w:val="00C44C3C"/>
    <w:rsid w:val="00C450C7"/>
    <w:rsid w:val="00C452BA"/>
    <w:rsid w:val="00C456DF"/>
    <w:rsid w:val="00C4577A"/>
    <w:rsid w:val="00C45D7D"/>
    <w:rsid w:val="00C46019"/>
    <w:rsid w:val="00C462A8"/>
    <w:rsid w:val="00C464CD"/>
    <w:rsid w:val="00C4687F"/>
    <w:rsid w:val="00C46982"/>
    <w:rsid w:val="00C46AC7"/>
    <w:rsid w:val="00C46D8A"/>
    <w:rsid w:val="00C46E21"/>
    <w:rsid w:val="00C479B9"/>
    <w:rsid w:val="00C47AFA"/>
    <w:rsid w:val="00C47C13"/>
    <w:rsid w:val="00C47CDD"/>
    <w:rsid w:val="00C50007"/>
    <w:rsid w:val="00C50936"/>
    <w:rsid w:val="00C50A93"/>
    <w:rsid w:val="00C50CCB"/>
    <w:rsid w:val="00C51013"/>
    <w:rsid w:val="00C513C2"/>
    <w:rsid w:val="00C5157E"/>
    <w:rsid w:val="00C51774"/>
    <w:rsid w:val="00C517A5"/>
    <w:rsid w:val="00C5229E"/>
    <w:rsid w:val="00C522AC"/>
    <w:rsid w:val="00C523E2"/>
    <w:rsid w:val="00C525FF"/>
    <w:rsid w:val="00C5298A"/>
    <w:rsid w:val="00C53282"/>
    <w:rsid w:val="00C53743"/>
    <w:rsid w:val="00C5396A"/>
    <w:rsid w:val="00C5397B"/>
    <w:rsid w:val="00C53B77"/>
    <w:rsid w:val="00C53F88"/>
    <w:rsid w:val="00C54120"/>
    <w:rsid w:val="00C54648"/>
    <w:rsid w:val="00C54A06"/>
    <w:rsid w:val="00C5540C"/>
    <w:rsid w:val="00C559BA"/>
    <w:rsid w:val="00C55F07"/>
    <w:rsid w:val="00C55FB2"/>
    <w:rsid w:val="00C56676"/>
    <w:rsid w:val="00C56F56"/>
    <w:rsid w:val="00C5727E"/>
    <w:rsid w:val="00C57999"/>
    <w:rsid w:val="00C61085"/>
    <w:rsid w:val="00C613B3"/>
    <w:rsid w:val="00C6146C"/>
    <w:rsid w:val="00C61580"/>
    <w:rsid w:val="00C61768"/>
    <w:rsid w:val="00C61A9E"/>
    <w:rsid w:val="00C61BC4"/>
    <w:rsid w:val="00C62519"/>
    <w:rsid w:val="00C62C2D"/>
    <w:rsid w:val="00C63685"/>
    <w:rsid w:val="00C63B91"/>
    <w:rsid w:val="00C64162"/>
    <w:rsid w:val="00C64EB4"/>
    <w:rsid w:val="00C6556E"/>
    <w:rsid w:val="00C65674"/>
    <w:rsid w:val="00C65922"/>
    <w:rsid w:val="00C65D35"/>
    <w:rsid w:val="00C665B2"/>
    <w:rsid w:val="00C66C45"/>
    <w:rsid w:val="00C67336"/>
    <w:rsid w:val="00C674A4"/>
    <w:rsid w:val="00C67A01"/>
    <w:rsid w:val="00C67D79"/>
    <w:rsid w:val="00C67DFC"/>
    <w:rsid w:val="00C70724"/>
    <w:rsid w:val="00C707BC"/>
    <w:rsid w:val="00C70C4B"/>
    <w:rsid w:val="00C70EF9"/>
    <w:rsid w:val="00C71357"/>
    <w:rsid w:val="00C7137E"/>
    <w:rsid w:val="00C713B6"/>
    <w:rsid w:val="00C7157B"/>
    <w:rsid w:val="00C716D6"/>
    <w:rsid w:val="00C72A86"/>
    <w:rsid w:val="00C72E6D"/>
    <w:rsid w:val="00C73388"/>
    <w:rsid w:val="00C7371A"/>
    <w:rsid w:val="00C739E3"/>
    <w:rsid w:val="00C73B44"/>
    <w:rsid w:val="00C7415D"/>
    <w:rsid w:val="00C7429B"/>
    <w:rsid w:val="00C746AE"/>
    <w:rsid w:val="00C75004"/>
    <w:rsid w:val="00C7586D"/>
    <w:rsid w:val="00C75B5E"/>
    <w:rsid w:val="00C76586"/>
    <w:rsid w:val="00C7695E"/>
    <w:rsid w:val="00C77069"/>
    <w:rsid w:val="00C7784D"/>
    <w:rsid w:val="00C80126"/>
    <w:rsid w:val="00C80156"/>
    <w:rsid w:val="00C802E6"/>
    <w:rsid w:val="00C8040C"/>
    <w:rsid w:val="00C80720"/>
    <w:rsid w:val="00C80DC8"/>
    <w:rsid w:val="00C8123F"/>
    <w:rsid w:val="00C814D8"/>
    <w:rsid w:val="00C814E4"/>
    <w:rsid w:val="00C816EB"/>
    <w:rsid w:val="00C81B1D"/>
    <w:rsid w:val="00C81C3D"/>
    <w:rsid w:val="00C82611"/>
    <w:rsid w:val="00C82927"/>
    <w:rsid w:val="00C829CF"/>
    <w:rsid w:val="00C82A3B"/>
    <w:rsid w:val="00C82B76"/>
    <w:rsid w:val="00C834B4"/>
    <w:rsid w:val="00C844BF"/>
    <w:rsid w:val="00C8457F"/>
    <w:rsid w:val="00C84AD3"/>
    <w:rsid w:val="00C84B7F"/>
    <w:rsid w:val="00C8528C"/>
    <w:rsid w:val="00C856F1"/>
    <w:rsid w:val="00C85A35"/>
    <w:rsid w:val="00C85CBA"/>
    <w:rsid w:val="00C8676B"/>
    <w:rsid w:val="00C86B86"/>
    <w:rsid w:val="00C86D0E"/>
    <w:rsid w:val="00C87127"/>
    <w:rsid w:val="00C872E1"/>
    <w:rsid w:val="00C8770A"/>
    <w:rsid w:val="00C87B72"/>
    <w:rsid w:val="00C87D82"/>
    <w:rsid w:val="00C90217"/>
    <w:rsid w:val="00C902F3"/>
    <w:rsid w:val="00C91314"/>
    <w:rsid w:val="00C91593"/>
    <w:rsid w:val="00C91B4B"/>
    <w:rsid w:val="00C9218C"/>
    <w:rsid w:val="00C9254B"/>
    <w:rsid w:val="00C929FA"/>
    <w:rsid w:val="00C92B7C"/>
    <w:rsid w:val="00C92F5A"/>
    <w:rsid w:val="00C9307F"/>
    <w:rsid w:val="00C9324E"/>
    <w:rsid w:val="00C93321"/>
    <w:rsid w:val="00C934B4"/>
    <w:rsid w:val="00C93CB0"/>
    <w:rsid w:val="00C93E38"/>
    <w:rsid w:val="00C940EA"/>
    <w:rsid w:val="00C94131"/>
    <w:rsid w:val="00C94847"/>
    <w:rsid w:val="00C94AE1"/>
    <w:rsid w:val="00C94CF6"/>
    <w:rsid w:val="00C94DB8"/>
    <w:rsid w:val="00C94E07"/>
    <w:rsid w:val="00C954B8"/>
    <w:rsid w:val="00C95BAA"/>
    <w:rsid w:val="00C95DD4"/>
    <w:rsid w:val="00C9607A"/>
    <w:rsid w:val="00C961AF"/>
    <w:rsid w:val="00C961C0"/>
    <w:rsid w:val="00C96E12"/>
    <w:rsid w:val="00C97066"/>
    <w:rsid w:val="00C977E8"/>
    <w:rsid w:val="00CA0B8F"/>
    <w:rsid w:val="00CA0F17"/>
    <w:rsid w:val="00CA0F1D"/>
    <w:rsid w:val="00CA0FC3"/>
    <w:rsid w:val="00CA136C"/>
    <w:rsid w:val="00CA189B"/>
    <w:rsid w:val="00CA1D19"/>
    <w:rsid w:val="00CA1ED1"/>
    <w:rsid w:val="00CA1F40"/>
    <w:rsid w:val="00CA2619"/>
    <w:rsid w:val="00CA2DC2"/>
    <w:rsid w:val="00CA2EF9"/>
    <w:rsid w:val="00CA31EC"/>
    <w:rsid w:val="00CA3364"/>
    <w:rsid w:val="00CA3851"/>
    <w:rsid w:val="00CA3B8B"/>
    <w:rsid w:val="00CA3D85"/>
    <w:rsid w:val="00CA3EE1"/>
    <w:rsid w:val="00CA40B0"/>
    <w:rsid w:val="00CA421C"/>
    <w:rsid w:val="00CA4885"/>
    <w:rsid w:val="00CA48A9"/>
    <w:rsid w:val="00CA491E"/>
    <w:rsid w:val="00CA5182"/>
    <w:rsid w:val="00CA5606"/>
    <w:rsid w:val="00CA5D57"/>
    <w:rsid w:val="00CA5E09"/>
    <w:rsid w:val="00CA6E21"/>
    <w:rsid w:val="00CA6F16"/>
    <w:rsid w:val="00CA77F9"/>
    <w:rsid w:val="00CA79EF"/>
    <w:rsid w:val="00CA7C0F"/>
    <w:rsid w:val="00CB1627"/>
    <w:rsid w:val="00CB1767"/>
    <w:rsid w:val="00CB1D38"/>
    <w:rsid w:val="00CB23D3"/>
    <w:rsid w:val="00CB25F3"/>
    <w:rsid w:val="00CB2A1A"/>
    <w:rsid w:val="00CB34B2"/>
    <w:rsid w:val="00CB3F0B"/>
    <w:rsid w:val="00CB41DA"/>
    <w:rsid w:val="00CB4459"/>
    <w:rsid w:val="00CB4636"/>
    <w:rsid w:val="00CB47ED"/>
    <w:rsid w:val="00CB5976"/>
    <w:rsid w:val="00CB6602"/>
    <w:rsid w:val="00CB698D"/>
    <w:rsid w:val="00CB6E9B"/>
    <w:rsid w:val="00CB72D7"/>
    <w:rsid w:val="00CC006F"/>
    <w:rsid w:val="00CC016B"/>
    <w:rsid w:val="00CC0D28"/>
    <w:rsid w:val="00CC12B9"/>
    <w:rsid w:val="00CC15C4"/>
    <w:rsid w:val="00CC1C40"/>
    <w:rsid w:val="00CC1C7F"/>
    <w:rsid w:val="00CC229A"/>
    <w:rsid w:val="00CC25CB"/>
    <w:rsid w:val="00CC2925"/>
    <w:rsid w:val="00CC3F0C"/>
    <w:rsid w:val="00CC478D"/>
    <w:rsid w:val="00CC4B1E"/>
    <w:rsid w:val="00CC4CB6"/>
    <w:rsid w:val="00CC4DCF"/>
    <w:rsid w:val="00CC549E"/>
    <w:rsid w:val="00CC614D"/>
    <w:rsid w:val="00CC6735"/>
    <w:rsid w:val="00CC6DB2"/>
    <w:rsid w:val="00CC6F1C"/>
    <w:rsid w:val="00CC7455"/>
    <w:rsid w:val="00CC7F8C"/>
    <w:rsid w:val="00CCDB9B"/>
    <w:rsid w:val="00CCF281"/>
    <w:rsid w:val="00CD079D"/>
    <w:rsid w:val="00CD0DD4"/>
    <w:rsid w:val="00CD122C"/>
    <w:rsid w:val="00CD1242"/>
    <w:rsid w:val="00CD170C"/>
    <w:rsid w:val="00CD212C"/>
    <w:rsid w:val="00CD24F4"/>
    <w:rsid w:val="00CD275B"/>
    <w:rsid w:val="00CD305C"/>
    <w:rsid w:val="00CD36F9"/>
    <w:rsid w:val="00CD372F"/>
    <w:rsid w:val="00CD3A0F"/>
    <w:rsid w:val="00CD3DE5"/>
    <w:rsid w:val="00CD448C"/>
    <w:rsid w:val="00CD4831"/>
    <w:rsid w:val="00CD59EF"/>
    <w:rsid w:val="00CD5FB0"/>
    <w:rsid w:val="00CD6B23"/>
    <w:rsid w:val="00CD6BEB"/>
    <w:rsid w:val="00CD6E4E"/>
    <w:rsid w:val="00CD7819"/>
    <w:rsid w:val="00CD7A00"/>
    <w:rsid w:val="00CD7B38"/>
    <w:rsid w:val="00CD7D73"/>
    <w:rsid w:val="00CE0761"/>
    <w:rsid w:val="00CE0B57"/>
    <w:rsid w:val="00CE135C"/>
    <w:rsid w:val="00CE19C5"/>
    <w:rsid w:val="00CE1ABB"/>
    <w:rsid w:val="00CE1F59"/>
    <w:rsid w:val="00CE2BAA"/>
    <w:rsid w:val="00CE31A9"/>
    <w:rsid w:val="00CE3262"/>
    <w:rsid w:val="00CE3819"/>
    <w:rsid w:val="00CE3A7F"/>
    <w:rsid w:val="00CE3CBE"/>
    <w:rsid w:val="00CE3DA4"/>
    <w:rsid w:val="00CE4040"/>
    <w:rsid w:val="00CE42D7"/>
    <w:rsid w:val="00CE4699"/>
    <w:rsid w:val="00CE5106"/>
    <w:rsid w:val="00CE5CA2"/>
    <w:rsid w:val="00CE5EDE"/>
    <w:rsid w:val="00CE6300"/>
    <w:rsid w:val="00CE6442"/>
    <w:rsid w:val="00CE64E7"/>
    <w:rsid w:val="00CE6589"/>
    <w:rsid w:val="00CE695D"/>
    <w:rsid w:val="00CE6EE6"/>
    <w:rsid w:val="00CE7952"/>
    <w:rsid w:val="00CE7CA7"/>
    <w:rsid w:val="00CF044C"/>
    <w:rsid w:val="00CF0896"/>
    <w:rsid w:val="00CF0EA3"/>
    <w:rsid w:val="00CF0F4D"/>
    <w:rsid w:val="00CF1182"/>
    <w:rsid w:val="00CF1346"/>
    <w:rsid w:val="00CF14CB"/>
    <w:rsid w:val="00CF1653"/>
    <w:rsid w:val="00CF1C26"/>
    <w:rsid w:val="00CF1FD4"/>
    <w:rsid w:val="00CF20D1"/>
    <w:rsid w:val="00CF27B2"/>
    <w:rsid w:val="00CF2FFA"/>
    <w:rsid w:val="00CF3058"/>
    <w:rsid w:val="00CF3964"/>
    <w:rsid w:val="00CF4A70"/>
    <w:rsid w:val="00CF5253"/>
    <w:rsid w:val="00CF5471"/>
    <w:rsid w:val="00CF5FC9"/>
    <w:rsid w:val="00CF6068"/>
    <w:rsid w:val="00CF6079"/>
    <w:rsid w:val="00CF60C3"/>
    <w:rsid w:val="00CF61E0"/>
    <w:rsid w:val="00CF6F59"/>
    <w:rsid w:val="00CF71C6"/>
    <w:rsid w:val="00CF7315"/>
    <w:rsid w:val="00CF79DB"/>
    <w:rsid w:val="00CF7B7F"/>
    <w:rsid w:val="00CF7DC4"/>
    <w:rsid w:val="00D000A8"/>
    <w:rsid w:val="00D0054D"/>
    <w:rsid w:val="00D00978"/>
    <w:rsid w:val="00D00DEF"/>
    <w:rsid w:val="00D00E2C"/>
    <w:rsid w:val="00D013D3"/>
    <w:rsid w:val="00D0170B"/>
    <w:rsid w:val="00D01C13"/>
    <w:rsid w:val="00D020FE"/>
    <w:rsid w:val="00D0232F"/>
    <w:rsid w:val="00D033D3"/>
    <w:rsid w:val="00D034A5"/>
    <w:rsid w:val="00D03A69"/>
    <w:rsid w:val="00D03D62"/>
    <w:rsid w:val="00D041D3"/>
    <w:rsid w:val="00D04727"/>
    <w:rsid w:val="00D04DFB"/>
    <w:rsid w:val="00D04FFD"/>
    <w:rsid w:val="00D051C3"/>
    <w:rsid w:val="00D055D0"/>
    <w:rsid w:val="00D05C3C"/>
    <w:rsid w:val="00D060BD"/>
    <w:rsid w:val="00D061B7"/>
    <w:rsid w:val="00D062C8"/>
    <w:rsid w:val="00D062D8"/>
    <w:rsid w:val="00D06533"/>
    <w:rsid w:val="00D06B7E"/>
    <w:rsid w:val="00D1046D"/>
    <w:rsid w:val="00D10DA4"/>
    <w:rsid w:val="00D11060"/>
    <w:rsid w:val="00D11D4E"/>
    <w:rsid w:val="00D12611"/>
    <w:rsid w:val="00D129BE"/>
    <w:rsid w:val="00D129ED"/>
    <w:rsid w:val="00D12F43"/>
    <w:rsid w:val="00D139DE"/>
    <w:rsid w:val="00D140D3"/>
    <w:rsid w:val="00D1468A"/>
    <w:rsid w:val="00D148C2"/>
    <w:rsid w:val="00D148E8"/>
    <w:rsid w:val="00D14AB4"/>
    <w:rsid w:val="00D14D2D"/>
    <w:rsid w:val="00D152B4"/>
    <w:rsid w:val="00D15443"/>
    <w:rsid w:val="00D15C89"/>
    <w:rsid w:val="00D17112"/>
    <w:rsid w:val="00D17513"/>
    <w:rsid w:val="00D17999"/>
    <w:rsid w:val="00D21CBF"/>
    <w:rsid w:val="00D22637"/>
    <w:rsid w:val="00D22AC1"/>
    <w:rsid w:val="00D22D35"/>
    <w:rsid w:val="00D235DE"/>
    <w:rsid w:val="00D23705"/>
    <w:rsid w:val="00D240DA"/>
    <w:rsid w:val="00D243E6"/>
    <w:rsid w:val="00D24483"/>
    <w:rsid w:val="00D24B85"/>
    <w:rsid w:val="00D24E53"/>
    <w:rsid w:val="00D251F0"/>
    <w:rsid w:val="00D25678"/>
    <w:rsid w:val="00D26065"/>
    <w:rsid w:val="00D26A95"/>
    <w:rsid w:val="00D26AC9"/>
    <w:rsid w:val="00D27064"/>
    <w:rsid w:val="00D27E40"/>
    <w:rsid w:val="00D27EF3"/>
    <w:rsid w:val="00D30182"/>
    <w:rsid w:val="00D30460"/>
    <w:rsid w:val="00D31B2A"/>
    <w:rsid w:val="00D3293F"/>
    <w:rsid w:val="00D32F1A"/>
    <w:rsid w:val="00D3328E"/>
    <w:rsid w:val="00D33314"/>
    <w:rsid w:val="00D33A43"/>
    <w:rsid w:val="00D33D39"/>
    <w:rsid w:val="00D34162"/>
    <w:rsid w:val="00D3492E"/>
    <w:rsid w:val="00D35480"/>
    <w:rsid w:val="00D35F09"/>
    <w:rsid w:val="00D35F67"/>
    <w:rsid w:val="00D3671D"/>
    <w:rsid w:val="00D379D6"/>
    <w:rsid w:val="00D37FB0"/>
    <w:rsid w:val="00D40514"/>
    <w:rsid w:val="00D408FB"/>
    <w:rsid w:val="00D411E2"/>
    <w:rsid w:val="00D414ED"/>
    <w:rsid w:val="00D417AA"/>
    <w:rsid w:val="00D4183F"/>
    <w:rsid w:val="00D41E0F"/>
    <w:rsid w:val="00D423E3"/>
    <w:rsid w:val="00D428C9"/>
    <w:rsid w:val="00D42D62"/>
    <w:rsid w:val="00D435BA"/>
    <w:rsid w:val="00D43AB4"/>
    <w:rsid w:val="00D43CB9"/>
    <w:rsid w:val="00D44169"/>
    <w:rsid w:val="00D44FE9"/>
    <w:rsid w:val="00D45817"/>
    <w:rsid w:val="00D45818"/>
    <w:rsid w:val="00D45AB8"/>
    <w:rsid w:val="00D45B42"/>
    <w:rsid w:val="00D45F4E"/>
    <w:rsid w:val="00D46B1F"/>
    <w:rsid w:val="00D46C7C"/>
    <w:rsid w:val="00D46EE0"/>
    <w:rsid w:val="00D46F1A"/>
    <w:rsid w:val="00D47018"/>
    <w:rsid w:val="00D473C2"/>
    <w:rsid w:val="00D473DB"/>
    <w:rsid w:val="00D4795C"/>
    <w:rsid w:val="00D47F37"/>
    <w:rsid w:val="00D507C0"/>
    <w:rsid w:val="00D50907"/>
    <w:rsid w:val="00D50D89"/>
    <w:rsid w:val="00D5144F"/>
    <w:rsid w:val="00D51AF7"/>
    <w:rsid w:val="00D51EA0"/>
    <w:rsid w:val="00D51F5C"/>
    <w:rsid w:val="00D52132"/>
    <w:rsid w:val="00D52247"/>
    <w:rsid w:val="00D524D3"/>
    <w:rsid w:val="00D52EBF"/>
    <w:rsid w:val="00D531D4"/>
    <w:rsid w:val="00D5329D"/>
    <w:rsid w:val="00D537E2"/>
    <w:rsid w:val="00D53808"/>
    <w:rsid w:val="00D53C20"/>
    <w:rsid w:val="00D53D3D"/>
    <w:rsid w:val="00D53F32"/>
    <w:rsid w:val="00D54169"/>
    <w:rsid w:val="00D54AD9"/>
    <w:rsid w:val="00D54D15"/>
    <w:rsid w:val="00D55260"/>
    <w:rsid w:val="00D55370"/>
    <w:rsid w:val="00D553AC"/>
    <w:rsid w:val="00D55476"/>
    <w:rsid w:val="00D554CD"/>
    <w:rsid w:val="00D56228"/>
    <w:rsid w:val="00D568CB"/>
    <w:rsid w:val="00D5735D"/>
    <w:rsid w:val="00D57515"/>
    <w:rsid w:val="00D57A6B"/>
    <w:rsid w:val="00D57CF2"/>
    <w:rsid w:val="00D600EF"/>
    <w:rsid w:val="00D601B1"/>
    <w:rsid w:val="00D60554"/>
    <w:rsid w:val="00D615BB"/>
    <w:rsid w:val="00D61886"/>
    <w:rsid w:val="00D61C5D"/>
    <w:rsid w:val="00D620CF"/>
    <w:rsid w:val="00D624FE"/>
    <w:rsid w:val="00D63051"/>
    <w:rsid w:val="00D633E9"/>
    <w:rsid w:val="00D6396C"/>
    <w:rsid w:val="00D63BD1"/>
    <w:rsid w:val="00D6403E"/>
    <w:rsid w:val="00D64330"/>
    <w:rsid w:val="00D64464"/>
    <w:rsid w:val="00D651FB"/>
    <w:rsid w:val="00D65450"/>
    <w:rsid w:val="00D65BAF"/>
    <w:rsid w:val="00D65BC2"/>
    <w:rsid w:val="00D66AF2"/>
    <w:rsid w:val="00D671EC"/>
    <w:rsid w:val="00D6781A"/>
    <w:rsid w:val="00D67841"/>
    <w:rsid w:val="00D678DC"/>
    <w:rsid w:val="00D67CAC"/>
    <w:rsid w:val="00D67F7B"/>
    <w:rsid w:val="00D7013B"/>
    <w:rsid w:val="00D70894"/>
    <w:rsid w:val="00D70E49"/>
    <w:rsid w:val="00D7118E"/>
    <w:rsid w:val="00D71461"/>
    <w:rsid w:val="00D7164C"/>
    <w:rsid w:val="00D71709"/>
    <w:rsid w:val="00D71847"/>
    <w:rsid w:val="00D71C04"/>
    <w:rsid w:val="00D72A30"/>
    <w:rsid w:val="00D72CE8"/>
    <w:rsid w:val="00D7319B"/>
    <w:rsid w:val="00D73DEA"/>
    <w:rsid w:val="00D743E0"/>
    <w:rsid w:val="00D7479A"/>
    <w:rsid w:val="00D74F6C"/>
    <w:rsid w:val="00D7563D"/>
    <w:rsid w:val="00D7565B"/>
    <w:rsid w:val="00D76043"/>
    <w:rsid w:val="00D76064"/>
    <w:rsid w:val="00D772E4"/>
    <w:rsid w:val="00D7763D"/>
    <w:rsid w:val="00D7769C"/>
    <w:rsid w:val="00D77ADA"/>
    <w:rsid w:val="00D803BB"/>
    <w:rsid w:val="00D80C00"/>
    <w:rsid w:val="00D80DBB"/>
    <w:rsid w:val="00D8116A"/>
    <w:rsid w:val="00D81334"/>
    <w:rsid w:val="00D81373"/>
    <w:rsid w:val="00D818FF"/>
    <w:rsid w:val="00D81C38"/>
    <w:rsid w:val="00D823C8"/>
    <w:rsid w:val="00D831D0"/>
    <w:rsid w:val="00D83B08"/>
    <w:rsid w:val="00D83C24"/>
    <w:rsid w:val="00D84A51"/>
    <w:rsid w:val="00D84A6C"/>
    <w:rsid w:val="00D84B0B"/>
    <w:rsid w:val="00D84E80"/>
    <w:rsid w:val="00D850FD"/>
    <w:rsid w:val="00D858B6"/>
    <w:rsid w:val="00D85F5C"/>
    <w:rsid w:val="00D86049"/>
    <w:rsid w:val="00D8654D"/>
    <w:rsid w:val="00D86745"/>
    <w:rsid w:val="00D869AC"/>
    <w:rsid w:val="00D86A47"/>
    <w:rsid w:val="00D86BDB"/>
    <w:rsid w:val="00D86E3A"/>
    <w:rsid w:val="00D872CD"/>
    <w:rsid w:val="00D879C6"/>
    <w:rsid w:val="00D87E0F"/>
    <w:rsid w:val="00D90739"/>
    <w:rsid w:val="00D90F59"/>
    <w:rsid w:val="00D912FF"/>
    <w:rsid w:val="00D919B7"/>
    <w:rsid w:val="00D91DF8"/>
    <w:rsid w:val="00D92A59"/>
    <w:rsid w:val="00D92E1D"/>
    <w:rsid w:val="00D9307A"/>
    <w:rsid w:val="00D931FD"/>
    <w:rsid w:val="00D93256"/>
    <w:rsid w:val="00D93648"/>
    <w:rsid w:val="00D942D1"/>
    <w:rsid w:val="00D94312"/>
    <w:rsid w:val="00D94A2D"/>
    <w:rsid w:val="00D94B28"/>
    <w:rsid w:val="00D94BE4"/>
    <w:rsid w:val="00D9523A"/>
    <w:rsid w:val="00D95D32"/>
    <w:rsid w:val="00D96213"/>
    <w:rsid w:val="00D9639F"/>
    <w:rsid w:val="00D96436"/>
    <w:rsid w:val="00D9647A"/>
    <w:rsid w:val="00D96490"/>
    <w:rsid w:val="00D968E8"/>
    <w:rsid w:val="00D96C80"/>
    <w:rsid w:val="00D975A2"/>
    <w:rsid w:val="00D975E0"/>
    <w:rsid w:val="00D97B2E"/>
    <w:rsid w:val="00DA0641"/>
    <w:rsid w:val="00DA0C47"/>
    <w:rsid w:val="00DA0D1A"/>
    <w:rsid w:val="00DA15ED"/>
    <w:rsid w:val="00DA25F5"/>
    <w:rsid w:val="00DA288D"/>
    <w:rsid w:val="00DA2EB8"/>
    <w:rsid w:val="00DA2F49"/>
    <w:rsid w:val="00DA41D7"/>
    <w:rsid w:val="00DA4288"/>
    <w:rsid w:val="00DA459A"/>
    <w:rsid w:val="00DA45C8"/>
    <w:rsid w:val="00DA484A"/>
    <w:rsid w:val="00DA49A5"/>
    <w:rsid w:val="00DA4EDF"/>
    <w:rsid w:val="00DA6369"/>
    <w:rsid w:val="00DA6B1A"/>
    <w:rsid w:val="00DA76E6"/>
    <w:rsid w:val="00DB016B"/>
    <w:rsid w:val="00DB0A30"/>
    <w:rsid w:val="00DB171F"/>
    <w:rsid w:val="00DB192A"/>
    <w:rsid w:val="00DB2F42"/>
    <w:rsid w:val="00DB3872"/>
    <w:rsid w:val="00DB3E8B"/>
    <w:rsid w:val="00DB3EB3"/>
    <w:rsid w:val="00DB42A0"/>
    <w:rsid w:val="00DB4842"/>
    <w:rsid w:val="00DB4A2F"/>
    <w:rsid w:val="00DB4B47"/>
    <w:rsid w:val="00DB4B7B"/>
    <w:rsid w:val="00DB60DC"/>
    <w:rsid w:val="00DB64E5"/>
    <w:rsid w:val="00DB703C"/>
    <w:rsid w:val="00DB71CC"/>
    <w:rsid w:val="00DB7555"/>
    <w:rsid w:val="00DB7DE0"/>
    <w:rsid w:val="00DC044D"/>
    <w:rsid w:val="00DC07E0"/>
    <w:rsid w:val="00DC0B48"/>
    <w:rsid w:val="00DC0C0E"/>
    <w:rsid w:val="00DC14F1"/>
    <w:rsid w:val="00DC15FA"/>
    <w:rsid w:val="00DC2797"/>
    <w:rsid w:val="00DC2CFA"/>
    <w:rsid w:val="00DC2F1B"/>
    <w:rsid w:val="00DC3443"/>
    <w:rsid w:val="00DC3699"/>
    <w:rsid w:val="00DC369C"/>
    <w:rsid w:val="00DC3798"/>
    <w:rsid w:val="00DC37DD"/>
    <w:rsid w:val="00DC39E0"/>
    <w:rsid w:val="00DC3A65"/>
    <w:rsid w:val="00DC456F"/>
    <w:rsid w:val="00DC4B08"/>
    <w:rsid w:val="00DC4EAF"/>
    <w:rsid w:val="00DC5196"/>
    <w:rsid w:val="00DC54A9"/>
    <w:rsid w:val="00DC5B55"/>
    <w:rsid w:val="00DC5B82"/>
    <w:rsid w:val="00DC5F55"/>
    <w:rsid w:val="00DC6483"/>
    <w:rsid w:val="00DC64D7"/>
    <w:rsid w:val="00DC653B"/>
    <w:rsid w:val="00DC681E"/>
    <w:rsid w:val="00DC6996"/>
    <w:rsid w:val="00DC6A18"/>
    <w:rsid w:val="00DC6BE9"/>
    <w:rsid w:val="00DC6E6C"/>
    <w:rsid w:val="00DC7FD7"/>
    <w:rsid w:val="00DD07E7"/>
    <w:rsid w:val="00DD09ED"/>
    <w:rsid w:val="00DD119B"/>
    <w:rsid w:val="00DD13B0"/>
    <w:rsid w:val="00DD15B8"/>
    <w:rsid w:val="00DD1645"/>
    <w:rsid w:val="00DD1B79"/>
    <w:rsid w:val="00DD1BC5"/>
    <w:rsid w:val="00DD20FE"/>
    <w:rsid w:val="00DD2C89"/>
    <w:rsid w:val="00DD3087"/>
    <w:rsid w:val="00DD3103"/>
    <w:rsid w:val="00DD323E"/>
    <w:rsid w:val="00DD33BE"/>
    <w:rsid w:val="00DD35B1"/>
    <w:rsid w:val="00DD3952"/>
    <w:rsid w:val="00DD3AA8"/>
    <w:rsid w:val="00DD411C"/>
    <w:rsid w:val="00DD4231"/>
    <w:rsid w:val="00DD44ED"/>
    <w:rsid w:val="00DD50B6"/>
    <w:rsid w:val="00DD542B"/>
    <w:rsid w:val="00DD63A2"/>
    <w:rsid w:val="00DD6E47"/>
    <w:rsid w:val="00DD6F07"/>
    <w:rsid w:val="00DD74E9"/>
    <w:rsid w:val="00DD7588"/>
    <w:rsid w:val="00DD795C"/>
    <w:rsid w:val="00DD7B2A"/>
    <w:rsid w:val="00DD7E4C"/>
    <w:rsid w:val="00DD7F51"/>
    <w:rsid w:val="00DD7FFA"/>
    <w:rsid w:val="00DE0060"/>
    <w:rsid w:val="00DE09EA"/>
    <w:rsid w:val="00DE1511"/>
    <w:rsid w:val="00DE158E"/>
    <w:rsid w:val="00DE15C0"/>
    <w:rsid w:val="00DE17B1"/>
    <w:rsid w:val="00DE191E"/>
    <w:rsid w:val="00DE19BE"/>
    <w:rsid w:val="00DE1A44"/>
    <w:rsid w:val="00DE243F"/>
    <w:rsid w:val="00DE24AA"/>
    <w:rsid w:val="00DE2E64"/>
    <w:rsid w:val="00DE32F4"/>
    <w:rsid w:val="00DE38BF"/>
    <w:rsid w:val="00DE3FEE"/>
    <w:rsid w:val="00DE40EC"/>
    <w:rsid w:val="00DE467D"/>
    <w:rsid w:val="00DE4E58"/>
    <w:rsid w:val="00DE4FC0"/>
    <w:rsid w:val="00DE509B"/>
    <w:rsid w:val="00DE52B2"/>
    <w:rsid w:val="00DE5493"/>
    <w:rsid w:val="00DE608B"/>
    <w:rsid w:val="00DE655E"/>
    <w:rsid w:val="00DE791F"/>
    <w:rsid w:val="00DE7CAE"/>
    <w:rsid w:val="00DF01A0"/>
    <w:rsid w:val="00DF0214"/>
    <w:rsid w:val="00DF0545"/>
    <w:rsid w:val="00DF097A"/>
    <w:rsid w:val="00DF0C7A"/>
    <w:rsid w:val="00DF1061"/>
    <w:rsid w:val="00DF1FF8"/>
    <w:rsid w:val="00DF2058"/>
    <w:rsid w:val="00DF22DD"/>
    <w:rsid w:val="00DF284C"/>
    <w:rsid w:val="00DF28D0"/>
    <w:rsid w:val="00DF2BF5"/>
    <w:rsid w:val="00DF3ACF"/>
    <w:rsid w:val="00DF4A27"/>
    <w:rsid w:val="00DF4C79"/>
    <w:rsid w:val="00DF4D56"/>
    <w:rsid w:val="00DF5D09"/>
    <w:rsid w:val="00DF64C0"/>
    <w:rsid w:val="00DF6CEB"/>
    <w:rsid w:val="00DF72C4"/>
    <w:rsid w:val="00DF75A4"/>
    <w:rsid w:val="00DF7F15"/>
    <w:rsid w:val="00E0064C"/>
    <w:rsid w:val="00E009AF"/>
    <w:rsid w:val="00E00EAD"/>
    <w:rsid w:val="00E00F4A"/>
    <w:rsid w:val="00E013B2"/>
    <w:rsid w:val="00E01425"/>
    <w:rsid w:val="00E01456"/>
    <w:rsid w:val="00E017C3"/>
    <w:rsid w:val="00E018A1"/>
    <w:rsid w:val="00E01BC3"/>
    <w:rsid w:val="00E02B1D"/>
    <w:rsid w:val="00E03025"/>
    <w:rsid w:val="00E030BD"/>
    <w:rsid w:val="00E03387"/>
    <w:rsid w:val="00E035A5"/>
    <w:rsid w:val="00E0364B"/>
    <w:rsid w:val="00E04526"/>
    <w:rsid w:val="00E04D25"/>
    <w:rsid w:val="00E05475"/>
    <w:rsid w:val="00E05802"/>
    <w:rsid w:val="00E05C77"/>
    <w:rsid w:val="00E061EE"/>
    <w:rsid w:val="00E0669F"/>
    <w:rsid w:val="00E067F9"/>
    <w:rsid w:val="00E06B94"/>
    <w:rsid w:val="00E0722F"/>
    <w:rsid w:val="00E07361"/>
    <w:rsid w:val="00E07577"/>
    <w:rsid w:val="00E07BC2"/>
    <w:rsid w:val="00E10165"/>
    <w:rsid w:val="00E1020D"/>
    <w:rsid w:val="00E1060D"/>
    <w:rsid w:val="00E106DD"/>
    <w:rsid w:val="00E10780"/>
    <w:rsid w:val="00E10CA4"/>
    <w:rsid w:val="00E1189F"/>
    <w:rsid w:val="00E11D48"/>
    <w:rsid w:val="00E1208C"/>
    <w:rsid w:val="00E124DF"/>
    <w:rsid w:val="00E1263B"/>
    <w:rsid w:val="00E12FB8"/>
    <w:rsid w:val="00E136CF"/>
    <w:rsid w:val="00E1372F"/>
    <w:rsid w:val="00E137B0"/>
    <w:rsid w:val="00E13B84"/>
    <w:rsid w:val="00E13E58"/>
    <w:rsid w:val="00E14B14"/>
    <w:rsid w:val="00E14D52"/>
    <w:rsid w:val="00E15F2F"/>
    <w:rsid w:val="00E15F98"/>
    <w:rsid w:val="00E16A34"/>
    <w:rsid w:val="00E16EFA"/>
    <w:rsid w:val="00E1739C"/>
    <w:rsid w:val="00E17898"/>
    <w:rsid w:val="00E17D8A"/>
    <w:rsid w:val="00E17DDF"/>
    <w:rsid w:val="00E20569"/>
    <w:rsid w:val="00E206D4"/>
    <w:rsid w:val="00E20CE0"/>
    <w:rsid w:val="00E23172"/>
    <w:rsid w:val="00E23C02"/>
    <w:rsid w:val="00E24391"/>
    <w:rsid w:val="00E244CF"/>
    <w:rsid w:val="00E24DE6"/>
    <w:rsid w:val="00E24EBB"/>
    <w:rsid w:val="00E24F14"/>
    <w:rsid w:val="00E256CE"/>
    <w:rsid w:val="00E25A05"/>
    <w:rsid w:val="00E26066"/>
    <w:rsid w:val="00E267D7"/>
    <w:rsid w:val="00E26B99"/>
    <w:rsid w:val="00E27061"/>
    <w:rsid w:val="00E2723D"/>
    <w:rsid w:val="00E272D2"/>
    <w:rsid w:val="00E276BA"/>
    <w:rsid w:val="00E27774"/>
    <w:rsid w:val="00E27F46"/>
    <w:rsid w:val="00E27FA8"/>
    <w:rsid w:val="00E30021"/>
    <w:rsid w:val="00E303E5"/>
    <w:rsid w:val="00E3064B"/>
    <w:rsid w:val="00E30F86"/>
    <w:rsid w:val="00E317A8"/>
    <w:rsid w:val="00E31886"/>
    <w:rsid w:val="00E3189C"/>
    <w:rsid w:val="00E31FA3"/>
    <w:rsid w:val="00E32722"/>
    <w:rsid w:val="00E3298E"/>
    <w:rsid w:val="00E32B83"/>
    <w:rsid w:val="00E32CF7"/>
    <w:rsid w:val="00E334B5"/>
    <w:rsid w:val="00E336C6"/>
    <w:rsid w:val="00E33AAC"/>
    <w:rsid w:val="00E34456"/>
    <w:rsid w:val="00E34AAD"/>
    <w:rsid w:val="00E35079"/>
    <w:rsid w:val="00E35372"/>
    <w:rsid w:val="00E3562A"/>
    <w:rsid w:val="00E359D3"/>
    <w:rsid w:val="00E360C4"/>
    <w:rsid w:val="00E362C8"/>
    <w:rsid w:val="00E3715C"/>
    <w:rsid w:val="00E37339"/>
    <w:rsid w:val="00E376E2"/>
    <w:rsid w:val="00E377D4"/>
    <w:rsid w:val="00E403C9"/>
    <w:rsid w:val="00E40C67"/>
    <w:rsid w:val="00E40F87"/>
    <w:rsid w:val="00E41A90"/>
    <w:rsid w:val="00E41CC2"/>
    <w:rsid w:val="00E41CD4"/>
    <w:rsid w:val="00E42B06"/>
    <w:rsid w:val="00E43401"/>
    <w:rsid w:val="00E4355D"/>
    <w:rsid w:val="00E437A3"/>
    <w:rsid w:val="00E43859"/>
    <w:rsid w:val="00E43E50"/>
    <w:rsid w:val="00E440BD"/>
    <w:rsid w:val="00E441D8"/>
    <w:rsid w:val="00E443CE"/>
    <w:rsid w:val="00E448E9"/>
    <w:rsid w:val="00E44BC4"/>
    <w:rsid w:val="00E44C63"/>
    <w:rsid w:val="00E44F44"/>
    <w:rsid w:val="00E44FE4"/>
    <w:rsid w:val="00E4545B"/>
    <w:rsid w:val="00E45CED"/>
    <w:rsid w:val="00E46E89"/>
    <w:rsid w:val="00E46F39"/>
    <w:rsid w:val="00E478AD"/>
    <w:rsid w:val="00E50287"/>
    <w:rsid w:val="00E503DB"/>
    <w:rsid w:val="00E50AF1"/>
    <w:rsid w:val="00E50DDF"/>
    <w:rsid w:val="00E50FAD"/>
    <w:rsid w:val="00E51601"/>
    <w:rsid w:val="00E52B50"/>
    <w:rsid w:val="00E538C5"/>
    <w:rsid w:val="00E53F10"/>
    <w:rsid w:val="00E546AC"/>
    <w:rsid w:val="00E55556"/>
    <w:rsid w:val="00E55AFB"/>
    <w:rsid w:val="00E55DF4"/>
    <w:rsid w:val="00E5604B"/>
    <w:rsid w:val="00E560D9"/>
    <w:rsid w:val="00E56E91"/>
    <w:rsid w:val="00E56FD8"/>
    <w:rsid w:val="00E57311"/>
    <w:rsid w:val="00E57357"/>
    <w:rsid w:val="00E57BFC"/>
    <w:rsid w:val="00E57FAA"/>
    <w:rsid w:val="00E60C6C"/>
    <w:rsid w:val="00E6145D"/>
    <w:rsid w:val="00E615D2"/>
    <w:rsid w:val="00E6197B"/>
    <w:rsid w:val="00E61C7D"/>
    <w:rsid w:val="00E61D4B"/>
    <w:rsid w:val="00E61D5E"/>
    <w:rsid w:val="00E62158"/>
    <w:rsid w:val="00E62768"/>
    <w:rsid w:val="00E62926"/>
    <w:rsid w:val="00E62A50"/>
    <w:rsid w:val="00E62ABF"/>
    <w:rsid w:val="00E62C39"/>
    <w:rsid w:val="00E6365D"/>
    <w:rsid w:val="00E63D89"/>
    <w:rsid w:val="00E64027"/>
    <w:rsid w:val="00E64385"/>
    <w:rsid w:val="00E64807"/>
    <w:rsid w:val="00E64869"/>
    <w:rsid w:val="00E64939"/>
    <w:rsid w:val="00E64BBC"/>
    <w:rsid w:val="00E64D22"/>
    <w:rsid w:val="00E658F3"/>
    <w:rsid w:val="00E65CA9"/>
    <w:rsid w:val="00E65E31"/>
    <w:rsid w:val="00E65EA9"/>
    <w:rsid w:val="00E66B3E"/>
    <w:rsid w:val="00E6753A"/>
    <w:rsid w:val="00E6780D"/>
    <w:rsid w:val="00E67C5E"/>
    <w:rsid w:val="00E67F7C"/>
    <w:rsid w:val="00E67F8E"/>
    <w:rsid w:val="00E701C1"/>
    <w:rsid w:val="00E70426"/>
    <w:rsid w:val="00E7064F"/>
    <w:rsid w:val="00E70E2D"/>
    <w:rsid w:val="00E71C80"/>
    <w:rsid w:val="00E725E3"/>
    <w:rsid w:val="00E726BE"/>
    <w:rsid w:val="00E72C77"/>
    <w:rsid w:val="00E73107"/>
    <w:rsid w:val="00E73A4D"/>
    <w:rsid w:val="00E73D41"/>
    <w:rsid w:val="00E73F37"/>
    <w:rsid w:val="00E74086"/>
    <w:rsid w:val="00E74639"/>
    <w:rsid w:val="00E74895"/>
    <w:rsid w:val="00E75341"/>
    <w:rsid w:val="00E75491"/>
    <w:rsid w:val="00E758E3"/>
    <w:rsid w:val="00E759EA"/>
    <w:rsid w:val="00E764FB"/>
    <w:rsid w:val="00E76983"/>
    <w:rsid w:val="00E77265"/>
    <w:rsid w:val="00E7797F"/>
    <w:rsid w:val="00E77AB7"/>
    <w:rsid w:val="00E808AC"/>
    <w:rsid w:val="00E81168"/>
    <w:rsid w:val="00E81287"/>
    <w:rsid w:val="00E814BB"/>
    <w:rsid w:val="00E81871"/>
    <w:rsid w:val="00E81B17"/>
    <w:rsid w:val="00E81B58"/>
    <w:rsid w:val="00E81B9D"/>
    <w:rsid w:val="00E81CE4"/>
    <w:rsid w:val="00E81D4C"/>
    <w:rsid w:val="00E82085"/>
    <w:rsid w:val="00E822BE"/>
    <w:rsid w:val="00E82CAB"/>
    <w:rsid w:val="00E830F1"/>
    <w:rsid w:val="00E83254"/>
    <w:rsid w:val="00E836F3"/>
    <w:rsid w:val="00E8381E"/>
    <w:rsid w:val="00E842AE"/>
    <w:rsid w:val="00E84A06"/>
    <w:rsid w:val="00E850F3"/>
    <w:rsid w:val="00E8514F"/>
    <w:rsid w:val="00E85261"/>
    <w:rsid w:val="00E85966"/>
    <w:rsid w:val="00E85CB5"/>
    <w:rsid w:val="00E85F58"/>
    <w:rsid w:val="00E86248"/>
    <w:rsid w:val="00E86577"/>
    <w:rsid w:val="00E86725"/>
    <w:rsid w:val="00E867E1"/>
    <w:rsid w:val="00E868FB"/>
    <w:rsid w:val="00E87AD8"/>
    <w:rsid w:val="00E87DAA"/>
    <w:rsid w:val="00E90C90"/>
    <w:rsid w:val="00E90FC0"/>
    <w:rsid w:val="00E91778"/>
    <w:rsid w:val="00E91883"/>
    <w:rsid w:val="00E9191E"/>
    <w:rsid w:val="00E92856"/>
    <w:rsid w:val="00E92B9F"/>
    <w:rsid w:val="00E92C19"/>
    <w:rsid w:val="00E938C2"/>
    <w:rsid w:val="00E93F40"/>
    <w:rsid w:val="00E94188"/>
    <w:rsid w:val="00E943DC"/>
    <w:rsid w:val="00E9479C"/>
    <w:rsid w:val="00E9500A"/>
    <w:rsid w:val="00E95246"/>
    <w:rsid w:val="00E96057"/>
    <w:rsid w:val="00E960A3"/>
    <w:rsid w:val="00E962DE"/>
    <w:rsid w:val="00E96551"/>
    <w:rsid w:val="00E968F6"/>
    <w:rsid w:val="00E96A9B"/>
    <w:rsid w:val="00E96F0E"/>
    <w:rsid w:val="00E97181"/>
    <w:rsid w:val="00EA0784"/>
    <w:rsid w:val="00EA0C0E"/>
    <w:rsid w:val="00EA1711"/>
    <w:rsid w:val="00EA1716"/>
    <w:rsid w:val="00EA1EC1"/>
    <w:rsid w:val="00EA20A4"/>
    <w:rsid w:val="00EA20DA"/>
    <w:rsid w:val="00EA2360"/>
    <w:rsid w:val="00EA2FD0"/>
    <w:rsid w:val="00EA38BD"/>
    <w:rsid w:val="00EA3A43"/>
    <w:rsid w:val="00EA4000"/>
    <w:rsid w:val="00EA530D"/>
    <w:rsid w:val="00EA5610"/>
    <w:rsid w:val="00EA5682"/>
    <w:rsid w:val="00EA5B6F"/>
    <w:rsid w:val="00EA601A"/>
    <w:rsid w:val="00EA693A"/>
    <w:rsid w:val="00EA6D6A"/>
    <w:rsid w:val="00EA70F4"/>
    <w:rsid w:val="00EA727E"/>
    <w:rsid w:val="00EA7513"/>
    <w:rsid w:val="00EA7FA3"/>
    <w:rsid w:val="00EB001E"/>
    <w:rsid w:val="00EB0522"/>
    <w:rsid w:val="00EB0FED"/>
    <w:rsid w:val="00EB1409"/>
    <w:rsid w:val="00EB141A"/>
    <w:rsid w:val="00EB175E"/>
    <w:rsid w:val="00EB268F"/>
    <w:rsid w:val="00EB32CD"/>
    <w:rsid w:val="00EB351D"/>
    <w:rsid w:val="00EB399C"/>
    <w:rsid w:val="00EB4102"/>
    <w:rsid w:val="00EB44A7"/>
    <w:rsid w:val="00EB4920"/>
    <w:rsid w:val="00EB507C"/>
    <w:rsid w:val="00EB5D76"/>
    <w:rsid w:val="00EB5F55"/>
    <w:rsid w:val="00EB693A"/>
    <w:rsid w:val="00EB6B01"/>
    <w:rsid w:val="00EB726D"/>
    <w:rsid w:val="00EB7330"/>
    <w:rsid w:val="00EB73E4"/>
    <w:rsid w:val="00EB79D6"/>
    <w:rsid w:val="00EC0828"/>
    <w:rsid w:val="00EC09B1"/>
    <w:rsid w:val="00EC09EC"/>
    <w:rsid w:val="00EC0F74"/>
    <w:rsid w:val="00EC1077"/>
    <w:rsid w:val="00EC1345"/>
    <w:rsid w:val="00EC157E"/>
    <w:rsid w:val="00EC1DD3"/>
    <w:rsid w:val="00EC2A80"/>
    <w:rsid w:val="00EC2E3C"/>
    <w:rsid w:val="00EC2E59"/>
    <w:rsid w:val="00EC2F1A"/>
    <w:rsid w:val="00EC34D3"/>
    <w:rsid w:val="00EC4268"/>
    <w:rsid w:val="00EC44BC"/>
    <w:rsid w:val="00EC44C6"/>
    <w:rsid w:val="00EC44E9"/>
    <w:rsid w:val="00EC499B"/>
    <w:rsid w:val="00EC4BA5"/>
    <w:rsid w:val="00EC4D43"/>
    <w:rsid w:val="00EC4E70"/>
    <w:rsid w:val="00EC5114"/>
    <w:rsid w:val="00EC55FF"/>
    <w:rsid w:val="00EC5D11"/>
    <w:rsid w:val="00EC6587"/>
    <w:rsid w:val="00EC65FC"/>
    <w:rsid w:val="00EC71F3"/>
    <w:rsid w:val="00EC7299"/>
    <w:rsid w:val="00ED02E8"/>
    <w:rsid w:val="00ED0DCD"/>
    <w:rsid w:val="00ED129B"/>
    <w:rsid w:val="00ED16C8"/>
    <w:rsid w:val="00ED1982"/>
    <w:rsid w:val="00ED1DC6"/>
    <w:rsid w:val="00ED284E"/>
    <w:rsid w:val="00ED29AB"/>
    <w:rsid w:val="00ED2C91"/>
    <w:rsid w:val="00ED3726"/>
    <w:rsid w:val="00ED39CE"/>
    <w:rsid w:val="00ED3A02"/>
    <w:rsid w:val="00ED3B9D"/>
    <w:rsid w:val="00ED4552"/>
    <w:rsid w:val="00ED46E8"/>
    <w:rsid w:val="00ED49D8"/>
    <w:rsid w:val="00ED4BC9"/>
    <w:rsid w:val="00ED564A"/>
    <w:rsid w:val="00ED5B70"/>
    <w:rsid w:val="00ED5F30"/>
    <w:rsid w:val="00ED5FEA"/>
    <w:rsid w:val="00ED616D"/>
    <w:rsid w:val="00ED63F9"/>
    <w:rsid w:val="00ED6CD8"/>
    <w:rsid w:val="00ED6F05"/>
    <w:rsid w:val="00ED6F41"/>
    <w:rsid w:val="00ED70CF"/>
    <w:rsid w:val="00ED7394"/>
    <w:rsid w:val="00ED7432"/>
    <w:rsid w:val="00ED758F"/>
    <w:rsid w:val="00EE03DF"/>
    <w:rsid w:val="00EE05C3"/>
    <w:rsid w:val="00EE0890"/>
    <w:rsid w:val="00EE1082"/>
    <w:rsid w:val="00EE10D9"/>
    <w:rsid w:val="00EE1142"/>
    <w:rsid w:val="00EE12C7"/>
    <w:rsid w:val="00EE1B4E"/>
    <w:rsid w:val="00EE1C7E"/>
    <w:rsid w:val="00EE32A3"/>
    <w:rsid w:val="00EE3464"/>
    <w:rsid w:val="00EE362B"/>
    <w:rsid w:val="00EE3778"/>
    <w:rsid w:val="00EE3B8F"/>
    <w:rsid w:val="00EE4599"/>
    <w:rsid w:val="00EE4753"/>
    <w:rsid w:val="00EE522D"/>
    <w:rsid w:val="00EE62F0"/>
    <w:rsid w:val="00EE6941"/>
    <w:rsid w:val="00EE6B08"/>
    <w:rsid w:val="00EE7082"/>
    <w:rsid w:val="00EE70D8"/>
    <w:rsid w:val="00EE7723"/>
    <w:rsid w:val="00EF0BD3"/>
    <w:rsid w:val="00EF110B"/>
    <w:rsid w:val="00EF1127"/>
    <w:rsid w:val="00EF1168"/>
    <w:rsid w:val="00EF11E6"/>
    <w:rsid w:val="00EF1430"/>
    <w:rsid w:val="00EF1AB1"/>
    <w:rsid w:val="00EF2021"/>
    <w:rsid w:val="00EF2178"/>
    <w:rsid w:val="00EF2469"/>
    <w:rsid w:val="00EF24B1"/>
    <w:rsid w:val="00EF29F7"/>
    <w:rsid w:val="00EF2A62"/>
    <w:rsid w:val="00EF2B76"/>
    <w:rsid w:val="00EF2E5F"/>
    <w:rsid w:val="00EF2E6D"/>
    <w:rsid w:val="00EF2EB3"/>
    <w:rsid w:val="00EF3353"/>
    <w:rsid w:val="00EF3B11"/>
    <w:rsid w:val="00EF3B12"/>
    <w:rsid w:val="00EF3E3D"/>
    <w:rsid w:val="00EF40F0"/>
    <w:rsid w:val="00EF4707"/>
    <w:rsid w:val="00EF49ED"/>
    <w:rsid w:val="00EF4B4E"/>
    <w:rsid w:val="00EF5306"/>
    <w:rsid w:val="00EF53CD"/>
    <w:rsid w:val="00EF54ED"/>
    <w:rsid w:val="00EF5887"/>
    <w:rsid w:val="00EF5A7E"/>
    <w:rsid w:val="00EF5D5F"/>
    <w:rsid w:val="00EF6154"/>
    <w:rsid w:val="00EF62E8"/>
    <w:rsid w:val="00EF64CF"/>
    <w:rsid w:val="00EF6E82"/>
    <w:rsid w:val="00EF6FEB"/>
    <w:rsid w:val="00EF7A87"/>
    <w:rsid w:val="00EF7ACF"/>
    <w:rsid w:val="00EF7B52"/>
    <w:rsid w:val="00F004A9"/>
    <w:rsid w:val="00F005B7"/>
    <w:rsid w:val="00F006B0"/>
    <w:rsid w:val="00F00713"/>
    <w:rsid w:val="00F00B2E"/>
    <w:rsid w:val="00F0130E"/>
    <w:rsid w:val="00F01611"/>
    <w:rsid w:val="00F01681"/>
    <w:rsid w:val="00F0168F"/>
    <w:rsid w:val="00F017DB"/>
    <w:rsid w:val="00F02BED"/>
    <w:rsid w:val="00F030BD"/>
    <w:rsid w:val="00F03597"/>
    <w:rsid w:val="00F03849"/>
    <w:rsid w:val="00F0409D"/>
    <w:rsid w:val="00F043C1"/>
    <w:rsid w:val="00F046A9"/>
    <w:rsid w:val="00F04E84"/>
    <w:rsid w:val="00F04F8D"/>
    <w:rsid w:val="00F05893"/>
    <w:rsid w:val="00F05B16"/>
    <w:rsid w:val="00F06041"/>
    <w:rsid w:val="00F06C05"/>
    <w:rsid w:val="00F06F00"/>
    <w:rsid w:val="00F077E1"/>
    <w:rsid w:val="00F0795F"/>
    <w:rsid w:val="00F07FA4"/>
    <w:rsid w:val="00F109E8"/>
    <w:rsid w:val="00F112B0"/>
    <w:rsid w:val="00F11DD1"/>
    <w:rsid w:val="00F1218A"/>
    <w:rsid w:val="00F127FB"/>
    <w:rsid w:val="00F13111"/>
    <w:rsid w:val="00F13722"/>
    <w:rsid w:val="00F13E1F"/>
    <w:rsid w:val="00F14376"/>
    <w:rsid w:val="00F1487B"/>
    <w:rsid w:val="00F14C1E"/>
    <w:rsid w:val="00F14C46"/>
    <w:rsid w:val="00F15312"/>
    <w:rsid w:val="00F157DE"/>
    <w:rsid w:val="00F15CCB"/>
    <w:rsid w:val="00F166D5"/>
    <w:rsid w:val="00F169D7"/>
    <w:rsid w:val="00F16A8C"/>
    <w:rsid w:val="00F16DFA"/>
    <w:rsid w:val="00F16F92"/>
    <w:rsid w:val="00F17615"/>
    <w:rsid w:val="00F176F9"/>
    <w:rsid w:val="00F17A9F"/>
    <w:rsid w:val="00F17B92"/>
    <w:rsid w:val="00F17CE5"/>
    <w:rsid w:val="00F17D0C"/>
    <w:rsid w:val="00F20B79"/>
    <w:rsid w:val="00F20C6D"/>
    <w:rsid w:val="00F20D3B"/>
    <w:rsid w:val="00F20E90"/>
    <w:rsid w:val="00F2103F"/>
    <w:rsid w:val="00F21146"/>
    <w:rsid w:val="00F21F6F"/>
    <w:rsid w:val="00F2263A"/>
    <w:rsid w:val="00F22CE9"/>
    <w:rsid w:val="00F23099"/>
    <w:rsid w:val="00F230B7"/>
    <w:rsid w:val="00F2318E"/>
    <w:rsid w:val="00F236F3"/>
    <w:rsid w:val="00F23E0E"/>
    <w:rsid w:val="00F240C2"/>
    <w:rsid w:val="00F2484D"/>
    <w:rsid w:val="00F249C0"/>
    <w:rsid w:val="00F253BE"/>
    <w:rsid w:val="00F25457"/>
    <w:rsid w:val="00F254C3"/>
    <w:rsid w:val="00F259D1"/>
    <w:rsid w:val="00F25AEE"/>
    <w:rsid w:val="00F25E95"/>
    <w:rsid w:val="00F25F6A"/>
    <w:rsid w:val="00F26379"/>
    <w:rsid w:val="00F26627"/>
    <w:rsid w:val="00F26B64"/>
    <w:rsid w:val="00F26DB7"/>
    <w:rsid w:val="00F275FB"/>
    <w:rsid w:val="00F27A4D"/>
    <w:rsid w:val="00F3036A"/>
    <w:rsid w:val="00F304B4"/>
    <w:rsid w:val="00F30612"/>
    <w:rsid w:val="00F316CF"/>
    <w:rsid w:val="00F31AAA"/>
    <w:rsid w:val="00F32132"/>
    <w:rsid w:val="00F32B5A"/>
    <w:rsid w:val="00F32CDF"/>
    <w:rsid w:val="00F32CE7"/>
    <w:rsid w:val="00F33433"/>
    <w:rsid w:val="00F34038"/>
    <w:rsid w:val="00F34259"/>
    <w:rsid w:val="00F344D6"/>
    <w:rsid w:val="00F348FA"/>
    <w:rsid w:val="00F352D5"/>
    <w:rsid w:val="00F35477"/>
    <w:rsid w:val="00F3594A"/>
    <w:rsid w:val="00F35BF9"/>
    <w:rsid w:val="00F36FCD"/>
    <w:rsid w:val="00F37006"/>
    <w:rsid w:val="00F376FF"/>
    <w:rsid w:val="00F37C79"/>
    <w:rsid w:val="00F40247"/>
    <w:rsid w:val="00F40CD3"/>
    <w:rsid w:val="00F40ED8"/>
    <w:rsid w:val="00F4119D"/>
    <w:rsid w:val="00F41594"/>
    <w:rsid w:val="00F41BD1"/>
    <w:rsid w:val="00F427AB"/>
    <w:rsid w:val="00F42B60"/>
    <w:rsid w:val="00F42F8A"/>
    <w:rsid w:val="00F43B9D"/>
    <w:rsid w:val="00F44045"/>
    <w:rsid w:val="00F442BD"/>
    <w:rsid w:val="00F4462F"/>
    <w:rsid w:val="00F4473C"/>
    <w:rsid w:val="00F448EB"/>
    <w:rsid w:val="00F448EC"/>
    <w:rsid w:val="00F45814"/>
    <w:rsid w:val="00F45C69"/>
    <w:rsid w:val="00F46024"/>
    <w:rsid w:val="00F460FA"/>
    <w:rsid w:val="00F4625C"/>
    <w:rsid w:val="00F462D9"/>
    <w:rsid w:val="00F46507"/>
    <w:rsid w:val="00F46E25"/>
    <w:rsid w:val="00F47034"/>
    <w:rsid w:val="00F470B7"/>
    <w:rsid w:val="00F47317"/>
    <w:rsid w:val="00F4751F"/>
    <w:rsid w:val="00F47F01"/>
    <w:rsid w:val="00F50568"/>
    <w:rsid w:val="00F505A0"/>
    <w:rsid w:val="00F50A75"/>
    <w:rsid w:val="00F5133F"/>
    <w:rsid w:val="00F51501"/>
    <w:rsid w:val="00F516D9"/>
    <w:rsid w:val="00F51DB3"/>
    <w:rsid w:val="00F52428"/>
    <w:rsid w:val="00F52544"/>
    <w:rsid w:val="00F52917"/>
    <w:rsid w:val="00F52BEA"/>
    <w:rsid w:val="00F52ECA"/>
    <w:rsid w:val="00F53137"/>
    <w:rsid w:val="00F538CC"/>
    <w:rsid w:val="00F53EE8"/>
    <w:rsid w:val="00F5422C"/>
    <w:rsid w:val="00F54881"/>
    <w:rsid w:val="00F54B70"/>
    <w:rsid w:val="00F54CBF"/>
    <w:rsid w:val="00F54D64"/>
    <w:rsid w:val="00F5534A"/>
    <w:rsid w:val="00F553AF"/>
    <w:rsid w:val="00F55CB1"/>
    <w:rsid w:val="00F5633B"/>
    <w:rsid w:val="00F56857"/>
    <w:rsid w:val="00F57649"/>
    <w:rsid w:val="00F57993"/>
    <w:rsid w:val="00F57BD1"/>
    <w:rsid w:val="00F57D05"/>
    <w:rsid w:val="00F60073"/>
    <w:rsid w:val="00F60524"/>
    <w:rsid w:val="00F605C5"/>
    <w:rsid w:val="00F609D7"/>
    <w:rsid w:val="00F60E34"/>
    <w:rsid w:val="00F60E47"/>
    <w:rsid w:val="00F60EBC"/>
    <w:rsid w:val="00F615AA"/>
    <w:rsid w:val="00F6165D"/>
    <w:rsid w:val="00F61AB0"/>
    <w:rsid w:val="00F61C23"/>
    <w:rsid w:val="00F6245A"/>
    <w:rsid w:val="00F626C1"/>
    <w:rsid w:val="00F62B16"/>
    <w:rsid w:val="00F632FD"/>
    <w:rsid w:val="00F6358E"/>
    <w:rsid w:val="00F63676"/>
    <w:rsid w:val="00F63901"/>
    <w:rsid w:val="00F63FA5"/>
    <w:rsid w:val="00F64DAB"/>
    <w:rsid w:val="00F65377"/>
    <w:rsid w:val="00F65DF7"/>
    <w:rsid w:val="00F65E1C"/>
    <w:rsid w:val="00F677E0"/>
    <w:rsid w:val="00F67964"/>
    <w:rsid w:val="00F67C34"/>
    <w:rsid w:val="00F67C63"/>
    <w:rsid w:val="00F67CB4"/>
    <w:rsid w:val="00F67CC7"/>
    <w:rsid w:val="00F67E77"/>
    <w:rsid w:val="00F70491"/>
    <w:rsid w:val="00F71B85"/>
    <w:rsid w:val="00F71D63"/>
    <w:rsid w:val="00F7207B"/>
    <w:rsid w:val="00F72B13"/>
    <w:rsid w:val="00F72E6F"/>
    <w:rsid w:val="00F7338A"/>
    <w:rsid w:val="00F734EF"/>
    <w:rsid w:val="00F7399C"/>
    <w:rsid w:val="00F73A90"/>
    <w:rsid w:val="00F73ACC"/>
    <w:rsid w:val="00F742AB"/>
    <w:rsid w:val="00F746D6"/>
    <w:rsid w:val="00F7479E"/>
    <w:rsid w:val="00F74B80"/>
    <w:rsid w:val="00F74D7A"/>
    <w:rsid w:val="00F7548A"/>
    <w:rsid w:val="00F75867"/>
    <w:rsid w:val="00F75BAC"/>
    <w:rsid w:val="00F764BA"/>
    <w:rsid w:val="00F765FF"/>
    <w:rsid w:val="00F76CFB"/>
    <w:rsid w:val="00F777C9"/>
    <w:rsid w:val="00F778FE"/>
    <w:rsid w:val="00F77C95"/>
    <w:rsid w:val="00F801CC"/>
    <w:rsid w:val="00F8089D"/>
    <w:rsid w:val="00F808A9"/>
    <w:rsid w:val="00F80C85"/>
    <w:rsid w:val="00F80F7E"/>
    <w:rsid w:val="00F812A4"/>
    <w:rsid w:val="00F82794"/>
    <w:rsid w:val="00F8293D"/>
    <w:rsid w:val="00F82B12"/>
    <w:rsid w:val="00F82B8A"/>
    <w:rsid w:val="00F82F5E"/>
    <w:rsid w:val="00F83195"/>
    <w:rsid w:val="00F8357E"/>
    <w:rsid w:val="00F83801"/>
    <w:rsid w:val="00F8439E"/>
    <w:rsid w:val="00F846AD"/>
    <w:rsid w:val="00F8474C"/>
    <w:rsid w:val="00F8487F"/>
    <w:rsid w:val="00F84DFC"/>
    <w:rsid w:val="00F85588"/>
    <w:rsid w:val="00F85B5A"/>
    <w:rsid w:val="00F86364"/>
    <w:rsid w:val="00F8656A"/>
    <w:rsid w:val="00F86BDA"/>
    <w:rsid w:val="00F86C73"/>
    <w:rsid w:val="00F87307"/>
    <w:rsid w:val="00F87354"/>
    <w:rsid w:val="00F874FB"/>
    <w:rsid w:val="00F876CF"/>
    <w:rsid w:val="00F877CE"/>
    <w:rsid w:val="00F87922"/>
    <w:rsid w:val="00F90046"/>
    <w:rsid w:val="00F905F8"/>
    <w:rsid w:val="00F90A89"/>
    <w:rsid w:val="00F90B1D"/>
    <w:rsid w:val="00F918F5"/>
    <w:rsid w:val="00F91A9D"/>
    <w:rsid w:val="00F91E65"/>
    <w:rsid w:val="00F91F66"/>
    <w:rsid w:val="00F920FD"/>
    <w:rsid w:val="00F9261F"/>
    <w:rsid w:val="00F9279F"/>
    <w:rsid w:val="00F92ADD"/>
    <w:rsid w:val="00F92E8C"/>
    <w:rsid w:val="00F92E95"/>
    <w:rsid w:val="00F9348A"/>
    <w:rsid w:val="00F9359C"/>
    <w:rsid w:val="00F93800"/>
    <w:rsid w:val="00F938C7"/>
    <w:rsid w:val="00F93DBC"/>
    <w:rsid w:val="00F94742"/>
    <w:rsid w:val="00F949BA"/>
    <w:rsid w:val="00F956BE"/>
    <w:rsid w:val="00F95AA6"/>
    <w:rsid w:val="00F95D24"/>
    <w:rsid w:val="00F9621D"/>
    <w:rsid w:val="00F9696D"/>
    <w:rsid w:val="00F96BAC"/>
    <w:rsid w:val="00F96E16"/>
    <w:rsid w:val="00F97D92"/>
    <w:rsid w:val="00F97F57"/>
    <w:rsid w:val="00FA0639"/>
    <w:rsid w:val="00FA0A27"/>
    <w:rsid w:val="00FA16E0"/>
    <w:rsid w:val="00FA2205"/>
    <w:rsid w:val="00FA2536"/>
    <w:rsid w:val="00FA3236"/>
    <w:rsid w:val="00FA380C"/>
    <w:rsid w:val="00FA3B05"/>
    <w:rsid w:val="00FA3F4A"/>
    <w:rsid w:val="00FA4CA1"/>
    <w:rsid w:val="00FA5038"/>
    <w:rsid w:val="00FA5DB8"/>
    <w:rsid w:val="00FA69E1"/>
    <w:rsid w:val="00FA6BA2"/>
    <w:rsid w:val="00FA6BA9"/>
    <w:rsid w:val="00FA6EFD"/>
    <w:rsid w:val="00FA7338"/>
    <w:rsid w:val="00FA74E9"/>
    <w:rsid w:val="00FA7B7E"/>
    <w:rsid w:val="00FB00DE"/>
    <w:rsid w:val="00FB01BC"/>
    <w:rsid w:val="00FB0200"/>
    <w:rsid w:val="00FB035D"/>
    <w:rsid w:val="00FB054F"/>
    <w:rsid w:val="00FB0881"/>
    <w:rsid w:val="00FB0A6D"/>
    <w:rsid w:val="00FB0DBA"/>
    <w:rsid w:val="00FB0E86"/>
    <w:rsid w:val="00FB0F0C"/>
    <w:rsid w:val="00FB0FE5"/>
    <w:rsid w:val="00FB1176"/>
    <w:rsid w:val="00FB19CF"/>
    <w:rsid w:val="00FB2555"/>
    <w:rsid w:val="00FB2842"/>
    <w:rsid w:val="00FB3144"/>
    <w:rsid w:val="00FB3637"/>
    <w:rsid w:val="00FB368B"/>
    <w:rsid w:val="00FB4242"/>
    <w:rsid w:val="00FB4BEC"/>
    <w:rsid w:val="00FB4D9D"/>
    <w:rsid w:val="00FB4DE8"/>
    <w:rsid w:val="00FB4ED9"/>
    <w:rsid w:val="00FB5412"/>
    <w:rsid w:val="00FB5AFE"/>
    <w:rsid w:val="00FB5CDE"/>
    <w:rsid w:val="00FB5F70"/>
    <w:rsid w:val="00FB5FBD"/>
    <w:rsid w:val="00FB6F7C"/>
    <w:rsid w:val="00FB7186"/>
    <w:rsid w:val="00FB7275"/>
    <w:rsid w:val="00FB7BCF"/>
    <w:rsid w:val="00FC0365"/>
    <w:rsid w:val="00FC041C"/>
    <w:rsid w:val="00FC1BCB"/>
    <w:rsid w:val="00FC318A"/>
    <w:rsid w:val="00FC4CA6"/>
    <w:rsid w:val="00FC4CB7"/>
    <w:rsid w:val="00FC5079"/>
    <w:rsid w:val="00FC5475"/>
    <w:rsid w:val="00FC559A"/>
    <w:rsid w:val="00FC5700"/>
    <w:rsid w:val="00FC574B"/>
    <w:rsid w:val="00FC5860"/>
    <w:rsid w:val="00FC5FB4"/>
    <w:rsid w:val="00FC60FB"/>
    <w:rsid w:val="00FC6107"/>
    <w:rsid w:val="00FC62FE"/>
    <w:rsid w:val="00FC67E2"/>
    <w:rsid w:val="00FC6A12"/>
    <w:rsid w:val="00FC6A55"/>
    <w:rsid w:val="00FC7645"/>
    <w:rsid w:val="00FC7691"/>
    <w:rsid w:val="00FC79C3"/>
    <w:rsid w:val="00FC7B9C"/>
    <w:rsid w:val="00FC7C15"/>
    <w:rsid w:val="00FC7D0A"/>
    <w:rsid w:val="00FC7F7F"/>
    <w:rsid w:val="00FD00C2"/>
    <w:rsid w:val="00FD0355"/>
    <w:rsid w:val="00FD088D"/>
    <w:rsid w:val="00FD154B"/>
    <w:rsid w:val="00FD16FA"/>
    <w:rsid w:val="00FD1D5D"/>
    <w:rsid w:val="00FD2D6C"/>
    <w:rsid w:val="00FD2FD1"/>
    <w:rsid w:val="00FD4222"/>
    <w:rsid w:val="00FD4DAB"/>
    <w:rsid w:val="00FD4DFF"/>
    <w:rsid w:val="00FD503B"/>
    <w:rsid w:val="00FD528E"/>
    <w:rsid w:val="00FD531D"/>
    <w:rsid w:val="00FD5502"/>
    <w:rsid w:val="00FD5879"/>
    <w:rsid w:val="00FD58B2"/>
    <w:rsid w:val="00FD5AAF"/>
    <w:rsid w:val="00FD63FF"/>
    <w:rsid w:val="00FD644E"/>
    <w:rsid w:val="00FD645E"/>
    <w:rsid w:val="00FD6480"/>
    <w:rsid w:val="00FD6788"/>
    <w:rsid w:val="00FD6B83"/>
    <w:rsid w:val="00FD6E05"/>
    <w:rsid w:val="00FD7476"/>
    <w:rsid w:val="00FD7577"/>
    <w:rsid w:val="00FD7B61"/>
    <w:rsid w:val="00FD7B73"/>
    <w:rsid w:val="00FD7F38"/>
    <w:rsid w:val="00FE0445"/>
    <w:rsid w:val="00FE059A"/>
    <w:rsid w:val="00FE0C91"/>
    <w:rsid w:val="00FE152A"/>
    <w:rsid w:val="00FE18BC"/>
    <w:rsid w:val="00FE1993"/>
    <w:rsid w:val="00FE1A19"/>
    <w:rsid w:val="00FE1B31"/>
    <w:rsid w:val="00FE1DDC"/>
    <w:rsid w:val="00FE200B"/>
    <w:rsid w:val="00FE2114"/>
    <w:rsid w:val="00FE2933"/>
    <w:rsid w:val="00FE2BE8"/>
    <w:rsid w:val="00FE2D31"/>
    <w:rsid w:val="00FE30D1"/>
    <w:rsid w:val="00FE30D7"/>
    <w:rsid w:val="00FE3F94"/>
    <w:rsid w:val="00FE5037"/>
    <w:rsid w:val="00FE515E"/>
    <w:rsid w:val="00FE5803"/>
    <w:rsid w:val="00FE60C5"/>
    <w:rsid w:val="00FE62BF"/>
    <w:rsid w:val="00FE67D7"/>
    <w:rsid w:val="00FE6AC4"/>
    <w:rsid w:val="00FE702D"/>
    <w:rsid w:val="00FE7127"/>
    <w:rsid w:val="00FE7EC5"/>
    <w:rsid w:val="00FF0B60"/>
    <w:rsid w:val="00FF15D6"/>
    <w:rsid w:val="00FF1665"/>
    <w:rsid w:val="00FF1AA8"/>
    <w:rsid w:val="00FF1C5B"/>
    <w:rsid w:val="00FF1D98"/>
    <w:rsid w:val="00FF2564"/>
    <w:rsid w:val="00FF25DF"/>
    <w:rsid w:val="00FF294E"/>
    <w:rsid w:val="00FF29AC"/>
    <w:rsid w:val="00FF2ECA"/>
    <w:rsid w:val="00FF302F"/>
    <w:rsid w:val="00FF34F3"/>
    <w:rsid w:val="00FF3841"/>
    <w:rsid w:val="00FF48B0"/>
    <w:rsid w:val="00FF4A03"/>
    <w:rsid w:val="00FF4C69"/>
    <w:rsid w:val="00FF5319"/>
    <w:rsid w:val="00FF53E2"/>
    <w:rsid w:val="00FF53F4"/>
    <w:rsid w:val="00FF63A6"/>
    <w:rsid w:val="00FF6715"/>
    <w:rsid w:val="00FF6FB7"/>
    <w:rsid w:val="00FF7A58"/>
    <w:rsid w:val="00FF7A95"/>
    <w:rsid w:val="00FF7CA0"/>
    <w:rsid w:val="012AA35E"/>
    <w:rsid w:val="01332762"/>
    <w:rsid w:val="01835FF8"/>
    <w:rsid w:val="0200881A"/>
    <w:rsid w:val="02392739"/>
    <w:rsid w:val="02C3A496"/>
    <w:rsid w:val="02F5FADD"/>
    <w:rsid w:val="02F7880A"/>
    <w:rsid w:val="03237ED8"/>
    <w:rsid w:val="03574C7C"/>
    <w:rsid w:val="04467E64"/>
    <w:rsid w:val="0459F029"/>
    <w:rsid w:val="048488DE"/>
    <w:rsid w:val="04BBE8F6"/>
    <w:rsid w:val="0558747C"/>
    <w:rsid w:val="056265D3"/>
    <w:rsid w:val="05B7FEC4"/>
    <w:rsid w:val="05C1C756"/>
    <w:rsid w:val="05FBFF51"/>
    <w:rsid w:val="0641255F"/>
    <w:rsid w:val="066A0008"/>
    <w:rsid w:val="06978625"/>
    <w:rsid w:val="0720096E"/>
    <w:rsid w:val="077FFBD8"/>
    <w:rsid w:val="07D61F36"/>
    <w:rsid w:val="081C4FB2"/>
    <w:rsid w:val="08686D88"/>
    <w:rsid w:val="08CC0DDE"/>
    <w:rsid w:val="08E03D60"/>
    <w:rsid w:val="08E23F4B"/>
    <w:rsid w:val="0906C781"/>
    <w:rsid w:val="09B113DB"/>
    <w:rsid w:val="09F888C1"/>
    <w:rsid w:val="0AA4AFAD"/>
    <w:rsid w:val="0B826DF2"/>
    <w:rsid w:val="0BB14C7B"/>
    <w:rsid w:val="0BC26003"/>
    <w:rsid w:val="0C7924A2"/>
    <w:rsid w:val="0CBD9391"/>
    <w:rsid w:val="0D18010E"/>
    <w:rsid w:val="0D9B3A27"/>
    <w:rsid w:val="0DCE7F74"/>
    <w:rsid w:val="0E0388B6"/>
    <w:rsid w:val="0E5AAC40"/>
    <w:rsid w:val="0E8D8884"/>
    <w:rsid w:val="0F466DEA"/>
    <w:rsid w:val="0F5D6D56"/>
    <w:rsid w:val="0FAEABE6"/>
    <w:rsid w:val="0FB39B47"/>
    <w:rsid w:val="0FE3014D"/>
    <w:rsid w:val="0FFCD556"/>
    <w:rsid w:val="101D7951"/>
    <w:rsid w:val="1040D55A"/>
    <w:rsid w:val="11651057"/>
    <w:rsid w:val="1221622E"/>
    <w:rsid w:val="122D896E"/>
    <w:rsid w:val="123DFACD"/>
    <w:rsid w:val="1290E01A"/>
    <w:rsid w:val="12E72673"/>
    <w:rsid w:val="1329717C"/>
    <w:rsid w:val="13439B72"/>
    <w:rsid w:val="134CEBBD"/>
    <w:rsid w:val="13BB3AD9"/>
    <w:rsid w:val="145D5351"/>
    <w:rsid w:val="14FFFF9E"/>
    <w:rsid w:val="15B9C997"/>
    <w:rsid w:val="15C61285"/>
    <w:rsid w:val="15DC2C02"/>
    <w:rsid w:val="15F99D90"/>
    <w:rsid w:val="15FD310D"/>
    <w:rsid w:val="1641B77C"/>
    <w:rsid w:val="1642ECDC"/>
    <w:rsid w:val="16603A10"/>
    <w:rsid w:val="1661FEAA"/>
    <w:rsid w:val="16A05FC2"/>
    <w:rsid w:val="16D80396"/>
    <w:rsid w:val="16E591E0"/>
    <w:rsid w:val="16F31017"/>
    <w:rsid w:val="16FFBEAB"/>
    <w:rsid w:val="172EE0AD"/>
    <w:rsid w:val="173A543D"/>
    <w:rsid w:val="175D4647"/>
    <w:rsid w:val="17A9A1FA"/>
    <w:rsid w:val="1805035C"/>
    <w:rsid w:val="192C6922"/>
    <w:rsid w:val="1938D9E4"/>
    <w:rsid w:val="1970ED47"/>
    <w:rsid w:val="1980A3B4"/>
    <w:rsid w:val="19B0050D"/>
    <w:rsid w:val="1A0A11F5"/>
    <w:rsid w:val="1A0B592F"/>
    <w:rsid w:val="1A4A4D06"/>
    <w:rsid w:val="1A8BE4CF"/>
    <w:rsid w:val="1AA67FF7"/>
    <w:rsid w:val="1AE47BA2"/>
    <w:rsid w:val="1B1CF3FA"/>
    <w:rsid w:val="1B6C1027"/>
    <w:rsid w:val="1BE34272"/>
    <w:rsid w:val="1BF2A7EC"/>
    <w:rsid w:val="1C16C49D"/>
    <w:rsid w:val="1C93BA26"/>
    <w:rsid w:val="1D702507"/>
    <w:rsid w:val="1DEC1E43"/>
    <w:rsid w:val="1E5A986E"/>
    <w:rsid w:val="1EF65F70"/>
    <w:rsid w:val="1EFDFA89"/>
    <w:rsid w:val="1F5CCE80"/>
    <w:rsid w:val="1FE91861"/>
    <w:rsid w:val="1FE9963F"/>
    <w:rsid w:val="20551EAA"/>
    <w:rsid w:val="20638FE8"/>
    <w:rsid w:val="20796C45"/>
    <w:rsid w:val="20821F98"/>
    <w:rsid w:val="20895606"/>
    <w:rsid w:val="210FD059"/>
    <w:rsid w:val="216D2BA0"/>
    <w:rsid w:val="21900B10"/>
    <w:rsid w:val="2192FCCC"/>
    <w:rsid w:val="21DA170E"/>
    <w:rsid w:val="2251BE7D"/>
    <w:rsid w:val="225EEEA6"/>
    <w:rsid w:val="22CBBB1B"/>
    <w:rsid w:val="230C9A35"/>
    <w:rsid w:val="2346D69F"/>
    <w:rsid w:val="23E80D26"/>
    <w:rsid w:val="23FD7246"/>
    <w:rsid w:val="24429F73"/>
    <w:rsid w:val="24468E46"/>
    <w:rsid w:val="24512EC6"/>
    <w:rsid w:val="24D55113"/>
    <w:rsid w:val="24E9DA2D"/>
    <w:rsid w:val="24F15B4F"/>
    <w:rsid w:val="254EB680"/>
    <w:rsid w:val="254ED442"/>
    <w:rsid w:val="254FF240"/>
    <w:rsid w:val="259A1E28"/>
    <w:rsid w:val="25AD02DE"/>
    <w:rsid w:val="25BE8C19"/>
    <w:rsid w:val="262BE2E6"/>
    <w:rsid w:val="2642AEDA"/>
    <w:rsid w:val="267949CC"/>
    <w:rsid w:val="26A0AABB"/>
    <w:rsid w:val="26D5019A"/>
    <w:rsid w:val="27000AAE"/>
    <w:rsid w:val="2747FC36"/>
    <w:rsid w:val="2792FC04"/>
    <w:rsid w:val="27C37F8F"/>
    <w:rsid w:val="27E0EA01"/>
    <w:rsid w:val="27EC8C6A"/>
    <w:rsid w:val="28182492"/>
    <w:rsid w:val="282A3896"/>
    <w:rsid w:val="28B92EA0"/>
    <w:rsid w:val="28F810C0"/>
    <w:rsid w:val="2908D9EC"/>
    <w:rsid w:val="2921DD96"/>
    <w:rsid w:val="296BAFD6"/>
    <w:rsid w:val="29A0279A"/>
    <w:rsid w:val="2A3B912D"/>
    <w:rsid w:val="2A3D71FF"/>
    <w:rsid w:val="2A6A4412"/>
    <w:rsid w:val="2A78118E"/>
    <w:rsid w:val="2AAE4EC4"/>
    <w:rsid w:val="2B5A9E5A"/>
    <w:rsid w:val="2B78A3D1"/>
    <w:rsid w:val="2BCDF9DB"/>
    <w:rsid w:val="2BDE0561"/>
    <w:rsid w:val="2BED08C9"/>
    <w:rsid w:val="2C399E32"/>
    <w:rsid w:val="2C4ED5C3"/>
    <w:rsid w:val="2C7FCB45"/>
    <w:rsid w:val="2CDA265F"/>
    <w:rsid w:val="2D2DFFA3"/>
    <w:rsid w:val="2D543880"/>
    <w:rsid w:val="2D630411"/>
    <w:rsid w:val="2D89764A"/>
    <w:rsid w:val="2D96DC02"/>
    <w:rsid w:val="2DA8C0F6"/>
    <w:rsid w:val="2DAFF30D"/>
    <w:rsid w:val="2DC62FE4"/>
    <w:rsid w:val="2E14459B"/>
    <w:rsid w:val="2E17E19E"/>
    <w:rsid w:val="2E5D482D"/>
    <w:rsid w:val="2E661095"/>
    <w:rsid w:val="2ECAD7C4"/>
    <w:rsid w:val="2EE2F927"/>
    <w:rsid w:val="2EE7086F"/>
    <w:rsid w:val="2EF76C3C"/>
    <w:rsid w:val="2F911BA5"/>
    <w:rsid w:val="2FB28BD7"/>
    <w:rsid w:val="2FC77B00"/>
    <w:rsid w:val="2FE6F835"/>
    <w:rsid w:val="2FF0AB17"/>
    <w:rsid w:val="3033B752"/>
    <w:rsid w:val="30930687"/>
    <w:rsid w:val="3174A1E2"/>
    <w:rsid w:val="318F420F"/>
    <w:rsid w:val="31ACA9D7"/>
    <w:rsid w:val="31F89E6B"/>
    <w:rsid w:val="32134B71"/>
    <w:rsid w:val="325DC8C6"/>
    <w:rsid w:val="3273B9CF"/>
    <w:rsid w:val="32EFA707"/>
    <w:rsid w:val="333587F7"/>
    <w:rsid w:val="33AEFEDB"/>
    <w:rsid w:val="340C288F"/>
    <w:rsid w:val="3440E81A"/>
    <w:rsid w:val="346BF852"/>
    <w:rsid w:val="34C54FD3"/>
    <w:rsid w:val="34D94C1B"/>
    <w:rsid w:val="34DDED8A"/>
    <w:rsid w:val="35BEFB7A"/>
    <w:rsid w:val="35EA4E18"/>
    <w:rsid w:val="35F25D63"/>
    <w:rsid w:val="361666C4"/>
    <w:rsid w:val="3630028D"/>
    <w:rsid w:val="368A8D0E"/>
    <w:rsid w:val="36C61BA9"/>
    <w:rsid w:val="36F902E7"/>
    <w:rsid w:val="372FDD74"/>
    <w:rsid w:val="375F6127"/>
    <w:rsid w:val="37A415AB"/>
    <w:rsid w:val="37CD468E"/>
    <w:rsid w:val="37F9EB5D"/>
    <w:rsid w:val="38591A07"/>
    <w:rsid w:val="387655F3"/>
    <w:rsid w:val="38B75100"/>
    <w:rsid w:val="38F47657"/>
    <w:rsid w:val="39295EED"/>
    <w:rsid w:val="3986787E"/>
    <w:rsid w:val="398DC812"/>
    <w:rsid w:val="39EC7568"/>
    <w:rsid w:val="3A175B88"/>
    <w:rsid w:val="3A235326"/>
    <w:rsid w:val="3A413707"/>
    <w:rsid w:val="3A78A02D"/>
    <w:rsid w:val="3B1A057A"/>
    <w:rsid w:val="3B213232"/>
    <w:rsid w:val="3B35176F"/>
    <w:rsid w:val="3B9BB802"/>
    <w:rsid w:val="3BDE71C0"/>
    <w:rsid w:val="3C63721A"/>
    <w:rsid w:val="3C858BD7"/>
    <w:rsid w:val="3C9314DF"/>
    <w:rsid w:val="3D6626D1"/>
    <w:rsid w:val="3D822CDB"/>
    <w:rsid w:val="3E2F6063"/>
    <w:rsid w:val="3E4BF996"/>
    <w:rsid w:val="3E53E961"/>
    <w:rsid w:val="3E7CC0DB"/>
    <w:rsid w:val="3EF4DB97"/>
    <w:rsid w:val="3F2CCA17"/>
    <w:rsid w:val="3F59A12F"/>
    <w:rsid w:val="3F788BBE"/>
    <w:rsid w:val="3FC73730"/>
    <w:rsid w:val="3FD98419"/>
    <w:rsid w:val="40519FC0"/>
    <w:rsid w:val="40ADAA93"/>
    <w:rsid w:val="40B5C9BE"/>
    <w:rsid w:val="40DF29B1"/>
    <w:rsid w:val="40F41D98"/>
    <w:rsid w:val="414E351B"/>
    <w:rsid w:val="415AC3AB"/>
    <w:rsid w:val="417DCA5A"/>
    <w:rsid w:val="418EC6FA"/>
    <w:rsid w:val="41956406"/>
    <w:rsid w:val="41C85445"/>
    <w:rsid w:val="4228C52D"/>
    <w:rsid w:val="42EFE419"/>
    <w:rsid w:val="42F745B5"/>
    <w:rsid w:val="4369B280"/>
    <w:rsid w:val="4378517E"/>
    <w:rsid w:val="4387B7D7"/>
    <w:rsid w:val="43E5D3A7"/>
    <w:rsid w:val="4425B453"/>
    <w:rsid w:val="442F087D"/>
    <w:rsid w:val="445B54B9"/>
    <w:rsid w:val="44D52A8B"/>
    <w:rsid w:val="45305250"/>
    <w:rsid w:val="453D114A"/>
    <w:rsid w:val="45D355F3"/>
    <w:rsid w:val="465574E8"/>
    <w:rsid w:val="4681576A"/>
    <w:rsid w:val="46AA41FC"/>
    <w:rsid w:val="46B8A93C"/>
    <w:rsid w:val="4736320B"/>
    <w:rsid w:val="474BA1F8"/>
    <w:rsid w:val="47ED3331"/>
    <w:rsid w:val="48297954"/>
    <w:rsid w:val="48A568BA"/>
    <w:rsid w:val="48B4A79F"/>
    <w:rsid w:val="48E1E734"/>
    <w:rsid w:val="490DA68D"/>
    <w:rsid w:val="492E82AF"/>
    <w:rsid w:val="4930047A"/>
    <w:rsid w:val="49326FA5"/>
    <w:rsid w:val="494E81A2"/>
    <w:rsid w:val="49BD1DD4"/>
    <w:rsid w:val="49D00572"/>
    <w:rsid w:val="49E7E7B1"/>
    <w:rsid w:val="4A068B3F"/>
    <w:rsid w:val="4B7903B2"/>
    <w:rsid w:val="4B81E9B5"/>
    <w:rsid w:val="4C01DA34"/>
    <w:rsid w:val="4C82DD3F"/>
    <w:rsid w:val="4C8738B8"/>
    <w:rsid w:val="4CA81CAA"/>
    <w:rsid w:val="4CAB4B65"/>
    <w:rsid w:val="4D0DDC32"/>
    <w:rsid w:val="4D3C8A9F"/>
    <w:rsid w:val="4D9E2C58"/>
    <w:rsid w:val="4DEE968F"/>
    <w:rsid w:val="4E0CF08F"/>
    <w:rsid w:val="4E17E428"/>
    <w:rsid w:val="4E1DCC20"/>
    <w:rsid w:val="4E213128"/>
    <w:rsid w:val="4E328E19"/>
    <w:rsid w:val="4E3DBD6F"/>
    <w:rsid w:val="4EAE9822"/>
    <w:rsid w:val="4EC77753"/>
    <w:rsid w:val="4F1E4CE1"/>
    <w:rsid w:val="5015EC5D"/>
    <w:rsid w:val="5041ABCB"/>
    <w:rsid w:val="50575909"/>
    <w:rsid w:val="50AA52F3"/>
    <w:rsid w:val="50B12976"/>
    <w:rsid w:val="513AB5FB"/>
    <w:rsid w:val="5168AA30"/>
    <w:rsid w:val="5185B593"/>
    <w:rsid w:val="518FB307"/>
    <w:rsid w:val="51B80812"/>
    <w:rsid w:val="51BA564E"/>
    <w:rsid w:val="528D5C53"/>
    <w:rsid w:val="532D139D"/>
    <w:rsid w:val="53529EDB"/>
    <w:rsid w:val="537354F3"/>
    <w:rsid w:val="53DB13A8"/>
    <w:rsid w:val="5413A8BE"/>
    <w:rsid w:val="541A2544"/>
    <w:rsid w:val="5423A4F6"/>
    <w:rsid w:val="5433CDB5"/>
    <w:rsid w:val="5441DB3C"/>
    <w:rsid w:val="545D35B4"/>
    <w:rsid w:val="545F5145"/>
    <w:rsid w:val="54623991"/>
    <w:rsid w:val="548EC80E"/>
    <w:rsid w:val="549EB0BE"/>
    <w:rsid w:val="54DAE8AF"/>
    <w:rsid w:val="54F76635"/>
    <w:rsid w:val="54FD09F8"/>
    <w:rsid w:val="5551C9F3"/>
    <w:rsid w:val="564B9920"/>
    <w:rsid w:val="565C9215"/>
    <w:rsid w:val="565F7B01"/>
    <w:rsid w:val="56A8202F"/>
    <w:rsid w:val="5724A011"/>
    <w:rsid w:val="57640120"/>
    <w:rsid w:val="57722875"/>
    <w:rsid w:val="577FF151"/>
    <w:rsid w:val="57B7CBDF"/>
    <w:rsid w:val="57D7038D"/>
    <w:rsid w:val="58001A88"/>
    <w:rsid w:val="5817F821"/>
    <w:rsid w:val="58909AFB"/>
    <w:rsid w:val="5894C6F9"/>
    <w:rsid w:val="58E43B2D"/>
    <w:rsid w:val="59004583"/>
    <w:rsid w:val="59226CD7"/>
    <w:rsid w:val="5964E48F"/>
    <w:rsid w:val="59715484"/>
    <w:rsid w:val="59967749"/>
    <w:rsid w:val="59CC2110"/>
    <w:rsid w:val="59D677BB"/>
    <w:rsid w:val="5A924169"/>
    <w:rsid w:val="5A98F1DC"/>
    <w:rsid w:val="5AADA7DA"/>
    <w:rsid w:val="5ADAA21B"/>
    <w:rsid w:val="5B8B022C"/>
    <w:rsid w:val="5BAC1250"/>
    <w:rsid w:val="5BB457ED"/>
    <w:rsid w:val="5BB90804"/>
    <w:rsid w:val="5C3C624B"/>
    <w:rsid w:val="5CA63A05"/>
    <w:rsid w:val="5D4206F3"/>
    <w:rsid w:val="5D700DAC"/>
    <w:rsid w:val="5D8C355F"/>
    <w:rsid w:val="5DA68669"/>
    <w:rsid w:val="5E8FB271"/>
    <w:rsid w:val="5F44AF9D"/>
    <w:rsid w:val="5F673A08"/>
    <w:rsid w:val="5F9A0298"/>
    <w:rsid w:val="5FB68FC5"/>
    <w:rsid w:val="5FD2FC87"/>
    <w:rsid w:val="5FE15C76"/>
    <w:rsid w:val="5FE6D5C9"/>
    <w:rsid w:val="5FFEF38F"/>
    <w:rsid w:val="6049A1D1"/>
    <w:rsid w:val="615444BA"/>
    <w:rsid w:val="61C8E594"/>
    <w:rsid w:val="62055E47"/>
    <w:rsid w:val="620723CC"/>
    <w:rsid w:val="624FA123"/>
    <w:rsid w:val="6255F10D"/>
    <w:rsid w:val="62A95F28"/>
    <w:rsid w:val="62EDC92F"/>
    <w:rsid w:val="62EE7211"/>
    <w:rsid w:val="63670B74"/>
    <w:rsid w:val="63A4621B"/>
    <w:rsid w:val="63CEAB5F"/>
    <w:rsid w:val="63E007DA"/>
    <w:rsid w:val="641802BA"/>
    <w:rsid w:val="64255C21"/>
    <w:rsid w:val="642965C8"/>
    <w:rsid w:val="643B4D27"/>
    <w:rsid w:val="64467C7B"/>
    <w:rsid w:val="64706B82"/>
    <w:rsid w:val="66358279"/>
    <w:rsid w:val="664919CB"/>
    <w:rsid w:val="66CD87FF"/>
    <w:rsid w:val="66D5DADC"/>
    <w:rsid w:val="673086CD"/>
    <w:rsid w:val="677C9827"/>
    <w:rsid w:val="67DF5278"/>
    <w:rsid w:val="67F8360E"/>
    <w:rsid w:val="6809B551"/>
    <w:rsid w:val="6818BE79"/>
    <w:rsid w:val="6861250E"/>
    <w:rsid w:val="68B780F2"/>
    <w:rsid w:val="697E1B56"/>
    <w:rsid w:val="69881087"/>
    <w:rsid w:val="69DF51EE"/>
    <w:rsid w:val="6A2408C4"/>
    <w:rsid w:val="6A722069"/>
    <w:rsid w:val="6A768EAA"/>
    <w:rsid w:val="6B09D763"/>
    <w:rsid w:val="6B14B9C2"/>
    <w:rsid w:val="6B339A90"/>
    <w:rsid w:val="6B8449A5"/>
    <w:rsid w:val="6BA68735"/>
    <w:rsid w:val="6C0536F8"/>
    <w:rsid w:val="6C306B84"/>
    <w:rsid w:val="6C326849"/>
    <w:rsid w:val="6C3EC810"/>
    <w:rsid w:val="6C5257D7"/>
    <w:rsid w:val="6CC8B9EE"/>
    <w:rsid w:val="6CFD5A09"/>
    <w:rsid w:val="6D2B2A2E"/>
    <w:rsid w:val="6D6FE4D6"/>
    <w:rsid w:val="6D755649"/>
    <w:rsid w:val="6D917B8F"/>
    <w:rsid w:val="6DE18214"/>
    <w:rsid w:val="6DF94C45"/>
    <w:rsid w:val="6E6B94CF"/>
    <w:rsid w:val="6E9398FF"/>
    <w:rsid w:val="6EC7C1D7"/>
    <w:rsid w:val="6EF378DD"/>
    <w:rsid w:val="6F4E0FA3"/>
    <w:rsid w:val="6F9EAAE4"/>
    <w:rsid w:val="6FBCD925"/>
    <w:rsid w:val="7007589A"/>
    <w:rsid w:val="70D63737"/>
    <w:rsid w:val="711995B9"/>
    <w:rsid w:val="715154BD"/>
    <w:rsid w:val="719B47BE"/>
    <w:rsid w:val="71D838D2"/>
    <w:rsid w:val="72C68DD2"/>
    <w:rsid w:val="72D378A6"/>
    <w:rsid w:val="72E3CC92"/>
    <w:rsid w:val="72F9F936"/>
    <w:rsid w:val="73943BBF"/>
    <w:rsid w:val="73CF2C2B"/>
    <w:rsid w:val="73E647C0"/>
    <w:rsid w:val="73FC3DC7"/>
    <w:rsid w:val="742069C9"/>
    <w:rsid w:val="7436E459"/>
    <w:rsid w:val="74810F0C"/>
    <w:rsid w:val="74818EB2"/>
    <w:rsid w:val="74F7044A"/>
    <w:rsid w:val="756EBA75"/>
    <w:rsid w:val="75759DC0"/>
    <w:rsid w:val="75761C20"/>
    <w:rsid w:val="7606C631"/>
    <w:rsid w:val="76183A46"/>
    <w:rsid w:val="7628E581"/>
    <w:rsid w:val="764390AF"/>
    <w:rsid w:val="764C7A19"/>
    <w:rsid w:val="765DB6E7"/>
    <w:rsid w:val="766BFDA1"/>
    <w:rsid w:val="7672C961"/>
    <w:rsid w:val="76A848CB"/>
    <w:rsid w:val="771C2B14"/>
    <w:rsid w:val="772C8E52"/>
    <w:rsid w:val="773EB405"/>
    <w:rsid w:val="775172B0"/>
    <w:rsid w:val="77931B3B"/>
    <w:rsid w:val="77A876C7"/>
    <w:rsid w:val="77E56FB2"/>
    <w:rsid w:val="783FA35D"/>
    <w:rsid w:val="78535F02"/>
    <w:rsid w:val="785FDBBC"/>
    <w:rsid w:val="792A371D"/>
    <w:rsid w:val="794C0331"/>
    <w:rsid w:val="79559FB8"/>
    <w:rsid w:val="798B2554"/>
    <w:rsid w:val="79D6DF74"/>
    <w:rsid w:val="79DE9BE4"/>
    <w:rsid w:val="79E31D08"/>
    <w:rsid w:val="7A68D88F"/>
    <w:rsid w:val="7A84C108"/>
    <w:rsid w:val="7B25CBA7"/>
    <w:rsid w:val="7B931EE7"/>
    <w:rsid w:val="7B9FB92F"/>
    <w:rsid w:val="7C007A61"/>
    <w:rsid w:val="7C4E4B28"/>
    <w:rsid w:val="7C5FAF58"/>
    <w:rsid w:val="7C731E6B"/>
    <w:rsid w:val="7CC4557D"/>
    <w:rsid w:val="7CC8B146"/>
    <w:rsid w:val="7CCA189B"/>
    <w:rsid w:val="7CEF5EAF"/>
    <w:rsid w:val="7D7B6017"/>
    <w:rsid w:val="7D8AB48D"/>
    <w:rsid w:val="7DD0CF25"/>
    <w:rsid w:val="7DDB8203"/>
    <w:rsid w:val="7DF0603F"/>
    <w:rsid w:val="7DFEE6D1"/>
    <w:rsid w:val="7E943273"/>
    <w:rsid w:val="7EAD8329"/>
    <w:rsid w:val="7EB25C45"/>
    <w:rsid w:val="7EB33F3F"/>
    <w:rsid w:val="7EEF45D5"/>
    <w:rsid w:val="7F0FD46A"/>
    <w:rsid w:val="7F81815A"/>
    <w:rsid w:val="7FCABC69"/>
    <w:rsid w:val="7FCABD9B"/>
    <w:rsid w:val="7FFE88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DBB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bg-BG"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qFormat="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64" w:lineRule="auto"/>
      <w:jc w:val="both"/>
    </w:pPr>
    <w:rPr>
      <w:sz w:val="22"/>
    </w:rPr>
  </w:style>
  <w:style w:type="paragraph" w:styleId="Heading1">
    <w:name w:val="heading 1"/>
    <w:basedOn w:val="Normal"/>
    <w:next w:val="Normal"/>
    <w:uiPriority w:val="9"/>
    <w:qFormat/>
    <w:pPr>
      <w:keepNext/>
      <w:numPr>
        <w:numId w:val="10"/>
      </w:numPr>
      <w:spacing w:before="480"/>
      <w:outlineLvl w:val="0"/>
    </w:pPr>
    <w:rPr>
      <w:b/>
      <w:smallCaps/>
      <w:sz w:val="26"/>
    </w:rPr>
  </w:style>
  <w:style w:type="paragraph" w:styleId="Heading2">
    <w:name w:val="heading 2"/>
    <w:basedOn w:val="Normal"/>
    <w:next w:val="Normal"/>
    <w:uiPriority w:val="9"/>
    <w:qFormat/>
    <w:pPr>
      <w:keepNext/>
      <w:numPr>
        <w:ilvl w:val="1"/>
        <w:numId w:val="10"/>
      </w:numPr>
      <w:spacing w:before="420"/>
      <w:outlineLvl w:val="1"/>
    </w:pPr>
    <w:rPr>
      <w:b/>
      <w:sz w:val="26"/>
    </w:rPr>
  </w:style>
  <w:style w:type="paragraph" w:styleId="Heading3">
    <w:name w:val="heading 3"/>
    <w:basedOn w:val="Normal"/>
    <w:next w:val="Normal"/>
    <w:uiPriority w:val="9"/>
    <w:qFormat/>
    <w:pPr>
      <w:keepNext/>
      <w:numPr>
        <w:ilvl w:val="2"/>
        <w:numId w:val="10"/>
      </w:numPr>
      <w:spacing w:before="360"/>
      <w:outlineLvl w:val="2"/>
    </w:pPr>
    <w:rPr>
      <w:b/>
      <w:sz w:val="24"/>
    </w:rPr>
  </w:style>
  <w:style w:type="paragraph" w:styleId="Heading4">
    <w:name w:val="heading 4"/>
    <w:basedOn w:val="Normal"/>
    <w:next w:val="Normal"/>
    <w:uiPriority w:val="9"/>
    <w:qFormat/>
    <w:pPr>
      <w:numPr>
        <w:ilvl w:val="3"/>
        <w:numId w:val="10"/>
      </w:numPr>
      <w:spacing w:before="360"/>
      <w:outlineLvl w:val="3"/>
    </w:pPr>
    <w:rPr>
      <w:b/>
    </w:rPr>
  </w:style>
  <w:style w:type="paragraph" w:styleId="Heading5">
    <w:name w:val="heading 5"/>
    <w:basedOn w:val="Normal"/>
    <w:next w:val="Normal"/>
    <w:uiPriority w:val="9"/>
    <w:qFormat/>
    <w:pPr>
      <w:keepNext/>
      <w:numPr>
        <w:ilvl w:val="4"/>
        <w:numId w:val="10"/>
      </w:numPr>
      <w:outlineLvl w:val="4"/>
    </w:pPr>
  </w:style>
  <w:style w:type="paragraph" w:styleId="Heading6">
    <w:name w:val="heading 6"/>
    <w:basedOn w:val="Normal"/>
    <w:next w:val="Normal"/>
    <w:uiPriority w:val="9"/>
    <w:qFormat/>
    <w:pPr>
      <w:keepNext/>
      <w:numPr>
        <w:ilvl w:val="5"/>
        <w:numId w:val="10"/>
      </w:numPr>
      <w:outlineLvl w:val="5"/>
    </w:pPr>
  </w:style>
  <w:style w:type="paragraph" w:styleId="Heading7">
    <w:name w:val="heading 7"/>
    <w:basedOn w:val="Normal"/>
    <w:next w:val="Normal"/>
    <w:uiPriority w:val="9"/>
    <w:semiHidden/>
    <w:qFormat/>
    <w:pPr>
      <w:keepNext/>
      <w:numPr>
        <w:ilvl w:val="6"/>
        <w:numId w:val="10"/>
      </w:numPr>
      <w:outlineLvl w:val="6"/>
    </w:pPr>
  </w:style>
  <w:style w:type="paragraph" w:styleId="Heading8">
    <w:name w:val="heading 8"/>
    <w:basedOn w:val="Normal"/>
    <w:next w:val="Normal"/>
    <w:uiPriority w:val="9"/>
    <w:semiHidden/>
    <w:qFormat/>
    <w:pPr>
      <w:keepNext/>
      <w:numPr>
        <w:ilvl w:val="7"/>
        <w:numId w:val="10"/>
      </w:numPr>
      <w:outlineLvl w:val="7"/>
    </w:pPr>
  </w:style>
  <w:style w:type="paragraph" w:styleId="Heading9">
    <w:name w:val="heading 9"/>
    <w:basedOn w:val="Normal"/>
    <w:next w:val="Normal"/>
    <w:uiPriority w:val="9"/>
    <w:semiHidden/>
    <w:qFormat/>
    <w:pPr>
      <w:keepNext/>
      <w:numPr>
        <w:ilvl w:val="8"/>
        <w:numId w:val="10"/>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aliases w:val="Footnote,Footnote symbol,EN Footnote Reference,-E Fußnotenzeichen, BVI fnr,Footnote number,Footnote Reference Number,Footnote reference number,Times 10 Point,Exposant 3 Point,Footnote Reference Superscript, Exposant 3 Point,BVI fnr,fr"/>
    <w:link w:val="BVIfnrCarCarCarCarCharCharCharChar"/>
    <w:uiPriority w:val="99"/>
    <w:qFormat/>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
      </w:numPr>
      <w:spacing w:after="360"/>
      <w:outlineLvl w:val="0"/>
    </w:pPr>
    <w:rPr>
      <w:b/>
      <w:sz w:val="36"/>
    </w:rPr>
  </w:style>
  <w:style w:type="paragraph" w:styleId="Caption">
    <w:name w:val="caption"/>
    <w:basedOn w:val="Normal"/>
    <w:next w:val="Normal"/>
    <w:semiHidden/>
    <w:pPr>
      <w:spacing w:before="120"/>
    </w:pPr>
    <w:rPr>
      <w:b/>
      <w:i/>
    </w:rPr>
  </w:style>
  <w:style w:type="paragraph" w:customStyle="1" w:styleId="ChapterTitle">
    <w:name w:val="ChapterTitle"/>
    <w:basedOn w:val="Normal"/>
    <w:next w:val="SectionTitle"/>
    <w:uiPriority w:val="43"/>
    <w:qFormat/>
    <w:pPr>
      <w:keepNext/>
      <w:spacing w:before="720" w:after="360"/>
      <w:jc w:val="center"/>
      <w:outlineLvl w:val="0"/>
    </w:pPr>
    <w:rPr>
      <w:b/>
      <w:sz w:val="36"/>
    </w:rPr>
  </w:style>
  <w:style w:type="paragraph" w:customStyle="1" w:styleId="Contact">
    <w:name w:val="Contact"/>
    <w:basedOn w:val="Normal"/>
    <w:semiHidden/>
    <w:pPr>
      <w:spacing w:before="480" w:after="240"/>
      <w:ind w:left="567" w:hanging="567"/>
      <w:jc w:val="left"/>
    </w:pPr>
  </w:style>
  <w:style w:type="paragraph" w:customStyle="1" w:styleId="ContNum">
    <w:name w:val="ContNum"/>
    <w:basedOn w:val="Normal"/>
    <w:uiPriority w:val="20"/>
    <w:qFormat/>
    <w:pPr>
      <w:numPr>
        <w:numId w:val="2"/>
      </w:numPr>
    </w:pPr>
  </w:style>
  <w:style w:type="paragraph" w:customStyle="1" w:styleId="ContNumLevel2">
    <w:name w:val="ContNum (Level 2)"/>
    <w:basedOn w:val="Normal"/>
    <w:uiPriority w:val="20"/>
    <w:pPr>
      <w:numPr>
        <w:ilvl w:val="1"/>
        <w:numId w:val="2"/>
      </w:numPr>
    </w:pPr>
  </w:style>
  <w:style w:type="paragraph" w:customStyle="1" w:styleId="ContNumLevel3">
    <w:name w:val="ContNum (Level 3)"/>
    <w:basedOn w:val="Normal"/>
    <w:uiPriority w:val="20"/>
    <w:pPr>
      <w:numPr>
        <w:ilvl w:val="2"/>
        <w:numId w:val="2"/>
      </w:numPr>
    </w:pPr>
  </w:style>
  <w:style w:type="paragraph" w:styleId="Date">
    <w:name w:val="Date"/>
    <w:basedOn w:val="Normal"/>
    <w:next w:val="References"/>
    <w:semiHidden/>
    <w:pPr>
      <w:spacing w:after="0"/>
      <w:ind w:left="5102" w:right="-567"/>
    </w:pPr>
  </w:style>
  <w:style w:type="paragraph" w:styleId="EndnoteText">
    <w:name w:val="endnote text"/>
    <w:basedOn w:val="Normal"/>
    <w:semiHidden/>
    <w:pPr>
      <w:ind w:left="357" w:hanging="357"/>
    </w:pPr>
    <w:rPr>
      <w:sz w:val="20"/>
    </w:rPr>
  </w:style>
  <w:style w:type="paragraph" w:customStyle="1" w:styleId="FigureBody">
    <w:name w:val="Figure Body"/>
    <w:basedOn w:val="Normal"/>
    <w:next w:val="FigureSource"/>
    <w:uiPriority w:val="99"/>
    <w:semiHidden/>
    <w:unhideWhenUsed/>
    <w:pPr>
      <w:keepNext/>
      <w:spacing w:after="40" w:line="240" w:lineRule="auto"/>
    </w:pPr>
  </w:style>
  <w:style w:type="paragraph" w:customStyle="1" w:styleId="FigureSource">
    <w:name w:val="Figure Source"/>
    <w:basedOn w:val="Normal"/>
    <w:next w:val="Normal"/>
    <w:uiPriority w:val="99"/>
    <w:semiHidden/>
    <w:unhideWhenUsed/>
    <w:pPr>
      <w:spacing w:after="240" w:line="240" w:lineRule="auto"/>
    </w:pPr>
    <w:rPr>
      <w:sz w:val="18"/>
    </w:rPr>
  </w:style>
  <w:style w:type="paragraph" w:customStyle="1" w:styleId="FigureTitle">
    <w:name w:val="Figure Title"/>
    <w:basedOn w:val="Normal"/>
    <w:next w:val="FigureBody"/>
    <w:uiPriority w:val="99"/>
    <w:semiHidden/>
    <w:unhideWhenUsed/>
    <w:pPr>
      <w:keepNext/>
      <w:spacing w:before="120"/>
    </w:pPr>
    <w:rPr>
      <w:b/>
      <w:i/>
    </w:rPr>
  </w:style>
  <w:style w:type="paragraph" w:customStyle="1" w:styleId="FITTable">
    <w:name w:val="FIT Table"/>
    <w:basedOn w:val="Normal"/>
    <w:semiHidden/>
    <w:pPr>
      <w:spacing w:before="60" w:after="60"/>
    </w:pPr>
  </w:style>
  <w:style w:type="paragraph" w:customStyle="1" w:styleId="FooterLine">
    <w:name w:val="Footer Line"/>
    <w:basedOn w:val="Footer"/>
    <w:next w:val="Footer"/>
    <w:semiHidden/>
    <w:pPr>
      <w:pBdr>
        <w:top w:val="single" w:sz="4" w:space="1" w:color="auto"/>
      </w:pBdr>
      <w:tabs>
        <w:tab w:val="right" w:pos="8646"/>
      </w:tabs>
      <w:spacing w:before="120"/>
      <w:ind w:right="0"/>
    </w:pPr>
  </w:style>
  <w:style w:type="paragraph" w:styleId="FootnoteText">
    <w:name w:val="footnote text"/>
    <w:aliases w:val="Footnote Text Char1,Footnote Text Char Char,Footnote Text Char3 Char Char,Footnote Text Char2 Char Char Char,Footnote Text Char1 Char Char Char Char,Footnote Text Char Char Char Char Char Char,Fußnote,fn,single space,o,Char,f,Fußnot,EMPL6"/>
    <w:basedOn w:val="Normal"/>
    <w:uiPriority w:val="99"/>
    <w:qFormat/>
    <w:pPr>
      <w:ind w:left="357" w:hanging="357"/>
    </w:pPr>
    <w:rPr>
      <w:sz w:val="20"/>
    </w:rPr>
  </w:style>
  <w:style w:type="paragraph" w:customStyle="1" w:styleId="Glossary">
    <w:name w:val="Glossary"/>
    <w:basedOn w:val="Normal"/>
    <w:semiHidden/>
    <w:pPr>
      <w:tabs>
        <w:tab w:val="left" w:pos="2835"/>
      </w:tabs>
      <w:ind w:left="2835" w:hanging="2835"/>
      <w:jc w:val="left"/>
    </w:pPr>
  </w:style>
  <w:style w:type="paragraph" w:customStyle="1" w:styleId="GlossaryHeading">
    <w:name w:val="GlossaryHeading"/>
    <w:basedOn w:val="Normal"/>
    <w:semiHidden/>
    <w:pPr>
      <w:spacing w:after="480"/>
      <w:jc w:val="center"/>
      <w:outlineLvl w:val="0"/>
    </w:pPr>
    <w:rPr>
      <w:rFonts w:ascii="Times New Roman Bold" w:hAnsi="Times New Roman Bold"/>
      <w:b/>
      <w:sz w:val="32"/>
    </w:rPr>
  </w:style>
  <w:style w:type="paragraph" w:customStyle="1" w:styleId="HistoryTable">
    <w:name w:val="HistoryTable"/>
    <w:basedOn w:val="Normal"/>
    <w:semiHidden/>
    <w:pPr>
      <w:spacing w:before="60" w:after="60"/>
    </w:pPr>
    <w:rPr>
      <w:sz w:val="20"/>
    </w:rPr>
  </w:style>
  <w:style w:type="paragraph" w:customStyle="1" w:styleId="HistTableHeading">
    <w:name w:val="HistTableHeading"/>
    <w:basedOn w:val="Normal"/>
    <w:next w:val="HistoryTable"/>
    <w:semiHidden/>
    <w:pPr>
      <w:jc w:val="center"/>
    </w:pPr>
    <w:rPr>
      <w:rFonts w:ascii="Times New Roman Bold" w:hAnsi="Times New Roman Bold"/>
      <w:b/>
      <w:sz w:val="32"/>
    </w:rPr>
  </w:style>
  <w:style w:type="paragraph" w:customStyle="1" w:styleId="LegalNumPar">
    <w:name w:val="LegalNumPar"/>
    <w:basedOn w:val="Normal"/>
    <w:uiPriority w:val="20"/>
    <w:qFormat/>
    <w:pPr>
      <w:numPr>
        <w:numId w:val="3"/>
      </w:numPr>
      <w:spacing w:line="360" w:lineRule="auto"/>
    </w:pPr>
    <w:rPr>
      <w:sz w:val="24"/>
    </w:rPr>
  </w:style>
  <w:style w:type="paragraph" w:customStyle="1" w:styleId="LegalNumPar2">
    <w:name w:val="LegalNumPar2"/>
    <w:basedOn w:val="Normal"/>
    <w:uiPriority w:val="20"/>
    <w:pPr>
      <w:numPr>
        <w:ilvl w:val="1"/>
        <w:numId w:val="3"/>
      </w:numPr>
      <w:spacing w:line="360" w:lineRule="auto"/>
    </w:pPr>
    <w:rPr>
      <w:sz w:val="24"/>
    </w:rPr>
  </w:style>
  <w:style w:type="paragraph" w:customStyle="1" w:styleId="LegalNumPar3">
    <w:name w:val="LegalNumPar3"/>
    <w:basedOn w:val="Normal"/>
    <w:uiPriority w:val="20"/>
    <w:pPr>
      <w:numPr>
        <w:ilvl w:val="2"/>
        <w:numId w:val="3"/>
      </w:numPr>
      <w:spacing w:line="360" w:lineRule="auto"/>
    </w:pPr>
    <w:rPr>
      <w:sz w:val="24"/>
    </w:rPr>
  </w:style>
  <w:style w:type="paragraph" w:styleId="ListBullet">
    <w:name w:val="List Bullet"/>
    <w:basedOn w:val="Normal"/>
    <w:uiPriority w:val="35"/>
    <w:pPr>
      <w:numPr>
        <w:numId w:val="9"/>
      </w:numPr>
      <w:contextualSpacing/>
    </w:pPr>
  </w:style>
  <w:style w:type="paragraph" w:customStyle="1" w:styleId="ListBulletLevel2">
    <w:name w:val="List Bullet (Level 2)"/>
    <w:basedOn w:val="Normal"/>
    <w:uiPriority w:val="35"/>
    <w:semiHidden/>
    <w:unhideWhenUsed/>
    <w:pPr>
      <w:numPr>
        <w:ilvl w:val="1"/>
        <w:numId w:val="9"/>
      </w:numPr>
      <w:contextualSpacing/>
    </w:pPr>
  </w:style>
  <w:style w:type="paragraph" w:customStyle="1" w:styleId="ListBulletLevel3">
    <w:name w:val="List Bullet (Level 3)"/>
    <w:basedOn w:val="Normal"/>
    <w:uiPriority w:val="35"/>
    <w:semiHidden/>
    <w:unhideWhenUsed/>
    <w:pPr>
      <w:numPr>
        <w:ilvl w:val="2"/>
        <w:numId w:val="9"/>
      </w:numPr>
      <w:contextualSpacing/>
    </w:pPr>
  </w:style>
  <w:style w:type="paragraph" w:customStyle="1" w:styleId="ListBulletLevel4">
    <w:name w:val="List Bullet (Level 4)"/>
    <w:basedOn w:val="Normal"/>
    <w:uiPriority w:val="35"/>
    <w:semiHidden/>
    <w:unhideWhenUsed/>
    <w:pPr>
      <w:numPr>
        <w:ilvl w:val="3"/>
        <w:numId w:val="9"/>
      </w:numPr>
      <w:contextualSpacing/>
    </w:pPr>
  </w:style>
  <w:style w:type="paragraph" w:customStyle="1" w:styleId="ListDash">
    <w:name w:val="List Dash"/>
    <w:basedOn w:val="Normal"/>
    <w:uiPriority w:val="35"/>
    <w:pPr>
      <w:numPr>
        <w:numId w:val="7"/>
      </w:numPr>
      <w:contextualSpacing/>
    </w:pPr>
  </w:style>
  <w:style w:type="paragraph" w:customStyle="1" w:styleId="ListDashLevel2">
    <w:name w:val="List Dash (Level 2)"/>
    <w:basedOn w:val="Normal"/>
    <w:uiPriority w:val="35"/>
    <w:semiHidden/>
    <w:unhideWhenUsed/>
    <w:pPr>
      <w:numPr>
        <w:ilvl w:val="1"/>
        <w:numId w:val="7"/>
      </w:numPr>
      <w:contextualSpacing/>
    </w:pPr>
  </w:style>
  <w:style w:type="paragraph" w:customStyle="1" w:styleId="ListDashLevel3">
    <w:name w:val="List Dash (Level 3)"/>
    <w:basedOn w:val="Normal"/>
    <w:uiPriority w:val="35"/>
    <w:semiHidden/>
    <w:unhideWhenUsed/>
    <w:pPr>
      <w:numPr>
        <w:ilvl w:val="2"/>
        <w:numId w:val="7"/>
      </w:numPr>
      <w:contextualSpacing/>
    </w:pPr>
  </w:style>
  <w:style w:type="paragraph" w:customStyle="1" w:styleId="ListDashLevel4">
    <w:name w:val="List Dash (Level 4)"/>
    <w:basedOn w:val="Normal"/>
    <w:uiPriority w:val="35"/>
    <w:semiHidden/>
    <w:unhideWhenUsed/>
    <w:pPr>
      <w:numPr>
        <w:ilvl w:val="3"/>
        <w:numId w:val="7"/>
      </w:numPr>
      <w:contextualSpacing/>
    </w:pPr>
  </w:style>
  <w:style w:type="paragraph" w:styleId="ListNumber">
    <w:name w:val="List Number"/>
    <w:basedOn w:val="Normal"/>
    <w:uiPriority w:val="30"/>
    <w:pPr>
      <w:numPr>
        <w:numId w:val="8"/>
      </w:numPr>
      <w:contextualSpacing/>
    </w:pPr>
  </w:style>
  <w:style w:type="paragraph" w:customStyle="1" w:styleId="ListNumberLevel2">
    <w:name w:val="List Number (Level 2)"/>
    <w:basedOn w:val="Normal"/>
    <w:uiPriority w:val="30"/>
    <w:pPr>
      <w:numPr>
        <w:ilvl w:val="1"/>
        <w:numId w:val="8"/>
      </w:numPr>
      <w:ind w:left="908" w:hanging="454"/>
      <w:contextualSpacing/>
    </w:pPr>
  </w:style>
  <w:style w:type="paragraph" w:customStyle="1" w:styleId="ListNumberLevel3">
    <w:name w:val="List Number (Level 3)"/>
    <w:basedOn w:val="Normal"/>
    <w:uiPriority w:val="30"/>
    <w:pPr>
      <w:numPr>
        <w:ilvl w:val="2"/>
        <w:numId w:val="8"/>
      </w:numPr>
      <w:contextualSpacing/>
    </w:pPr>
  </w:style>
  <w:style w:type="paragraph" w:customStyle="1" w:styleId="ListNumberLevel4">
    <w:name w:val="List Number (Level 4)"/>
    <w:basedOn w:val="Normal"/>
    <w:uiPriority w:val="30"/>
    <w:pPr>
      <w:numPr>
        <w:ilvl w:val="3"/>
        <w:numId w:val="8"/>
      </w:numPr>
      <w:ind w:left="1815" w:hanging="454"/>
      <w:contextualSpacing/>
    </w:pPr>
  </w:style>
  <w:style w:type="paragraph" w:customStyle="1" w:styleId="Marking">
    <w:name w:val="Marking"/>
    <w:basedOn w:val="Normal"/>
    <w:semiHidden/>
    <w:rsid w:val="00724B4D"/>
    <w:pPr>
      <w:spacing w:line="240" w:lineRule="auto"/>
      <w:ind w:left="5102" w:right="-680"/>
      <w:contextualSpacing/>
      <w:jc w:val="left"/>
    </w:pPr>
    <w:rPr>
      <w:sz w:val="28"/>
    </w:rPr>
  </w:style>
  <w:style w:type="paragraph" w:customStyle="1" w:styleId="NumPar1">
    <w:name w:val="NumPar 1"/>
    <w:basedOn w:val="Heading1"/>
    <w:uiPriority w:val="20"/>
    <w:qFormat/>
    <w:pPr>
      <w:keepNext w:val="0"/>
      <w:spacing w:before="0"/>
      <w:ind w:left="0" w:firstLine="0"/>
      <w:outlineLvl w:val="9"/>
    </w:pPr>
    <w:rPr>
      <w:b w:val="0"/>
      <w:smallCaps w:val="0"/>
      <w:sz w:val="22"/>
    </w:rPr>
  </w:style>
  <w:style w:type="paragraph" w:customStyle="1" w:styleId="NumPar2">
    <w:name w:val="NumPar 2"/>
    <w:basedOn w:val="Heading2"/>
    <w:uiPriority w:val="20"/>
    <w:qFormat/>
    <w:pPr>
      <w:keepNext w:val="0"/>
      <w:spacing w:before="0"/>
      <w:ind w:left="0" w:firstLine="0"/>
      <w:outlineLvl w:val="9"/>
    </w:pPr>
    <w:rPr>
      <w:b w:val="0"/>
      <w:sz w:val="22"/>
    </w:rPr>
  </w:style>
  <w:style w:type="paragraph" w:customStyle="1" w:styleId="NumPar3">
    <w:name w:val="NumPar 3"/>
    <w:basedOn w:val="Heading3"/>
    <w:uiPriority w:val="20"/>
    <w:qFormat/>
    <w:pPr>
      <w:keepNext w:val="0"/>
      <w:spacing w:before="0"/>
      <w:ind w:left="0" w:firstLine="0"/>
      <w:outlineLvl w:val="9"/>
    </w:pPr>
    <w:rPr>
      <w:b w:val="0"/>
      <w:sz w:val="22"/>
    </w:rPr>
  </w:style>
  <w:style w:type="paragraph" w:customStyle="1" w:styleId="NumPar4">
    <w:name w:val="NumPar 4"/>
    <w:basedOn w:val="Heading4"/>
    <w:uiPriority w:val="20"/>
    <w:qFormat/>
    <w:pPr>
      <w:spacing w:before="0"/>
      <w:ind w:left="0" w:firstLine="0"/>
      <w:outlineLvl w:val="9"/>
    </w:pPr>
    <w:rPr>
      <w:b w:val="0"/>
    </w:rPr>
  </w:style>
  <w:style w:type="paragraph" w:customStyle="1" w:styleId="PartTitle">
    <w:name w:val="PartTitle"/>
    <w:basedOn w:val="Normal"/>
    <w:next w:val="ChapterTitle"/>
    <w:uiPriority w:val="42"/>
    <w:qFormat/>
    <w:pPr>
      <w:keepNext/>
      <w:pageBreakBefore/>
      <w:spacing w:after="360"/>
      <w:jc w:val="center"/>
      <w:outlineLvl w:val="0"/>
    </w:pPr>
    <w:rPr>
      <w:b/>
      <w:sz w:val="52"/>
    </w:rPr>
  </w:style>
  <w:style w:type="paragraph" w:customStyle="1" w:styleId="References">
    <w:name w:val="References"/>
    <w:semiHidden/>
    <w:pPr>
      <w:tabs>
        <w:tab w:val="num" w:pos="397"/>
        <w:tab w:val="num" w:pos="709"/>
      </w:tabs>
      <w:ind w:left="709" w:hanging="709"/>
    </w:pPr>
  </w:style>
  <w:style w:type="paragraph" w:customStyle="1" w:styleId="SectionTitle">
    <w:name w:val="SectionTitle"/>
    <w:basedOn w:val="Normal"/>
    <w:next w:val="Heading1"/>
    <w:uiPriority w:val="44"/>
    <w:qFormat/>
    <w:pPr>
      <w:keepNext/>
      <w:spacing w:before="720" w:after="360"/>
      <w:contextualSpacing/>
      <w:jc w:val="center"/>
      <w:outlineLvl w:val="0"/>
    </w:pPr>
    <w:rPr>
      <w:rFonts w:ascii="Times New Roman Bold" w:hAnsi="Times New Roman Bold"/>
      <w:b/>
      <w:smallCaps/>
      <w:sz w:val="32"/>
    </w:rPr>
  </w:style>
  <w:style w:type="paragraph" w:customStyle="1" w:styleId="SubTitle1">
    <w:name w:val="SubTitle 1"/>
    <w:basedOn w:val="Normal"/>
    <w:next w:val="Normal"/>
    <w:uiPriority w:val="41"/>
    <w:qFormat/>
    <w:pPr>
      <w:spacing w:before="360" w:after="2000"/>
      <w:jc w:val="center"/>
    </w:pPr>
    <w:rPr>
      <w:b/>
      <w:sz w:val="40"/>
    </w:rPr>
  </w:style>
  <w:style w:type="paragraph" w:customStyle="1" w:styleId="SubTitle2">
    <w:name w:val="SubTitle 2"/>
    <w:basedOn w:val="Normal"/>
    <w:uiPriority w:val="41"/>
    <w:qFormat/>
    <w:pPr>
      <w:spacing w:after="280"/>
      <w:jc w:val="center"/>
    </w:pPr>
    <w:rPr>
      <w:b/>
      <w:sz w:val="32"/>
    </w:rPr>
  </w:style>
  <w:style w:type="paragraph" w:customStyle="1" w:styleId="TableListBullet">
    <w:name w:val="Table List Bullet"/>
    <w:basedOn w:val="TableText"/>
    <w:uiPriority w:val="55"/>
    <w:pPr>
      <w:numPr>
        <w:numId w:val="6"/>
      </w:numPr>
    </w:pPr>
  </w:style>
  <w:style w:type="paragraph" w:customStyle="1" w:styleId="TableListBulletLevel2">
    <w:name w:val="Table List Bullet (Level 2)"/>
    <w:basedOn w:val="TableText"/>
    <w:uiPriority w:val="55"/>
    <w:semiHidden/>
    <w:unhideWhenUsed/>
    <w:pPr>
      <w:numPr>
        <w:ilvl w:val="1"/>
        <w:numId w:val="6"/>
      </w:numPr>
    </w:pPr>
  </w:style>
  <w:style w:type="paragraph" w:customStyle="1" w:styleId="TableListBulletLevel3">
    <w:name w:val="Table List Bullet (Level 3)"/>
    <w:basedOn w:val="TableText"/>
    <w:uiPriority w:val="55"/>
    <w:semiHidden/>
    <w:unhideWhenUsed/>
    <w:pPr>
      <w:numPr>
        <w:ilvl w:val="2"/>
        <w:numId w:val="6"/>
      </w:numPr>
    </w:pPr>
  </w:style>
  <w:style w:type="paragraph" w:customStyle="1" w:styleId="TableListBulletLevel4">
    <w:name w:val="Table List Bullet (Level 4)"/>
    <w:basedOn w:val="TableText"/>
    <w:uiPriority w:val="55"/>
    <w:semiHidden/>
    <w:unhideWhenUsed/>
    <w:pPr>
      <w:numPr>
        <w:ilvl w:val="3"/>
        <w:numId w:val="6"/>
      </w:numPr>
    </w:pPr>
  </w:style>
  <w:style w:type="paragraph" w:customStyle="1" w:styleId="TableListDash">
    <w:name w:val="Table List Dash"/>
    <w:basedOn w:val="TableText"/>
    <w:uiPriority w:val="55"/>
    <w:pPr>
      <w:numPr>
        <w:numId w:val="5"/>
      </w:numPr>
    </w:pPr>
  </w:style>
  <w:style w:type="paragraph" w:customStyle="1" w:styleId="TableListDashLevel2">
    <w:name w:val="Table List Dash (Level 2)"/>
    <w:basedOn w:val="TableText"/>
    <w:uiPriority w:val="55"/>
    <w:semiHidden/>
    <w:unhideWhenUsed/>
    <w:pPr>
      <w:numPr>
        <w:ilvl w:val="1"/>
        <w:numId w:val="5"/>
      </w:numPr>
    </w:pPr>
  </w:style>
  <w:style w:type="paragraph" w:customStyle="1" w:styleId="TableListDashLevel3">
    <w:name w:val="Table List Dash (Level 3)"/>
    <w:basedOn w:val="TableText"/>
    <w:uiPriority w:val="55"/>
    <w:semiHidden/>
    <w:unhideWhenUsed/>
    <w:pPr>
      <w:numPr>
        <w:ilvl w:val="2"/>
        <w:numId w:val="5"/>
      </w:numPr>
    </w:pPr>
  </w:style>
  <w:style w:type="paragraph" w:customStyle="1" w:styleId="TableListDashLevel4">
    <w:name w:val="Table List Dash (Level 4)"/>
    <w:basedOn w:val="TableText"/>
    <w:uiPriority w:val="55"/>
    <w:semiHidden/>
    <w:unhideWhenUsed/>
    <w:pPr>
      <w:numPr>
        <w:ilvl w:val="3"/>
        <w:numId w:val="5"/>
      </w:numPr>
    </w:pPr>
  </w:style>
  <w:style w:type="paragraph" w:customStyle="1" w:styleId="TableListNumber">
    <w:name w:val="Table List Number"/>
    <w:basedOn w:val="TableText"/>
    <w:uiPriority w:val="55"/>
    <w:pPr>
      <w:numPr>
        <w:numId w:val="4"/>
      </w:numPr>
    </w:pPr>
  </w:style>
  <w:style w:type="paragraph" w:customStyle="1" w:styleId="TableListNumberLevel2">
    <w:name w:val="Table List Number (Level 2)"/>
    <w:basedOn w:val="TableText"/>
    <w:uiPriority w:val="55"/>
    <w:semiHidden/>
    <w:unhideWhenUsed/>
    <w:pPr>
      <w:numPr>
        <w:ilvl w:val="1"/>
        <w:numId w:val="4"/>
      </w:numPr>
    </w:pPr>
  </w:style>
  <w:style w:type="paragraph" w:customStyle="1" w:styleId="TableListNumberLevel3">
    <w:name w:val="Table List Number (Level 3)"/>
    <w:basedOn w:val="TableText"/>
    <w:uiPriority w:val="55"/>
    <w:semiHidden/>
    <w:unhideWhenUsed/>
    <w:pPr>
      <w:numPr>
        <w:ilvl w:val="2"/>
        <w:numId w:val="4"/>
      </w:numPr>
    </w:pPr>
  </w:style>
  <w:style w:type="paragraph" w:customStyle="1" w:styleId="TableListNumberLevel4">
    <w:name w:val="Table List Number (Level 4)"/>
    <w:basedOn w:val="TableText"/>
    <w:uiPriority w:val="55"/>
    <w:semiHidden/>
    <w:unhideWhenUsed/>
    <w:pPr>
      <w:numPr>
        <w:ilvl w:val="3"/>
        <w:numId w:val="4"/>
      </w:numPr>
    </w:pPr>
  </w:style>
  <w:style w:type="paragraph" w:customStyle="1" w:styleId="TableSource">
    <w:name w:val="Table Source"/>
    <w:basedOn w:val="Normal"/>
    <w:next w:val="Normal"/>
    <w:uiPriority w:val="99"/>
    <w:semiHidden/>
    <w:unhideWhenUsed/>
    <w:pPr>
      <w:spacing w:after="240"/>
    </w:pPr>
    <w:rPr>
      <w:sz w:val="18"/>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before="120"/>
    </w:pPr>
    <w:rPr>
      <w:b/>
      <w:i/>
    </w:rPr>
  </w:style>
  <w:style w:type="paragraph" w:styleId="Title">
    <w:name w:val="Title"/>
    <w:basedOn w:val="Normal"/>
    <w:next w:val="SubTitle1"/>
    <w:uiPriority w:val="40"/>
    <w:qFormat/>
    <w:pPr>
      <w:spacing w:before="3200" w:after="480"/>
      <w:jc w:val="center"/>
    </w:pPr>
    <w:rPr>
      <w:b/>
      <w:kern w:val="28"/>
      <w:sz w:val="48"/>
    </w:rPr>
  </w:style>
  <w:style w:type="paragraph" w:styleId="TOC1">
    <w:name w:val="toc 1"/>
    <w:basedOn w:val="Normal"/>
    <w:next w:val="Normal"/>
    <w:uiPriority w:val="39"/>
    <w:pPr>
      <w:tabs>
        <w:tab w:val="left" w:pos="595"/>
        <w:tab w:val="right" w:leader="dot" w:pos="8640"/>
      </w:tabs>
      <w:spacing w:before="240" w:after="60" w:line="240" w:lineRule="auto"/>
      <w:ind w:left="595" w:right="720" w:hanging="595"/>
    </w:pPr>
    <w:rPr>
      <w:b/>
      <w:sz w:val="20"/>
    </w:rPr>
  </w:style>
  <w:style w:type="paragraph" w:styleId="TOC2">
    <w:name w:val="toc 2"/>
    <w:basedOn w:val="Normal"/>
    <w:next w:val="Normal"/>
    <w:uiPriority w:val="39"/>
    <w:pPr>
      <w:tabs>
        <w:tab w:val="left" w:pos="595"/>
        <w:tab w:val="right" w:leader="dot" w:pos="8640"/>
      </w:tabs>
      <w:spacing w:after="60" w:line="240" w:lineRule="auto"/>
      <w:ind w:left="595" w:right="720" w:hanging="595"/>
    </w:pPr>
    <w:rPr>
      <w:noProof/>
      <w:sz w:val="20"/>
    </w:rPr>
  </w:style>
  <w:style w:type="paragraph" w:styleId="TOC3">
    <w:name w:val="toc 3"/>
    <w:basedOn w:val="Normal"/>
    <w:next w:val="Normal"/>
    <w:uiPriority w:val="39"/>
    <w:pPr>
      <w:tabs>
        <w:tab w:val="left" w:pos="1446"/>
        <w:tab w:val="right" w:leader="dot" w:pos="8640"/>
      </w:tabs>
      <w:spacing w:after="60" w:line="240" w:lineRule="auto"/>
      <w:ind w:left="1445" w:right="720" w:hanging="850"/>
    </w:pPr>
    <w:rPr>
      <w:sz w:val="20"/>
    </w:rPr>
  </w:style>
  <w:style w:type="paragraph" w:styleId="TOC4">
    <w:name w:val="toc 4"/>
    <w:basedOn w:val="Normal"/>
    <w:next w:val="Normal"/>
    <w:semiHidden/>
    <w:pPr>
      <w:tabs>
        <w:tab w:val="left" w:pos="1446"/>
        <w:tab w:val="right" w:leader="dot" w:pos="8640"/>
      </w:tabs>
      <w:spacing w:after="60" w:line="240" w:lineRule="auto"/>
      <w:ind w:left="1445" w:right="720" w:hanging="850"/>
    </w:pPr>
    <w:rPr>
      <w:noProof/>
      <w:sz w:val="20"/>
    </w:rPr>
  </w:style>
  <w:style w:type="paragraph" w:styleId="TOC5">
    <w:name w:val="toc 5"/>
    <w:basedOn w:val="Normal"/>
    <w:next w:val="Normal"/>
    <w:semiHidden/>
    <w:pPr>
      <w:tabs>
        <w:tab w:val="left" w:pos="595"/>
        <w:tab w:val="right" w:leader="dot" w:pos="8640"/>
      </w:tabs>
      <w:spacing w:before="240" w:after="60" w:line="240" w:lineRule="auto"/>
      <w:ind w:right="720"/>
    </w:pPr>
    <w:rPr>
      <w:b/>
      <w:sz w:val="20"/>
    </w:rPr>
  </w:style>
  <w:style w:type="paragraph" w:styleId="TOC6">
    <w:name w:val="toc 6"/>
    <w:basedOn w:val="Normal"/>
    <w:next w:val="Normal"/>
    <w:semiHidden/>
    <w:pPr>
      <w:tabs>
        <w:tab w:val="left" w:pos="595"/>
        <w:tab w:val="right" w:leader="dot" w:pos="8640"/>
      </w:tabs>
      <w:spacing w:before="240" w:after="60" w:line="240" w:lineRule="auto"/>
      <w:ind w:left="1446" w:right="720" w:hanging="1446"/>
    </w:pPr>
    <w:rPr>
      <w:b/>
      <w:sz w:val="20"/>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jc w:val="center"/>
    </w:pPr>
    <w:rPr>
      <w:rFonts w:ascii="Times New Roman Bold" w:hAnsi="Times New Roman Bold"/>
      <w:b/>
      <w:sz w:val="32"/>
    </w:rPr>
  </w:style>
  <w:style w:type="paragraph" w:customStyle="1" w:styleId="ZCom">
    <w:name w:val="Z_Com"/>
    <w:basedOn w:val="Normal"/>
    <w:next w:val="ZDGName"/>
    <w:semiHidden/>
    <w:pPr>
      <w:widowControl w:val="0"/>
      <w:spacing w:before="90" w:after="0" w:line="240" w:lineRule="auto"/>
      <w:ind w:right="85"/>
      <w:jc w:val="left"/>
    </w:pPr>
    <w:rPr>
      <w:sz w:val="24"/>
    </w:rPr>
  </w:style>
  <w:style w:type="paragraph" w:customStyle="1" w:styleId="ZDGName">
    <w:name w:val="Z_DGName"/>
    <w:basedOn w:val="Normal"/>
    <w:semiHidden/>
    <w:pPr>
      <w:widowControl w:val="0"/>
      <w:spacing w:after="0" w:line="240" w:lineRule="auto"/>
      <w:ind w:right="85"/>
      <w:jc w:val="left"/>
    </w:pPr>
    <w:rPr>
      <w:sz w:val="16"/>
    </w:rPr>
  </w:style>
  <w:style w:type="paragraph" w:customStyle="1" w:styleId="ZFlag">
    <w:name w:val="Z_Flag"/>
    <w:basedOn w:val="Normal"/>
    <w:next w:val="Normal"/>
    <w:semiHidden/>
    <w:pPr>
      <w:widowControl w:val="0"/>
      <w:spacing w:after="0"/>
      <w:ind w:right="85"/>
    </w:pPr>
  </w:style>
  <w:style w:type="paragraph" w:customStyle="1" w:styleId="Citation">
    <w:name w:val="Citation"/>
    <w:basedOn w:val="Normal"/>
    <w:link w:val="CitationChar"/>
    <w:uiPriority w:val="5"/>
    <w:qFormat/>
    <w:pPr>
      <w:ind w:left="454" w:right="454"/>
    </w:pPr>
    <w:rPr>
      <w:i/>
    </w:rPr>
  </w:style>
  <w:style w:type="character" w:customStyle="1" w:styleId="CitationChar">
    <w:name w:val="Citation Char"/>
    <w:link w:val="Citation"/>
    <w:uiPriority w:val="5"/>
    <w:qFormat/>
    <w:rPr>
      <w:i/>
    </w:rPr>
  </w:style>
  <w:style w:type="paragraph" w:styleId="Footer">
    <w:name w:val="footer"/>
    <w:basedOn w:val="Normal"/>
    <w:link w:val="FooterChar"/>
    <w:uiPriority w:val="99"/>
    <w:pPr>
      <w:spacing w:after="0" w:line="240" w:lineRule="auto"/>
      <w:ind w:right="-567"/>
    </w:pPr>
    <w:rPr>
      <w:sz w:val="16"/>
    </w:rPr>
  </w:style>
  <w:style w:type="character" w:customStyle="1" w:styleId="FooterChar">
    <w:name w:val="Footer Char"/>
    <w:link w:val="Footer"/>
    <w:uiPriority w:val="99"/>
    <w:rPr>
      <w:sz w:val="16"/>
    </w:rPr>
  </w:style>
  <w:style w:type="paragraph" w:styleId="Header">
    <w:name w:val="header"/>
    <w:basedOn w:val="Normal"/>
    <w:link w:val="HeaderChar"/>
    <w:semiHidden/>
    <w:pPr>
      <w:tabs>
        <w:tab w:val="center" w:pos="4150"/>
        <w:tab w:val="right" w:pos="8306"/>
      </w:tabs>
    </w:pPr>
  </w:style>
  <w:style w:type="character" w:customStyle="1" w:styleId="HeaderChar">
    <w:name w:val="Header Char"/>
    <w:basedOn w:val="DefaultParagraphFont"/>
    <w:link w:val="Header"/>
    <w:semiHidden/>
    <w:rPr>
      <w:sz w:val="24"/>
    </w:rPr>
  </w:style>
  <w:style w:type="paragraph" w:styleId="MacroText">
    <w:name w:val="macro"/>
    <w:basedOn w:val="Normal"/>
    <w:link w:val="MacroTextChar"/>
    <w:uiPriority w:val="5"/>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0"/>
    </w:rPr>
  </w:style>
  <w:style w:type="character" w:customStyle="1" w:styleId="MacroTextChar">
    <w:name w:val="Macro Text Char"/>
    <w:basedOn w:val="DefaultParagraphFont"/>
    <w:link w:val="MacroText"/>
    <w:uiPriority w:val="5"/>
    <w:qFormat/>
    <w:rPr>
      <w:rFonts w:ascii="Courier New" w:hAnsi="Courier New"/>
      <w:sz w:val="20"/>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style>
  <w:style w:type="table" w:customStyle="1" w:styleId="PropertiesTable">
    <w:name w:val="Properties Table"/>
    <w:basedOn w:val="TableNormal"/>
    <w:semiHidden/>
    <w:pPr>
      <w:spacing w:after="120" w:line="264" w:lineRule="auto"/>
    </w:pPr>
    <w:tblPr>
      <w:tblInd w:w="1984" w:type="dxa"/>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rsid w:val="00FF294E"/>
    <w:rPr>
      <w:color w:val="00538B" w:themeColor="hyperlink"/>
      <w:u w:val="single"/>
    </w:rPr>
  </w:style>
  <w:style w:type="paragraph" w:styleId="ListParagraph">
    <w:name w:val="List Paragraph"/>
    <w:basedOn w:val="Normal"/>
    <w:uiPriority w:val="34"/>
    <w:qFormat/>
    <w:rsid w:val="009F45AD"/>
    <w:pPr>
      <w:ind w:left="720"/>
      <w:contextualSpacing/>
    </w:pPr>
  </w:style>
  <w:style w:type="character" w:styleId="CommentReference">
    <w:name w:val="annotation reference"/>
    <w:basedOn w:val="DefaultParagraphFont"/>
    <w:uiPriority w:val="99"/>
    <w:semiHidden/>
    <w:rsid w:val="009B51EC"/>
    <w:rPr>
      <w:sz w:val="16"/>
      <w:szCs w:val="16"/>
    </w:rPr>
  </w:style>
  <w:style w:type="paragraph" w:styleId="CommentText">
    <w:name w:val="annotation text"/>
    <w:basedOn w:val="Normal"/>
    <w:link w:val="CommentTextChar"/>
    <w:uiPriority w:val="99"/>
    <w:semiHidden/>
    <w:rsid w:val="009B51EC"/>
    <w:pPr>
      <w:spacing w:line="240" w:lineRule="auto"/>
    </w:pPr>
    <w:rPr>
      <w:sz w:val="20"/>
    </w:rPr>
  </w:style>
  <w:style w:type="character" w:customStyle="1" w:styleId="CommentTextChar">
    <w:name w:val="Comment Text Char"/>
    <w:basedOn w:val="DefaultParagraphFont"/>
    <w:link w:val="CommentText"/>
    <w:uiPriority w:val="99"/>
    <w:semiHidden/>
    <w:rsid w:val="009B51EC"/>
    <w:rPr>
      <w:sz w:val="20"/>
    </w:rPr>
  </w:style>
  <w:style w:type="paragraph" w:styleId="CommentSubject">
    <w:name w:val="annotation subject"/>
    <w:basedOn w:val="CommentText"/>
    <w:next w:val="CommentText"/>
    <w:link w:val="CommentSubjectChar"/>
    <w:uiPriority w:val="99"/>
    <w:semiHidden/>
    <w:rsid w:val="009B51EC"/>
    <w:rPr>
      <w:b/>
      <w:bCs/>
    </w:rPr>
  </w:style>
  <w:style w:type="character" w:customStyle="1" w:styleId="CommentSubjectChar">
    <w:name w:val="Comment Subject Char"/>
    <w:basedOn w:val="CommentTextChar"/>
    <w:link w:val="CommentSubject"/>
    <w:uiPriority w:val="99"/>
    <w:semiHidden/>
    <w:rsid w:val="009B51EC"/>
    <w:rPr>
      <w:b/>
      <w:bCs/>
      <w:sz w:val="20"/>
    </w:rPr>
  </w:style>
  <w:style w:type="paragraph" w:customStyle="1" w:styleId="paragraph">
    <w:name w:val="paragraph"/>
    <w:basedOn w:val="Normal"/>
    <w:rsid w:val="008C0F2B"/>
    <w:pPr>
      <w:spacing w:before="100" w:beforeAutospacing="1" w:after="100" w:afterAutospacing="1" w:line="240" w:lineRule="auto"/>
      <w:jc w:val="left"/>
    </w:pPr>
    <w:rPr>
      <w:sz w:val="24"/>
      <w:szCs w:val="24"/>
    </w:rPr>
  </w:style>
  <w:style w:type="character" w:customStyle="1" w:styleId="eop">
    <w:name w:val="eop"/>
    <w:basedOn w:val="DefaultParagraphFont"/>
    <w:rsid w:val="008C0F2B"/>
  </w:style>
  <w:style w:type="character" w:customStyle="1" w:styleId="normaltextrun">
    <w:name w:val="normaltextrun"/>
    <w:basedOn w:val="DefaultParagraphFont"/>
    <w:rsid w:val="008C0F2B"/>
  </w:style>
  <w:style w:type="character" w:customStyle="1" w:styleId="UnresolvedMention">
    <w:name w:val="Unresolved Mention"/>
    <w:basedOn w:val="DefaultParagraphFont"/>
    <w:uiPriority w:val="99"/>
    <w:unhideWhenUsed/>
    <w:rsid w:val="00613652"/>
    <w:rPr>
      <w:color w:val="605E5C"/>
      <w:shd w:val="clear" w:color="auto" w:fill="E1DFDD"/>
    </w:rPr>
  </w:style>
  <w:style w:type="paragraph" w:styleId="BodyText">
    <w:name w:val="Body Text"/>
    <w:basedOn w:val="Normal"/>
    <w:link w:val="BodyTextChar"/>
    <w:uiPriority w:val="99"/>
    <w:unhideWhenUsed/>
    <w:rsid w:val="00A72F89"/>
    <w:pPr>
      <w:spacing w:before="100" w:line="276" w:lineRule="auto"/>
      <w:jc w:val="left"/>
    </w:pPr>
    <w:rPr>
      <w:rFonts w:asciiTheme="minorHAnsi" w:eastAsiaTheme="minorEastAsia" w:hAnsiTheme="minorHAnsi" w:cstheme="minorBidi"/>
      <w:sz w:val="20"/>
      <w:lang w:eastAsia="en-US"/>
    </w:rPr>
  </w:style>
  <w:style w:type="character" w:customStyle="1" w:styleId="BodyTextChar">
    <w:name w:val="Body Text Char"/>
    <w:basedOn w:val="DefaultParagraphFont"/>
    <w:link w:val="BodyText"/>
    <w:uiPriority w:val="99"/>
    <w:rsid w:val="00A72F89"/>
    <w:rPr>
      <w:rFonts w:asciiTheme="minorHAnsi" w:eastAsiaTheme="minorEastAsia" w:hAnsiTheme="minorHAnsi" w:cstheme="minorBidi"/>
      <w:sz w:val="20"/>
      <w:lang w:val="bg-BG" w:eastAsia="en-US"/>
    </w:rPr>
  </w:style>
  <w:style w:type="character" w:customStyle="1" w:styleId="FootnoteTextChar">
    <w:name w:val="Footnote Text Char"/>
    <w:aliases w:val="Footnote Text Char1 Char,Footnote Text Char Char Char,Footnote Text Char3 Char Char Char,Footnote Text Char2 Char Char Char Char,Footnote Text Char1 Char Char Char Char Char,Footnote Text Char Char Char Char Char Char Char,fn Char"/>
    <w:basedOn w:val="DefaultParagraphFont"/>
    <w:uiPriority w:val="99"/>
    <w:rsid w:val="00A72F89"/>
    <w:rPr>
      <w:sz w:val="20"/>
    </w:rPr>
  </w:style>
  <w:style w:type="paragraph" w:customStyle="1" w:styleId="BVIfnrCarCarCarCarCharCharCharChar">
    <w:name w:val="BVI fnr Car Car Car Car Char Char Char Char"/>
    <w:basedOn w:val="Normal"/>
    <w:link w:val="FootnoteReference"/>
    <w:autoRedefine/>
    <w:uiPriority w:val="99"/>
    <w:qFormat/>
    <w:locked/>
    <w:rsid w:val="00A72F89"/>
    <w:pPr>
      <w:spacing w:after="0" w:line="240" w:lineRule="auto"/>
      <w:ind w:left="720" w:hanging="720"/>
      <w:jc w:val="left"/>
    </w:pPr>
    <w:rPr>
      <w:sz w:val="24"/>
      <w:vertAlign w:val="superscript"/>
    </w:rPr>
  </w:style>
  <w:style w:type="character" w:styleId="FollowedHyperlink">
    <w:name w:val="FollowedHyperlink"/>
    <w:basedOn w:val="DefaultParagraphFont"/>
    <w:uiPriority w:val="99"/>
    <w:semiHidden/>
    <w:rsid w:val="00C70C4B"/>
    <w:rPr>
      <w:color w:val="00A2E0" w:themeColor="followedHyperlink"/>
      <w:u w:val="single"/>
    </w:rPr>
  </w:style>
  <w:style w:type="paragraph" w:styleId="NormalWeb">
    <w:name w:val="Normal (Web)"/>
    <w:basedOn w:val="Normal"/>
    <w:uiPriority w:val="99"/>
    <w:unhideWhenUsed/>
    <w:rsid w:val="009313A7"/>
    <w:pPr>
      <w:spacing w:before="100" w:beforeAutospacing="1" w:after="100" w:afterAutospacing="1" w:line="240" w:lineRule="auto"/>
      <w:jc w:val="left"/>
    </w:pPr>
    <w:rPr>
      <w:sz w:val="24"/>
      <w:szCs w:val="24"/>
      <w:lang w:eastAsia="en-GB"/>
    </w:rPr>
  </w:style>
  <w:style w:type="character" w:customStyle="1" w:styleId="ecl-linklabel">
    <w:name w:val="ecl-link__label"/>
    <w:basedOn w:val="DefaultParagraphFont"/>
    <w:rsid w:val="009313A7"/>
  </w:style>
  <w:style w:type="character" w:customStyle="1" w:styleId="Mention">
    <w:name w:val="Mention"/>
    <w:basedOn w:val="DefaultParagraphFont"/>
    <w:uiPriority w:val="99"/>
    <w:unhideWhenUsed/>
    <w:rsid w:val="00801CAA"/>
    <w:rPr>
      <w:color w:val="2B579A"/>
      <w:shd w:val="clear" w:color="auto" w:fill="E1DFDD"/>
    </w:rPr>
  </w:style>
  <w:style w:type="character" w:styleId="Strong">
    <w:name w:val="Strong"/>
    <w:basedOn w:val="DefaultParagraphFont"/>
    <w:uiPriority w:val="22"/>
    <w:qFormat/>
    <w:rsid w:val="00791BC4"/>
    <w:rPr>
      <w:b/>
      <w:bCs/>
    </w:rPr>
  </w:style>
  <w:style w:type="paragraph" w:styleId="Revision">
    <w:name w:val="Revision"/>
    <w:hidden/>
    <w:uiPriority w:val="99"/>
    <w:semiHidden/>
    <w:rsid w:val="00C419F6"/>
    <w:rPr>
      <w:sz w:val="22"/>
    </w:rPr>
  </w:style>
  <w:style w:type="character" w:customStyle="1" w:styleId="hgkelc">
    <w:name w:val="hgkelc"/>
    <w:basedOn w:val="DefaultParagraphFont"/>
    <w:rsid w:val="00E10780"/>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A04B78"/>
    <w:pPr>
      <w:spacing w:after="160" w:line="240" w:lineRule="exact"/>
    </w:pPr>
    <w:rPr>
      <w:rFonts w:asciiTheme="minorHAnsi" w:eastAsiaTheme="minorHAnsi" w:hAnsiTheme="minorHAnsi" w:cstheme="minorBidi"/>
      <w:kern w:val="2"/>
      <w:szCs w:val="22"/>
      <w:vertAlign w:val="superscript"/>
      <w:lang w:eastAsia="en-US"/>
      <w14:ligatures w14:val="standardContextual"/>
    </w:rPr>
  </w:style>
  <w:style w:type="paragraph" w:customStyle="1" w:styleId="CMR2023-footnote">
    <w:name w:val="CMR 2023 - footnote"/>
    <w:basedOn w:val="FootnoteText"/>
    <w:link w:val="CMR2023-footnoteChar"/>
    <w:rsid w:val="00A04B78"/>
    <w:pPr>
      <w:keepLines/>
      <w:spacing w:line="240" w:lineRule="auto"/>
      <w:ind w:left="0" w:firstLine="0"/>
      <w:jc w:val="left"/>
    </w:pPr>
    <w:rPr>
      <w:rFonts w:eastAsiaTheme="minorHAnsi" w:cstheme="minorBidi"/>
      <w:lang w:eastAsia="en-US"/>
    </w:rPr>
  </w:style>
  <w:style w:type="character" w:customStyle="1" w:styleId="CMR2023-footnoteChar">
    <w:name w:val="CMR 2023 - footnote Char"/>
    <w:basedOn w:val="DefaultParagraphFont"/>
    <w:link w:val="CMR2023-footnote"/>
    <w:rsid w:val="00A04B78"/>
    <w:rPr>
      <w:rFonts w:eastAsiaTheme="minorHAnsi" w:cstheme="minorBidi"/>
      <w:sz w:val="20"/>
      <w:lang w:eastAsia="en-US"/>
    </w:rPr>
  </w:style>
  <w:style w:type="table" w:styleId="TableGridLight">
    <w:name w:val="Grid Table Light"/>
    <w:basedOn w:val="TableNormal"/>
    <w:uiPriority w:val="40"/>
    <w:rsid w:val="00A04B7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arker">
    <w:name w:val="Marker"/>
    <w:basedOn w:val="DefaultParagraphFont"/>
    <w:rsid w:val="006D0E02"/>
    <w:rPr>
      <w:color w:val="0000FF"/>
      <w:shd w:val="clear" w:color="auto" w:fill="auto"/>
    </w:rPr>
  </w:style>
  <w:style w:type="paragraph" w:customStyle="1" w:styleId="Pagedecouverture">
    <w:name w:val="Page de couverture"/>
    <w:basedOn w:val="Normal"/>
    <w:next w:val="Normal"/>
    <w:link w:val="PagedecouvertureChar"/>
    <w:rsid w:val="006D0E02"/>
    <w:pPr>
      <w:spacing w:after="0" w:line="240" w:lineRule="auto"/>
    </w:pPr>
    <w:rPr>
      <w:rFonts w:eastAsiaTheme="minorHAnsi"/>
      <w:sz w:val="24"/>
      <w:szCs w:val="22"/>
      <w:lang w:eastAsia="en-US"/>
    </w:rPr>
  </w:style>
  <w:style w:type="paragraph" w:customStyle="1" w:styleId="FooterCoverPage">
    <w:name w:val="Footer Cover Page"/>
    <w:basedOn w:val="Normal"/>
    <w:link w:val="FooterCoverPageChar"/>
    <w:rsid w:val="006D0E02"/>
    <w:pPr>
      <w:tabs>
        <w:tab w:val="center" w:pos="4535"/>
        <w:tab w:val="right" w:pos="9071"/>
        <w:tab w:val="right" w:pos="9921"/>
      </w:tabs>
      <w:spacing w:before="360" w:after="0" w:line="240" w:lineRule="auto"/>
      <w:ind w:left="-850" w:right="-850"/>
      <w:jc w:val="left"/>
    </w:pPr>
    <w:rPr>
      <w:sz w:val="24"/>
    </w:rPr>
  </w:style>
  <w:style w:type="character" w:customStyle="1" w:styleId="PagedecouvertureChar">
    <w:name w:val="Page de couverture Char"/>
    <w:basedOn w:val="DefaultParagraphFont"/>
    <w:link w:val="Pagedecouverture"/>
    <w:rsid w:val="006D0E02"/>
    <w:rPr>
      <w:rFonts w:eastAsiaTheme="minorHAnsi"/>
      <w:szCs w:val="22"/>
      <w:lang w:eastAsia="en-US"/>
    </w:rPr>
  </w:style>
  <w:style w:type="character" w:customStyle="1" w:styleId="FooterCoverPageChar">
    <w:name w:val="Footer Cover Page Char"/>
    <w:basedOn w:val="PagedecouvertureChar"/>
    <w:link w:val="FooterCoverPage"/>
    <w:rsid w:val="006D0E02"/>
    <w:rPr>
      <w:rFonts w:eastAsiaTheme="minorHAnsi"/>
      <w:szCs w:val="22"/>
      <w:lang w:eastAsia="en-US"/>
    </w:rPr>
  </w:style>
  <w:style w:type="paragraph" w:customStyle="1" w:styleId="FooterSensitivity">
    <w:name w:val="Footer Sensitivity"/>
    <w:basedOn w:val="Normal"/>
    <w:link w:val="FooterSensitivityChar"/>
    <w:rsid w:val="006D0E02"/>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FooterSensitivityChar">
    <w:name w:val="Footer Sensitivity Char"/>
    <w:basedOn w:val="PagedecouvertureChar"/>
    <w:link w:val="FooterSensitivity"/>
    <w:rsid w:val="006D0E02"/>
    <w:rPr>
      <w:rFonts w:eastAsiaTheme="minorHAnsi"/>
      <w:b/>
      <w:sz w:val="32"/>
      <w:szCs w:val="22"/>
      <w:lang w:eastAsia="en-US"/>
    </w:rPr>
  </w:style>
  <w:style w:type="paragraph" w:customStyle="1" w:styleId="HeaderCoverPage">
    <w:name w:val="Header Cover Page"/>
    <w:basedOn w:val="Normal"/>
    <w:link w:val="HeaderCoverPageChar"/>
    <w:rsid w:val="006D0E02"/>
    <w:pPr>
      <w:tabs>
        <w:tab w:val="center" w:pos="4535"/>
        <w:tab w:val="right" w:pos="9071"/>
      </w:tabs>
      <w:spacing w:line="240" w:lineRule="auto"/>
    </w:pPr>
    <w:rPr>
      <w:sz w:val="24"/>
    </w:rPr>
  </w:style>
  <w:style w:type="character" w:customStyle="1" w:styleId="HeaderCoverPageChar">
    <w:name w:val="Header Cover Page Char"/>
    <w:basedOn w:val="PagedecouvertureChar"/>
    <w:link w:val="HeaderCoverPage"/>
    <w:rsid w:val="006D0E02"/>
    <w:rPr>
      <w:rFonts w:eastAsiaTheme="minorHAnsi"/>
      <w:szCs w:val="22"/>
      <w:lang w:eastAsia="en-US"/>
    </w:rPr>
  </w:style>
  <w:style w:type="paragraph" w:customStyle="1" w:styleId="HeaderSensitivity">
    <w:name w:val="Header Sensitivity"/>
    <w:basedOn w:val="Normal"/>
    <w:link w:val="HeaderSensitivityChar"/>
    <w:rsid w:val="006D0E02"/>
    <w:pPr>
      <w:pBdr>
        <w:top w:val="single" w:sz="4" w:space="1" w:color="auto"/>
        <w:left w:val="single" w:sz="4" w:space="4" w:color="auto"/>
        <w:bottom w:val="single" w:sz="4" w:space="1" w:color="auto"/>
        <w:right w:val="single" w:sz="4" w:space="4" w:color="auto"/>
      </w:pBdr>
      <w:spacing w:line="240" w:lineRule="auto"/>
      <w:ind w:left="113" w:right="113"/>
      <w:jc w:val="center"/>
    </w:pPr>
    <w:rPr>
      <w:b/>
      <w:sz w:val="32"/>
    </w:rPr>
  </w:style>
  <w:style w:type="character" w:customStyle="1" w:styleId="HeaderSensitivityChar">
    <w:name w:val="Header Sensitivity Char"/>
    <w:basedOn w:val="PagedecouvertureChar"/>
    <w:link w:val="HeaderSensitivity"/>
    <w:rsid w:val="006D0E02"/>
    <w:rPr>
      <w:rFonts w:eastAsiaTheme="minorHAnsi"/>
      <w:b/>
      <w:sz w:val="32"/>
      <w:szCs w:val="22"/>
      <w:lang w:eastAsia="en-US"/>
    </w:rPr>
  </w:style>
  <w:style w:type="paragraph" w:customStyle="1" w:styleId="HeaderSensitivityRight">
    <w:name w:val="Header Sensitivity Right"/>
    <w:basedOn w:val="Normal"/>
    <w:link w:val="HeaderSensitivityRightChar"/>
    <w:rsid w:val="006D0E02"/>
    <w:pPr>
      <w:spacing w:line="240" w:lineRule="auto"/>
      <w:jc w:val="right"/>
    </w:pPr>
    <w:rPr>
      <w:sz w:val="28"/>
    </w:rPr>
  </w:style>
  <w:style w:type="character" w:customStyle="1" w:styleId="HeaderSensitivityRightChar">
    <w:name w:val="Header Sensitivity Right Char"/>
    <w:basedOn w:val="PagedecouvertureChar"/>
    <w:link w:val="HeaderSensitivityRight"/>
    <w:rsid w:val="006D0E02"/>
    <w:rPr>
      <w:rFonts w:eastAsiaTheme="minorHAnsi"/>
      <w:sz w:val="28"/>
      <w:szCs w:val="22"/>
      <w:lang w:eastAsia="en-US"/>
    </w:rPr>
  </w:style>
  <w:style w:type="paragraph" w:customStyle="1" w:styleId="Languesfaisantfoi">
    <w:name w:val="Langues faisant foi"/>
    <w:basedOn w:val="Normal"/>
    <w:next w:val="Normal"/>
    <w:rsid w:val="00A118C5"/>
    <w:pPr>
      <w:spacing w:before="360" w:after="240" w:line="240" w:lineRule="auto"/>
      <w:jc w:val="center"/>
    </w:pPr>
    <w:rPr>
      <w:rFonts w:eastAsiaTheme="minorHAnsi"/>
      <w:sz w:val="24"/>
      <w:szCs w:val="22"/>
      <w:lang w:eastAsia="en-US"/>
    </w:rPr>
  </w:style>
  <w:style w:type="paragraph" w:customStyle="1" w:styleId="LanguesfaisantfoiPagedecouverture">
    <w:name w:val="Langues faisant foi (Page de couverture)"/>
    <w:basedOn w:val="Normal"/>
    <w:next w:val="Normal"/>
    <w:rsid w:val="00A118C5"/>
    <w:pPr>
      <w:spacing w:before="360" w:after="240" w:line="240" w:lineRule="auto"/>
      <w:jc w:val="center"/>
    </w:pPr>
    <w:rPr>
      <w:rFonts w:eastAsiaTheme="minorHAnsi"/>
      <w:sz w:val="24"/>
      <w:szCs w:val="22"/>
      <w:lang w:eastAsia="en-US"/>
    </w:rPr>
  </w:style>
  <w:style w:type="paragraph" w:customStyle="1" w:styleId="IntrtEEE">
    <w:name w:val="Intérêt EEE"/>
    <w:basedOn w:val="Languesfaisantfoi"/>
    <w:next w:val="Normal"/>
    <w:rsid w:val="00A118C5"/>
    <w:pPr>
      <w:spacing w:after="0"/>
    </w:pPr>
  </w:style>
  <w:style w:type="paragraph" w:customStyle="1" w:styleId="IntrtEEEPagedecouverture">
    <w:name w:val="Intérêt EEE (Page de couverture)"/>
    <w:basedOn w:val="IntrtEEE"/>
    <w:next w:val="Normal"/>
    <w:rsid w:val="00A11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02744">
      <w:bodyDiv w:val="1"/>
      <w:marLeft w:val="0"/>
      <w:marRight w:val="0"/>
      <w:marTop w:val="0"/>
      <w:marBottom w:val="0"/>
      <w:divBdr>
        <w:top w:val="none" w:sz="0" w:space="0" w:color="auto"/>
        <w:left w:val="none" w:sz="0" w:space="0" w:color="auto"/>
        <w:bottom w:val="none" w:sz="0" w:space="0" w:color="auto"/>
        <w:right w:val="none" w:sz="0" w:space="0" w:color="auto"/>
      </w:divBdr>
      <w:divsChild>
        <w:div w:id="466700106">
          <w:marLeft w:val="0"/>
          <w:marRight w:val="0"/>
          <w:marTop w:val="0"/>
          <w:marBottom w:val="0"/>
          <w:divBdr>
            <w:top w:val="none" w:sz="0" w:space="0" w:color="auto"/>
            <w:left w:val="none" w:sz="0" w:space="0" w:color="auto"/>
            <w:bottom w:val="none" w:sz="0" w:space="0" w:color="auto"/>
            <w:right w:val="none" w:sz="0" w:space="0" w:color="auto"/>
          </w:divBdr>
        </w:div>
        <w:div w:id="1989900294">
          <w:marLeft w:val="0"/>
          <w:marRight w:val="0"/>
          <w:marTop w:val="0"/>
          <w:marBottom w:val="0"/>
          <w:divBdr>
            <w:top w:val="none" w:sz="0" w:space="0" w:color="auto"/>
            <w:left w:val="none" w:sz="0" w:space="0" w:color="auto"/>
            <w:bottom w:val="none" w:sz="0" w:space="0" w:color="auto"/>
            <w:right w:val="none" w:sz="0" w:space="0" w:color="auto"/>
          </w:divBdr>
        </w:div>
      </w:divsChild>
    </w:div>
    <w:div w:id="670180182">
      <w:bodyDiv w:val="1"/>
      <w:marLeft w:val="0"/>
      <w:marRight w:val="0"/>
      <w:marTop w:val="0"/>
      <w:marBottom w:val="0"/>
      <w:divBdr>
        <w:top w:val="none" w:sz="0" w:space="0" w:color="auto"/>
        <w:left w:val="none" w:sz="0" w:space="0" w:color="auto"/>
        <w:bottom w:val="none" w:sz="0" w:space="0" w:color="auto"/>
        <w:right w:val="none" w:sz="0" w:space="0" w:color="auto"/>
      </w:divBdr>
    </w:div>
    <w:div w:id="681785632">
      <w:bodyDiv w:val="1"/>
      <w:marLeft w:val="0"/>
      <w:marRight w:val="0"/>
      <w:marTop w:val="0"/>
      <w:marBottom w:val="0"/>
      <w:divBdr>
        <w:top w:val="none" w:sz="0" w:space="0" w:color="auto"/>
        <w:left w:val="none" w:sz="0" w:space="0" w:color="auto"/>
        <w:bottom w:val="none" w:sz="0" w:space="0" w:color="auto"/>
        <w:right w:val="none" w:sz="0" w:space="0" w:color="auto"/>
      </w:divBdr>
    </w:div>
    <w:div w:id="795755412">
      <w:bodyDiv w:val="1"/>
      <w:marLeft w:val="0"/>
      <w:marRight w:val="0"/>
      <w:marTop w:val="0"/>
      <w:marBottom w:val="0"/>
      <w:divBdr>
        <w:top w:val="none" w:sz="0" w:space="0" w:color="auto"/>
        <w:left w:val="none" w:sz="0" w:space="0" w:color="auto"/>
        <w:bottom w:val="none" w:sz="0" w:space="0" w:color="auto"/>
        <w:right w:val="none" w:sz="0" w:space="0" w:color="auto"/>
      </w:divBdr>
    </w:div>
    <w:div w:id="895121094">
      <w:bodyDiv w:val="1"/>
      <w:marLeft w:val="0"/>
      <w:marRight w:val="0"/>
      <w:marTop w:val="0"/>
      <w:marBottom w:val="0"/>
      <w:divBdr>
        <w:top w:val="none" w:sz="0" w:space="0" w:color="auto"/>
        <w:left w:val="none" w:sz="0" w:space="0" w:color="auto"/>
        <w:bottom w:val="none" w:sz="0" w:space="0" w:color="auto"/>
        <w:right w:val="none" w:sz="0" w:space="0" w:color="auto"/>
      </w:divBdr>
      <w:divsChild>
        <w:div w:id="1740202587">
          <w:marLeft w:val="0"/>
          <w:marRight w:val="0"/>
          <w:marTop w:val="0"/>
          <w:marBottom w:val="0"/>
          <w:divBdr>
            <w:top w:val="none" w:sz="0" w:space="0" w:color="auto"/>
            <w:left w:val="none" w:sz="0" w:space="0" w:color="auto"/>
            <w:bottom w:val="none" w:sz="0" w:space="0" w:color="auto"/>
            <w:right w:val="none" w:sz="0" w:space="0" w:color="auto"/>
          </w:divBdr>
        </w:div>
        <w:div w:id="1925456246">
          <w:marLeft w:val="0"/>
          <w:marRight w:val="0"/>
          <w:marTop w:val="0"/>
          <w:marBottom w:val="0"/>
          <w:divBdr>
            <w:top w:val="none" w:sz="0" w:space="0" w:color="auto"/>
            <w:left w:val="none" w:sz="0" w:space="0" w:color="auto"/>
            <w:bottom w:val="none" w:sz="0" w:space="0" w:color="auto"/>
            <w:right w:val="none" w:sz="0" w:space="0" w:color="auto"/>
          </w:divBdr>
        </w:div>
      </w:divsChild>
    </w:div>
    <w:div w:id="1001784635">
      <w:bodyDiv w:val="1"/>
      <w:marLeft w:val="0"/>
      <w:marRight w:val="0"/>
      <w:marTop w:val="0"/>
      <w:marBottom w:val="0"/>
      <w:divBdr>
        <w:top w:val="none" w:sz="0" w:space="0" w:color="auto"/>
        <w:left w:val="none" w:sz="0" w:space="0" w:color="auto"/>
        <w:bottom w:val="none" w:sz="0" w:space="0" w:color="auto"/>
        <w:right w:val="none" w:sz="0" w:space="0" w:color="auto"/>
      </w:divBdr>
    </w:div>
    <w:div w:id="1168062089">
      <w:bodyDiv w:val="1"/>
      <w:marLeft w:val="0"/>
      <w:marRight w:val="0"/>
      <w:marTop w:val="0"/>
      <w:marBottom w:val="0"/>
      <w:divBdr>
        <w:top w:val="none" w:sz="0" w:space="0" w:color="auto"/>
        <w:left w:val="none" w:sz="0" w:space="0" w:color="auto"/>
        <w:bottom w:val="none" w:sz="0" w:space="0" w:color="auto"/>
        <w:right w:val="none" w:sz="0" w:space="0" w:color="auto"/>
      </w:divBdr>
    </w:div>
    <w:div w:id="1253397999">
      <w:bodyDiv w:val="1"/>
      <w:marLeft w:val="0"/>
      <w:marRight w:val="0"/>
      <w:marTop w:val="0"/>
      <w:marBottom w:val="0"/>
      <w:divBdr>
        <w:top w:val="none" w:sz="0" w:space="0" w:color="auto"/>
        <w:left w:val="none" w:sz="0" w:space="0" w:color="auto"/>
        <w:bottom w:val="none" w:sz="0" w:space="0" w:color="auto"/>
        <w:right w:val="none" w:sz="0" w:space="0" w:color="auto"/>
      </w:divBdr>
    </w:div>
    <w:div w:id="1259216332">
      <w:bodyDiv w:val="1"/>
      <w:marLeft w:val="0"/>
      <w:marRight w:val="0"/>
      <w:marTop w:val="0"/>
      <w:marBottom w:val="0"/>
      <w:divBdr>
        <w:top w:val="none" w:sz="0" w:space="0" w:color="auto"/>
        <w:left w:val="none" w:sz="0" w:space="0" w:color="auto"/>
        <w:bottom w:val="none" w:sz="0" w:space="0" w:color="auto"/>
        <w:right w:val="none" w:sz="0" w:space="0" w:color="auto"/>
      </w:divBdr>
    </w:div>
    <w:div w:id="1438408021">
      <w:bodyDiv w:val="1"/>
      <w:marLeft w:val="0"/>
      <w:marRight w:val="0"/>
      <w:marTop w:val="0"/>
      <w:marBottom w:val="0"/>
      <w:divBdr>
        <w:top w:val="none" w:sz="0" w:space="0" w:color="auto"/>
        <w:left w:val="none" w:sz="0" w:space="0" w:color="auto"/>
        <w:bottom w:val="none" w:sz="0" w:space="0" w:color="auto"/>
        <w:right w:val="none" w:sz="0" w:space="0" w:color="auto"/>
      </w:divBdr>
    </w:div>
    <w:div w:id="1467626600">
      <w:bodyDiv w:val="1"/>
      <w:marLeft w:val="0"/>
      <w:marRight w:val="0"/>
      <w:marTop w:val="0"/>
      <w:marBottom w:val="0"/>
      <w:divBdr>
        <w:top w:val="none" w:sz="0" w:space="0" w:color="auto"/>
        <w:left w:val="none" w:sz="0" w:space="0" w:color="auto"/>
        <w:bottom w:val="none" w:sz="0" w:space="0" w:color="auto"/>
        <w:right w:val="none" w:sz="0" w:space="0" w:color="auto"/>
      </w:divBdr>
    </w:div>
    <w:div w:id="1764910363">
      <w:bodyDiv w:val="1"/>
      <w:marLeft w:val="0"/>
      <w:marRight w:val="0"/>
      <w:marTop w:val="0"/>
      <w:marBottom w:val="0"/>
      <w:divBdr>
        <w:top w:val="none" w:sz="0" w:space="0" w:color="auto"/>
        <w:left w:val="none" w:sz="0" w:space="0" w:color="auto"/>
        <w:bottom w:val="none" w:sz="0" w:space="0" w:color="auto"/>
        <w:right w:val="none" w:sz="0" w:space="0" w:color="auto"/>
      </w:divBdr>
    </w:div>
    <w:div w:id="1957054139">
      <w:bodyDiv w:val="1"/>
      <w:marLeft w:val="0"/>
      <w:marRight w:val="0"/>
      <w:marTop w:val="0"/>
      <w:marBottom w:val="0"/>
      <w:divBdr>
        <w:top w:val="none" w:sz="0" w:space="0" w:color="auto"/>
        <w:left w:val="none" w:sz="0" w:space="0" w:color="auto"/>
        <w:bottom w:val="none" w:sz="0" w:space="0" w:color="auto"/>
        <w:right w:val="none" w:sz="0" w:space="0" w:color="auto"/>
      </w:divBdr>
    </w:div>
    <w:div w:id="2058972817">
      <w:bodyDiv w:val="1"/>
      <w:marLeft w:val="0"/>
      <w:marRight w:val="0"/>
      <w:marTop w:val="0"/>
      <w:marBottom w:val="0"/>
      <w:divBdr>
        <w:top w:val="none" w:sz="0" w:space="0" w:color="auto"/>
        <w:left w:val="none" w:sz="0" w:space="0" w:color="auto"/>
        <w:bottom w:val="none" w:sz="0" w:space="0" w:color="auto"/>
        <w:right w:val="none" w:sz="0" w:space="0" w:color="auto"/>
      </w:divBdr>
    </w:div>
    <w:div w:id="2067482639">
      <w:bodyDiv w:val="1"/>
      <w:marLeft w:val="0"/>
      <w:marRight w:val="0"/>
      <w:marTop w:val="0"/>
      <w:marBottom w:val="0"/>
      <w:divBdr>
        <w:top w:val="none" w:sz="0" w:space="0" w:color="auto"/>
        <w:left w:val="none" w:sz="0" w:space="0" w:color="auto"/>
        <w:bottom w:val="none" w:sz="0" w:space="0" w:color="auto"/>
        <w:right w:val="none" w:sz="0" w:space="0" w:color="auto"/>
      </w:divBdr>
      <w:divsChild>
        <w:div w:id="320621895">
          <w:marLeft w:val="0"/>
          <w:marRight w:val="0"/>
          <w:marTop w:val="0"/>
          <w:marBottom w:val="0"/>
          <w:divBdr>
            <w:top w:val="none" w:sz="0" w:space="0" w:color="auto"/>
            <w:left w:val="none" w:sz="0" w:space="0" w:color="auto"/>
            <w:bottom w:val="none" w:sz="0" w:space="0" w:color="auto"/>
            <w:right w:val="none" w:sz="0" w:space="0" w:color="auto"/>
          </w:divBdr>
        </w:div>
        <w:div w:id="590547818">
          <w:marLeft w:val="0"/>
          <w:marRight w:val="0"/>
          <w:marTop w:val="0"/>
          <w:marBottom w:val="0"/>
          <w:divBdr>
            <w:top w:val="none" w:sz="0" w:space="0" w:color="auto"/>
            <w:left w:val="none" w:sz="0" w:space="0" w:color="auto"/>
            <w:bottom w:val="none" w:sz="0" w:space="0" w:color="auto"/>
            <w:right w:val="none" w:sz="0" w:space="0" w:color="auto"/>
          </w:divBdr>
        </w:div>
        <w:div w:id="608854123">
          <w:marLeft w:val="0"/>
          <w:marRight w:val="0"/>
          <w:marTop w:val="0"/>
          <w:marBottom w:val="0"/>
          <w:divBdr>
            <w:top w:val="none" w:sz="0" w:space="0" w:color="auto"/>
            <w:left w:val="none" w:sz="0" w:space="0" w:color="auto"/>
            <w:bottom w:val="none" w:sz="0" w:space="0" w:color="auto"/>
            <w:right w:val="none" w:sz="0" w:space="0" w:color="auto"/>
          </w:divBdr>
        </w:div>
        <w:div w:id="695697274">
          <w:marLeft w:val="0"/>
          <w:marRight w:val="0"/>
          <w:marTop w:val="0"/>
          <w:marBottom w:val="0"/>
          <w:divBdr>
            <w:top w:val="none" w:sz="0" w:space="0" w:color="auto"/>
            <w:left w:val="none" w:sz="0" w:space="0" w:color="auto"/>
            <w:bottom w:val="none" w:sz="0" w:space="0" w:color="auto"/>
            <w:right w:val="none" w:sz="0" w:space="0" w:color="auto"/>
          </w:divBdr>
        </w:div>
        <w:div w:id="757680047">
          <w:marLeft w:val="0"/>
          <w:marRight w:val="0"/>
          <w:marTop w:val="0"/>
          <w:marBottom w:val="0"/>
          <w:divBdr>
            <w:top w:val="none" w:sz="0" w:space="0" w:color="auto"/>
            <w:left w:val="none" w:sz="0" w:space="0" w:color="auto"/>
            <w:bottom w:val="none" w:sz="0" w:space="0" w:color="auto"/>
            <w:right w:val="none" w:sz="0" w:space="0" w:color="auto"/>
          </w:divBdr>
        </w:div>
        <w:div w:id="1164928895">
          <w:marLeft w:val="0"/>
          <w:marRight w:val="0"/>
          <w:marTop w:val="0"/>
          <w:marBottom w:val="0"/>
          <w:divBdr>
            <w:top w:val="none" w:sz="0" w:space="0" w:color="auto"/>
            <w:left w:val="none" w:sz="0" w:space="0" w:color="auto"/>
            <w:bottom w:val="none" w:sz="0" w:space="0" w:color="auto"/>
            <w:right w:val="none" w:sz="0" w:space="0" w:color="auto"/>
          </w:divBdr>
        </w:div>
        <w:div w:id="1214267050">
          <w:marLeft w:val="0"/>
          <w:marRight w:val="0"/>
          <w:marTop w:val="0"/>
          <w:marBottom w:val="0"/>
          <w:divBdr>
            <w:top w:val="none" w:sz="0" w:space="0" w:color="auto"/>
            <w:left w:val="none" w:sz="0" w:space="0" w:color="auto"/>
            <w:bottom w:val="none" w:sz="0" w:space="0" w:color="auto"/>
            <w:right w:val="none" w:sz="0" w:space="0" w:color="auto"/>
          </w:divBdr>
        </w:div>
        <w:div w:id="153611440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yperlink" Target="https://commission.europa.eu/strategy-and-policy/priorities-2019-2024/european-green-deal/green-deal-industrial-plan_bg" TargetMode="External"/><Relationship Id="rId39" Type="http://schemas.openxmlformats.org/officeDocument/2006/relationships/image" Target="media/image2.emf"/><Relationship Id="rId21" Type="http://schemas.openxmlformats.org/officeDocument/2006/relationships/hyperlink" Target="https://eur-lex.europa.eu/eli/dir/2023/959/oj/eng" TargetMode="External"/><Relationship Id="rId34" Type="http://schemas.openxmlformats.org/officeDocument/2006/relationships/hyperlink" Target="https://eur-lex.europa.eu/legal-content/BG/TXT/?uri=CELEX%3A32023R1805" TargetMode="External"/><Relationship Id="rId42" Type="http://schemas.openxmlformats.org/officeDocument/2006/relationships/image" Target="media/image5.emf"/><Relationship Id="rId47" Type="http://schemas.openxmlformats.org/officeDocument/2006/relationships/hyperlink" Target="https://climate.ec.europa.eu/eu-action/eu-funding-climate-action/innovation-fund/calls-proposals/if24-auction_bg" TargetMode="External"/><Relationship Id="rId50" Type="http://schemas.openxmlformats.org/officeDocument/2006/relationships/hyperlink" Target="https://ec.europa.eu/commission/presscorner/detail/bg/ip_24_2333" TargetMode="External"/><Relationship Id="rId55" Type="http://schemas.openxmlformats.org/officeDocument/2006/relationships/hyperlink" Target="https://cinea.ec.europa.eu/innovation-fund/innovation-fund-2024-auction-info-day-2024-12-10_bg" TargetMode="External"/><Relationship Id="rId63" Type="http://schemas.openxmlformats.org/officeDocument/2006/relationships/hyperlink" Target="https://ec.europa.eu/commission/presscorner/detail/bg/ip_24_681" TargetMode="External"/><Relationship Id="rId68" Type="http://schemas.openxmlformats.org/officeDocument/2006/relationships/image" Target="media/image12.emf"/><Relationship Id="rId76" Type="http://schemas.openxmlformats.org/officeDocument/2006/relationships/hyperlink" Target="https://climate.ec.europa.eu/document/download/c8db6633-a9e4-4857-af7f-bc345267501a_en?filename=policy_ccs_implementation_20241002_report_en.pdf" TargetMode="External"/><Relationship Id="rId84" Type="http://schemas.openxmlformats.org/officeDocument/2006/relationships/header" Target="header5.xml"/><Relationship Id="rId89"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eur-lex.europa.eu/legal-content/BG/TXT/?uri=CELEX%3A52023DC0669&amp;qid=1702455143415" TargetMode="External"/><Relationship Id="rId11" Type="http://schemas.openxmlformats.org/officeDocument/2006/relationships/webSettings" Target="webSettings.xml"/><Relationship Id="rId24" Type="http://schemas.openxmlformats.org/officeDocument/2006/relationships/hyperlink" Target="https://commission.europa.eu/strategy-and-policy/priorities-2019-2024/story-von-der-leyen-commission/european-green-deal_bg" TargetMode="External"/><Relationship Id="rId32" Type="http://schemas.openxmlformats.org/officeDocument/2006/relationships/hyperlink" Target="https://energy.ec.europa.eu/topics/eus-energy-system/hydrogen/key-actions-eu-hydrogen-strategy_bg" TargetMode="External"/><Relationship Id="rId37" Type="http://schemas.openxmlformats.org/officeDocument/2006/relationships/hyperlink" Target="https://ec.europa.eu/commission/presscorner/detail/bg/ip_24_5423" TargetMode="External"/><Relationship Id="rId40" Type="http://schemas.openxmlformats.org/officeDocument/2006/relationships/image" Target="media/image3.emf"/><Relationship Id="rId45" Type="http://schemas.openxmlformats.org/officeDocument/2006/relationships/hyperlink" Target="https://climate.ec.europa.eu/eu-action/eu-funding-climate-action/innovation-fund/calls-proposals/if24-call_bg" TargetMode="External"/><Relationship Id="rId53" Type="http://schemas.openxmlformats.org/officeDocument/2006/relationships/image" Target="media/image8.emf"/><Relationship Id="rId58" Type="http://schemas.openxmlformats.org/officeDocument/2006/relationships/hyperlink" Target="https://ec.europa.eu/commission/presscorner/detail/bg/ip_24_5862" TargetMode="External"/><Relationship Id="rId66" Type="http://schemas.openxmlformats.org/officeDocument/2006/relationships/image" Target="media/image10.emf"/><Relationship Id="rId74" Type="http://schemas.openxmlformats.org/officeDocument/2006/relationships/image" Target="media/image18.emf"/><Relationship Id="rId79" Type="http://schemas.openxmlformats.org/officeDocument/2006/relationships/hyperlink" Target="https://op.europa.eu/en/publication-detail/-/publication/56611073-3f2b-11ef-bf41-01aa75ed71a1/language-en" TargetMode="External"/><Relationship Id="rId87" Type="http://schemas.openxmlformats.org/officeDocument/2006/relationships/header" Target="header6.xml"/><Relationship Id="rId5" Type="http://schemas.openxmlformats.org/officeDocument/2006/relationships/customXml" Target="../customXml/item5.xml"/><Relationship Id="rId61" Type="http://schemas.openxmlformats.org/officeDocument/2006/relationships/hyperlink" Target="https://ec.europa.eu/commission/presscorner/detail/bg/statement_24_6201" TargetMode="External"/><Relationship Id="rId82" Type="http://schemas.openxmlformats.org/officeDocument/2006/relationships/hyperlink" Target="https://climate.ec.europa.eu/news-other-reads/stories_bg" TargetMode="External"/><Relationship Id="rId90" Type="http://schemas.openxmlformats.org/officeDocument/2006/relationships/theme" Target="theme/theme1.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yperlink" Target="https://climate.ec.europa.eu/eu-action/eu-funding-climate-action/innovation-fund_bg" TargetMode="External"/><Relationship Id="rId27" Type="http://schemas.openxmlformats.org/officeDocument/2006/relationships/hyperlink" Target="https://single-market-economy.ec.europa.eu/industry/sustainability/net-zero-industry-act_bg" TargetMode="External"/><Relationship Id="rId30" Type="http://schemas.openxmlformats.org/officeDocument/2006/relationships/hyperlink" Target="https://eur-lex.europa.eu/legal-content/BG/TXT/?uri=CELEX%3A52023DC0668&amp;qid=1702455230867" TargetMode="External"/><Relationship Id="rId35" Type="http://schemas.openxmlformats.org/officeDocument/2006/relationships/hyperlink" Target="https://eur-lex.europa.eu/legal-content/BG/TXT/?uri=legissum:4536626" TargetMode="External"/><Relationship Id="rId43" Type="http://schemas.openxmlformats.org/officeDocument/2006/relationships/image" Target="media/image6.emf"/><Relationship Id="rId48" Type="http://schemas.openxmlformats.org/officeDocument/2006/relationships/hyperlink" Target="https://cinea.ec.europa.eu/news-events/events/innovation-fund-2024-call-and-battery-info-day-2024-12-17_bg" TargetMode="External"/><Relationship Id="rId56" Type="http://schemas.openxmlformats.org/officeDocument/2006/relationships/hyperlink" Target="https://ec.europa.eu/commission/presscorner/detail/bg/ip_23_5823" TargetMode="External"/><Relationship Id="rId64" Type="http://schemas.openxmlformats.org/officeDocument/2006/relationships/hyperlink" Target="https://ec.europa.eu/commission/presscorner/detail/bg/ip_24_6250" TargetMode="External"/><Relationship Id="rId69" Type="http://schemas.openxmlformats.org/officeDocument/2006/relationships/image" Target="media/image13.emf"/><Relationship Id="rId77" Type="http://schemas.openxmlformats.org/officeDocument/2006/relationships/hyperlink" Target="https://cinea.ec.europa.eu/document/download/aa98c2d1-b2cb-4e48-bfa4-224030c12bb6_en?filename=Summary%20report_H2%20event%20181124_final.pdf" TargetMode="External"/><Relationship Id="rId8" Type="http://schemas.openxmlformats.org/officeDocument/2006/relationships/numbering" Target="numbering.xml"/><Relationship Id="rId51" Type="http://schemas.openxmlformats.org/officeDocument/2006/relationships/hyperlink" Target="https://climate.ec.europa.eu/news-your-voice/news/winners-first-eu-wide-renewable-hydrogen-auction-sign-grant-agreements-paving-way-new-european-2024-10-07_bg" TargetMode="External"/><Relationship Id="rId72" Type="http://schemas.openxmlformats.org/officeDocument/2006/relationships/image" Target="media/image16.emf"/><Relationship Id="rId80" Type="http://schemas.openxmlformats.org/officeDocument/2006/relationships/hyperlink" Target="https://cinea.ec.europa.eu/news-events/news/innovation-fund-new-large-scale-projects-meet-cleantech-conference-2024-04-11_en" TargetMode="External"/><Relationship Id="rId85"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www.consilium.&#1077;&#1074;&#1088;&#1086;opa.eu/bg/policies/paris-agreement-climate/" TargetMode="External"/><Relationship Id="rId33" Type="http://schemas.openxmlformats.org/officeDocument/2006/relationships/hyperlink" Target="https://eur-lex.europa.eu/legal-content/BG/TXT/?uri=CELEX%3A32023R2405" TargetMode="External"/><Relationship Id="rId38" Type="http://schemas.openxmlformats.org/officeDocument/2006/relationships/hyperlink" Target="https://strategic-technologies.europa.eu/project-promoters_bg" TargetMode="External"/><Relationship Id="rId46" Type="http://schemas.openxmlformats.org/officeDocument/2006/relationships/hyperlink" Target="https://climate.ec.europa.eu/eu-action/eu-funding-climate-action/innovation-fund/calls-proposals/if24-battery-call_bg" TargetMode="External"/><Relationship Id="rId59" Type="http://schemas.openxmlformats.org/officeDocument/2006/relationships/hyperlink" Target="https://ec.europa.eu/commission/presscorner/detail/bg/ip_24_2424" TargetMode="External"/><Relationship Id="rId67" Type="http://schemas.openxmlformats.org/officeDocument/2006/relationships/image" Target="media/image11.emf"/><Relationship Id="rId20" Type="http://schemas.openxmlformats.org/officeDocument/2006/relationships/footer" Target="footer3.xml"/><Relationship Id="rId41" Type="http://schemas.openxmlformats.org/officeDocument/2006/relationships/image" Target="media/image4.emf"/><Relationship Id="rId54" Type="http://schemas.openxmlformats.org/officeDocument/2006/relationships/hyperlink" Target="https://ec.europa.eu/info/funding-tenders/opportunities/portal/screen/opportunities/topic-details/INNOVFUND-2024-AUC-RFNBOH2-GENERAL?order=DESC&amp;pageNumber=1&amp;pageSize=50&amp;sortBy=startDate&amp;isExactMatch=true&amp;status=31094501%2C31094502%2C31094503&amp;frameworkProgramme=43089234" TargetMode="External"/><Relationship Id="rId62" Type="http://schemas.openxmlformats.org/officeDocument/2006/relationships/hyperlink" Target="https://www.eib.org/bg/products/mandates-partnerships/innovation-fund/index.htm" TargetMode="External"/><Relationship Id="rId70" Type="http://schemas.openxmlformats.org/officeDocument/2006/relationships/image" Target="media/image14.png"/><Relationship Id="rId75" Type="http://schemas.openxmlformats.org/officeDocument/2006/relationships/hyperlink" Target="https://cinea.ec.europa.eu/document/download/b1dd1a6f-71f6-41cd-87fe-023e0f86d344_en?filename=2024.03%20Summary_RenewableEnergyWorkshop.pdf" TargetMode="External"/><Relationship Id="rId83" Type="http://schemas.openxmlformats.org/officeDocument/2006/relationships/header" Target="header4.xml"/><Relationship Id="rId88"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s://climate.ec.europa.eu/eu-action/eu-emissions-trading-system-eu-ets_bg" TargetMode="External"/><Relationship Id="rId28" Type="http://schemas.openxmlformats.org/officeDocument/2006/relationships/hyperlink" Target="https://eur-lex.europa.eu/eli/dir/2023/2413/oj/eng" TargetMode="External"/><Relationship Id="rId36" Type="http://schemas.openxmlformats.org/officeDocument/2006/relationships/hyperlink" Target="https://climate.ec.europa.eu/news-your-voice/news/innovation-fund-overwhelming-response-2023-net-zero-technologies-call-2024-04-12_bg" TargetMode="External"/><Relationship Id="rId49" Type="http://schemas.openxmlformats.org/officeDocument/2006/relationships/hyperlink" Target="https://cinea.ec.europa.eu/news-events/news/european-hydrogen-bank-pilot-auction-132-bids-received-17-european-countries-2024-02-19_bg" TargetMode="External"/><Relationship Id="rId57" Type="http://schemas.openxmlformats.org/officeDocument/2006/relationships/hyperlink" Target="https://ec.europa.eu/commission/presscorner/detail/bg/ip_24_657" TargetMode="External"/><Relationship Id="rId10" Type="http://schemas.openxmlformats.org/officeDocument/2006/relationships/settings" Target="settings.xml"/><Relationship Id="rId31" Type="http://schemas.openxmlformats.org/officeDocument/2006/relationships/hyperlink" Target="https://commission.europa.eu/topics/energy/repowereu_bg" TargetMode="External"/><Relationship Id="rId44" Type="http://schemas.openxmlformats.org/officeDocument/2006/relationships/hyperlink" Target="https://ec.europa.eu/commission/presscorner/detail/bg/ip_24_6184" TargetMode="External"/><Relationship Id="rId52" Type="http://schemas.openxmlformats.org/officeDocument/2006/relationships/image" Target="media/image7.emf"/><Relationship Id="rId60" Type="http://schemas.openxmlformats.org/officeDocument/2006/relationships/hyperlink" Target="https://climate.ec.europa.eu/news-your-voice/news/innovation-fund-grant-agreements-signed-further-16-innovative-large-scale-projects-2023-01-19_bg" TargetMode="External"/><Relationship Id="rId65" Type="http://schemas.openxmlformats.org/officeDocument/2006/relationships/image" Target="media/image9.emf"/><Relationship Id="rId73" Type="http://schemas.openxmlformats.org/officeDocument/2006/relationships/image" Target="media/image17.emf"/><Relationship Id="rId78" Type="http://schemas.openxmlformats.org/officeDocument/2006/relationships/hyperlink" Target="https://op.europa.eu/en/publication-detail/-/publication/56611073-3f2b-11ef-bf41-01aa75ed71a1/language-en" TargetMode="External"/><Relationship Id="rId81" Type="http://schemas.openxmlformats.org/officeDocument/2006/relationships/hyperlink" Target="https://ec.europa.eu/commission/presscorner/detail/bg/speech_24_1975" TargetMode="External"/><Relationship Id="rId86"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BG/TXT/?uri=CELEX:32020D2166" TargetMode="External"/><Relationship Id="rId1" Type="http://schemas.openxmlformats.org/officeDocument/2006/relationships/hyperlink" Target="https://eur-lex.europa.eu/legal-content/BG/TXT/?uri=CELEX:52022XC0218(03)" TargetMode="External"/></Relationships>
</file>

<file path=word/theme/theme1.xml><?xml version="1.0" encoding="utf-8"?>
<a:theme xmlns:a="http://schemas.openxmlformats.org/drawingml/2006/main" name="Office Theme">
  <a:themeElements>
    <a:clrScheme name="IF REPORTING 2025 COLOURS">
      <a:dk1>
        <a:srgbClr val="000000"/>
      </a:dk1>
      <a:lt1>
        <a:srgbClr val="FFFFFF"/>
      </a:lt1>
      <a:dk2>
        <a:srgbClr val="768A91"/>
      </a:dk2>
      <a:lt2>
        <a:srgbClr val="D8E0E3"/>
      </a:lt2>
      <a:accent1>
        <a:srgbClr val="06BFBF"/>
      </a:accent1>
      <a:accent2>
        <a:srgbClr val="F05353"/>
      </a:accent2>
      <a:accent3>
        <a:srgbClr val="F18443"/>
      </a:accent3>
      <a:accent4>
        <a:srgbClr val="F1C333"/>
      </a:accent4>
      <a:accent5>
        <a:srgbClr val="86C658"/>
      </a:accent5>
      <a:accent6>
        <a:srgbClr val="007573"/>
      </a:accent6>
      <a:hlink>
        <a:srgbClr val="00538B"/>
      </a:hlink>
      <a:folHlink>
        <a:srgbClr val="00A2E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AuthorRoleName="Writer" AuthorRoleDisplayName="Writer" AuthorRoleId="a4fbaff4-b07c-48b4-a21e-e7b9eedf3796">
  <Id>35575966-b727-4bb0-b337-ab4294d0725c</Id>
  <Names>
    <Latin>
      <FirstName>Alice</FirstName>
      <LastName>FRANCHI</LastName>
    </Latin>
    <Greek>
      <FirstName/>
      <LastName/>
    </Greek>
    <Cyrillic>
      <FirstName/>
      <LastName/>
    </Cyrillic>
    <DocumentScript>
      <FirstName>Alice</FirstName>
      <LastName>FRANCHI</LastName>
      <FullName>Alice FRANCHI, Rowan STEELE</FullName>
    </DocumentScript>
  </Names>
  <Initials>AF</Initials>
  <Gender>f</Gender>
  <Email>Alice.FRANCHI@ec.europa.eu</Email>
  <Service>CLIMA.DDG</Service>
  <Function ADCode="" ShowInSignature="true" ShowInHeader="false" HeaderText=""/>
  <WebAddress/>
  <FunctionalMailbox/>
  <InheritedWebAddress>WebAddress</InheritedWebAddress>
  <OrgaEntity1>
    <Id>1e8bcd1d-4a35-438c-bf7a-b0363854cedf</Id>
    <LogicalLevel>1</LogicalLevel>
    <Name>CLIMA</Name>
    <HeadLine1>Directorate-General</HeadLine1>
    <HeadLine2>Climate Action</HeadLine2>
    <PrimaryAddressId>f03b5801-04c9-4931-aa17-c6d6c70bc579</PrimaryAddressId>
    <SecondaryAddressId/>
    <WebAddress>WebAddress</WebAddress>
    <InheritedWebAddress>WebAddress</InheritedWebAddress>
    <ShowInHeader>true</ShowInHeader>
  </OrgaEntity1>
  <OrgaEntity2/>
  <OrgaEntity3>
    <Id>9f24f472-a98a-4ad4-970e-7a2ecb22bbc0</Id>
    <LogicalLevel>3</LogicalLevel>
    <Name>CLIMA.DDG</Name>
    <HeadLine1>Deputy Director-General - EU and External Policy Coherence</HeadLine1>
    <HeadLine2/>
    <PrimaryAddressId>f03b5801-04c9-4931-aa17-c6d6c70bc579</PrimaryAddressId>
    <SecondaryAddressId/>
    <WebAddress/>
    <InheritedWebAddress>WebAddress</InheritedWebAddress>
    <ShowInHeader>true</ShowInHeader>
  </OrgaEntity3>
  <Hierarchy>
    <OrgaEntity>
      <Id>1e8bcd1d-4a35-438c-bf7a-b0363854cedf</Id>
      <LogicalLevel>1</LogicalLevel>
      <Name>CLIMA</Name>
      <HeadLine1>Directorate-General</HeadLine1>
      <HeadLine2>Climate Action</HeadLine2>
      <PrimaryAddressId>f03b5801-04c9-4931-aa17-c6d6c70bc579</PrimaryAddressId>
      <SecondaryAddressId/>
      <WebAddress>WebAddress</WebAddress>
      <InheritedWebAddress>WebAddress</InheritedWebAddress>
      <ShowInHeader>true</ShowInHeader>
    </OrgaEntity>
    <OrgaEntity>
      <Id>9f24f472-a98a-4ad4-970e-7a2ecb22bbc0</Id>
      <LogicalLevel>3</LogicalLevel>
      <Name>CLIMA.DDG</Name>
      <HeadLine1>Deputy Director-General - EU and External Policy Coherence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+32 229-13085</Phone>
    <Office>BRE2 12/DCS</Office>
  </MainWorkplace>
  <Workplaces>
    <Workplace IsMain="true">
      <AddressId>f03b5801-04c9-4931-aa17-c6d6c70bc579</AddressId>
      <Fax/>
      <Phone>+32 229-13085</Phone>
      <Office>BRE2 12/DCS</Office>
    </Workplace>
  </Workplaces>
</Author>
</file>

<file path=customXml/item2.xml><?xml version="1.0" encoding="utf-8"?>
<ct:contentTypeSchema xmlns:ct="http://schemas.microsoft.com/office/2006/metadata/contentType" xmlns:ma="http://schemas.microsoft.com/office/2006/metadata/properties/metaAttributes" ct:_="" ma:_="" ma:contentTypeName="Document" ma:contentTypeID="0x010100785F69E1628A2E45B60213B67CDFD033" ma:contentTypeVersion="15" ma:contentTypeDescription="Create a new document." ma:contentTypeScope="" ma:versionID="cca24617c4d005b4734fdea75c53df5c">
  <xsd:schema xmlns:xsd="http://www.w3.org/2001/XMLSchema" xmlns:xs="http://www.w3.org/2001/XMLSchema" xmlns:p="http://schemas.microsoft.com/office/2006/metadata/properties" xmlns:ns2="5f6e308b-c1fa-409d-8633-4b8824628b6a" xmlns:ns3="8e70c616-2388-4b2b-acbc-3fc015cadcd4" targetNamespace="http://schemas.microsoft.com/office/2006/metadata/properties" ma:root="true" ma:fieldsID="7582f137706f78158b9a666a983ffd4f" ns2:_="" ns3:_="">
    <xsd:import namespace="5f6e308b-c1fa-409d-8633-4b8824628b6a"/>
    <xsd:import namespace="8e70c616-2388-4b2b-acbc-3fc015cadc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e308b-c1fa-409d-8633-4b8824628b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 ma:index="20" nillable="true" ma:displayName="Date" ma:format="Dropdown" ma:internalName="Date">
      <xsd:simpleType>
        <xsd:restriction base="dms:Lookup"/>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70c616-2388-4b2b-acbc-3fc015cadcd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749eea1-19b7-4bc3-adb7-c284a758f3ce}" ma:internalName="TaxCatchAll" ma:showField="CatchAllData" ma:web="8e70c616-2388-4b2b-acbc-3fc015cadc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MarkingUntilText>UNTIL</MarkingUntilText>
  <OrgaRoot>EUROPEAN COMMISSION</OrgaRoot>
  <SecurityPharma>Pharma Investigations</SecurityPharma>
  <ClimaSensitive>CLIMA</ClimaSensitive>
  <SecurityEmbargo>EMBARGO UNTIL</SecurityEmbargo>
  <Contact>Contact:</Contact>
  <Contacts>Contacts:</Contacts>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TOCHeading>Съдържание</TOCHeading>
  <SecurityCompOperations>COMP Operations</SecurityCompOperations>
  <SecurityOpinionLegalService>Opinion of the Legal Service</SecurityOpinionLegalService>
  <FooterPhone>Tel. direct line</FooterPhone>
  <FooterFax>Fax</FooterFax>
  <FooterOffice>Office:</FooterOffice>
  <PharmaSpecialHandlingLabel>Pharma Investigations</PharmaSpecialHandlingLabel>
  <DecisionLetter-SpecialHandlingFootnote>Special handling instructions are given at </DecisionLetter-SpecialHandlingFootnote>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TechHistoryCreatedBy>Document created by</TechHistoryCreatedBy>
  <TechHistoryDate>Date</TechHistoryDate>
  <TechHistory>Document History</TechHistory>
  <TechHistoryComment>Comment</TechHistoryComment>
  <TechHistoryVersion>Version</TechHistoryVersion>
  <SecurityStaffMatter>Staff Matter</SecurityStaffMatter>
  <LabelFormattedTableSeqEC>Table {field: SEQ Table \* ARABIC }: </LabelFormattedTableSeqEC>
  <SecurityMediationServiceMatter>Mediation Service</SecurityMediationServiceMatter>
  <SecurityReleasable>RELEASABLE TO:</SecurityReleasable>
  <TechPropsRefno>ReferenceNumber:</TechPropsRefno>
  <TechPropsRevised>Revised by:</TechPropsRevised>
  <TechPropsVersion>Version:</TechPropsVersion>
  <TechPropsApproved>Approved by:</TechPropsApproved>
  <TechPropsAuthors>Authors:</TechPropsAuthors>
  <TechPropsPublic>Public:</TechPropsPublic>
  <TechPropsDate>Date:</TechPropsDate>
  <TechFooterVersion>Версия на документа</TechFooterVersion>
  <TechFooterDated>от</TechFooterDated>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LabelFormattedFigureSeqEC>Figure {field: SEQ Figure \* ARABIC }: </LabelFormattedFigureSeqEC>
  <COMPSpecialHandlingLabel>COMP</COMPSpecialHandlingLabel>
  <COMPSpecialHandlingHyperlink>{field:HYPERLINK "https://europa.eu/!db43PX" |https://europa.eu/!db43PX }</COMPSpecialHandlingHyperlink>
  <DateFormatShort>dd/MM/yyyy</DateFormatShort>
  <DateFormatLong>d MMMM yyyy</DateFormatLong>
</Texts>
</file>

<file path=customXml/item4.xml><?xml version="1.0" encoding="utf-8"?>
<EurolookProperties>
  <ProductCustomizationId>EC</ProductCustomizationId>
  <Created>
    <Version>10.0.47847.0</Version>
    <Date>2025-07-23T11:51:37</Date>
    <Language>EN</Language>
    <Note/>
  </Created>
  <Edited>
    <Version/>
    <Date/>
  </Edited>
  <DocumentModel>
    <Id>34954475-997f-4cb0-a95b-7f65298f3d8c</Id>
    <Name>Report (long)</Name>
  </DocumentModel>
  <CustomTemplate>
    <Id/>
    <Name/>
  </CustomTemplate>
  <DocumentDate>2025-08-20T00:00:00</DocumentDate>
  <DocumentVersion>1</DocumentVersion>
  <CompatibilityMode>Eurolook10</CompatibilityMode>
  <DocumentMetadata>
    <EC_SecurityDistributionWorkingGroup MetadataSerializationType="SimpleValue"/>
    <EC_SecurityDistributionDG MetadataSerializationType="SimpleValue"/>
    <EC_SecurityDateMarkingDate MetadataSerializationType="SimpleValue"/>
    <EC_SecurityDateMarkingEvent MetadataSerializationType="SimpleValue"/>
    <EC_SecurityReleasability MetadataSerializationType="SimpleValue"/>
    <EC_SecurityDateMarking MetadataSerializationType="SimpleValue"/>
    <EC_SecurityMarking MetadataSerializationType="SimpleValue"/>
    <EC_SecurityDistributionSpecialHandling MetadataSerializationType="SimpleValue"/>
    <EC_SecurityDistributionSensitive MetadataSerializationType="SimpleValue"/>
  </DocumentMetadata>
</EurolookProperties>
</file>

<file path=customXml/item5.xml><?xml version="1.0" encoding="utf-8"?>
<p:properties xmlns:p="http://schemas.microsoft.com/office/2006/metadata/properties" xmlns:xsi="http://www.w3.org/2001/XMLSchema-instance" xmlns:pc="http://schemas.microsoft.com/office/infopath/2007/PartnerControls">
  <documentManagement>
    <Date xmlns="5f6e308b-c1fa-409d-8633-4b8824628b6a" xsi:nil="true"/>
    <lcf76f155ced4ddcb4097134ff3c332f xmlns="5f6e308b-c1fa-409d-8633-4b8824628b6a">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8e70c616-2388-4b2b-acbc-3fc015cadcd4"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45EC4-21B9-4355-8B3D-E3D459340D0B}">
  <ds:schemaRefs/>
</ds:datastoreItem>
</file>

<file path=customXml/itemProps2.xml><?xml version="1.0" encoding="utf-8"?>
<ds:datastoreItem xmlns:ds="http://schemas.openxmlformats.org/officeDocument/2006/customXml" ds:itemID="{73CCBA6A-AE3B-43CE-A3E6-6F3E2932B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e308b-c1fa-409d-8633-4b8824628b6a"/>
    <ds:schemaRef ds:uri="8e70c616-2388-4b2b-acbc-3fc015cad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240AA91A-A5F1-4BB4-9D64-664741554FB8}">
  <ds:schemaRefs>
    <ds:schemaRef ds:uri="http://schemas.microsoft.com/office/2006/metadata/properties"/>
    <ds:schemaRef ds:uri="http://schemas.microsoft.com/office/infopath/2007/PartnerControls"/>
    <ds:schemaRef ds:uri="5f6e308b-c1fa-409d-8633-4b8824628b6a"/>
    <ds:schemaRef ds:uri="8e70c616-2388-4b2b-acbc-3fc015cadcd4"/>
  </ds:schemaRefs>
</ds:datastoreItem>
</file>

<file path=customXml/itemProps6.xml><?xml version="1.0" encoding="utf-8"?>
<ds:datastoreItem xmlns:ds="http://schemas.openxmlformats.org/officeDocument/2006/customXml" ds:itemID="{96B2F830-0E85-473A-83BA-66A8DBEF12A3}">
  <ds:schemaRefs>
    <ds:schemaRef ds:uri="http://schemas.microsoft.com/sharepoint/v3/contenttype/forms"/>
  </ds:schemaRefs>
</ds:datastoreItem>
</file>

<file path=customXml/itemProps7.xml><?xml version="1.0" encoding="utf-8"?>
<ds:datastoreItem xmlns:ds="http://schemas.openxmlformats.org/officeDocument/2006/customXml" ds:itemID="{01AA8638-E750-4862-93E9-4E50BDB6D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6841</Words>
  <Characters>38999</Characters>
  <Application>Microsoft Office Word</Application>
  <DocSecurity>0</DocSecurity>
  <PresentationFormat>Microsoft Word 14.0</PresentationFormat>
  <Lines>324</Lines>
  <Paragraphs>91</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45749</CharactersWithSpaces>
  <SharedDoc>false</SharedDoc>
  <HLinks>
    <vt:vector size="432" baseType="variant">
      <vt:variant>
        <vt:i4>6357076</vt:i4>
      </vt:variant>
      <vt:variant>
        <vt:i4>321</vt:i4>
      </vt:variant>
      <vt:variant>
        <vt:i4>0</vt:i4>
      </vt:variant>
      <vt:variant>
        <vt:i4>5</vt:i4>
      </vt:variant>
      <vt:variant>
        <vt:lpwstr>https://climate.ec.europa.eu/news-other-reads/stories_en</vt:lpwstr>
      </vt:variant>
      <vt:variant>
        <vt:lpwstr/>
      </vt:variant>
      <vt:variant>
        <vt:i4>8257657</vt:i4>
      </vt:variant>
      <vt:variant>
        <vt:i4>318</vt:i4>
      </vt:variant>
      <vt:variant>
        <vt:i4>0</vt:i4>
      </vt:variant>
      <vt:variant>
        <vt:i4>5</vt:i4>
      </vt:variant>
      <vt:variant>
        <vt:lpwstr>https://ec.europa.eu/commission/presscorner/detail/en/speech_24_1975</vt:lpwstr>
      </vt:variant>
      <vt:variant>
        <vt:lpwstr/>
      </vt:variant>
      <vt:variant>
        <vt:i4>7667735</vt:i4>
      </vt:variant>
      <vt:variant>
        <vt:i4>315</vt:i4>
      </vt:variant>
      <vt:variant>
        <vt:i4>0</vt:i4>
      </vt:variant>
      <vt:variant>
        <vt:i4>5</vt:i4>
      </vt:variant>
      <vt:variant>
        <vt:lpwstr>https://cinea.ec.europa.eu/news-events/news/innovation-fund-new-large-scale-projects-meet-cleantech-conference-2024-04-11_en</vt:lpwstr>
      </vt:variant>
      <vt:variant>
        <vt:lpwstr/>
      </vt:variant>
      <vt:variant>
        <vt:i4>1835084</vt:i4>
      </vt:variant>
      <vt:variant>
        <vt:i4>312</vt:i4>
      </vt:variant>
      <vt:variant>
        <vt:i4>0</vt:i4>
      </vt:variant>
      <vt:variant>
        <vt:i4>5</vt:i4>
      </vt:variant>
      <vt:variant>
        <vt:lpwstr>https://op.europa.eu/en/publication-detail/-/publication/56611073-3f2b-11ef-bf41-01aa75ed71a1/language-en</vt:lpwstr>
      </vt:variant>
      <vt:variant>
        <vt:lpwstr/>
      </vt:variant>
      <vt:variant>
        <vt:i4>2949150</vt:i4>
      </vt:variant>
      <vt:variant>
        <vt:i4>309</vt:i4>
      </vt:variant>
      <vt:variant>
        <vt:i4>0</vt:i4>
      </vt:variant>
      <vt:variant>
        <vt:i4>5</vt:i4>
      </vt:variant>
      <vt:variant>
        <vt:lpwstr>https://cinea.ec.europa.eu/document/download/aa98c2d1-b2cb-4e48-bfa4-224030c12bb6_en?filename=Summary%20report_H2%20event%20181124_final.pdf</vt:lpwstr>
      </vt:variant>
      <vt:variant>
        <vt:lpwstr/>
      </vt:variant>
      <vt:variant>
        <vt:i4>8257578</vt:i4>
      </vt:variant>
      <vt:variant>
        <vt:i4>306</vt:i4>
      </vt:variant>
      <vt:variant>
        <vt:i4>0</vt:i4>
      </vt:variant>
      <vt:variant>
        <vt:i4>5</vt:i4>
      </vt:variant>
      <vt:variant>
        <vt:lpwstr>https://climate.ec.europa.eu/document/download/c8db6633-a9e4-4857-af7f-bc345267501a_en?filename=policy_ccs_implementation_20241002_report_en.pdf</vt:lpwstr>
      </vt:variant>
      <vt:variant>
        <vt:lpwstr/>
      </vt:variant>
      <vt:variant>
        <vt:i4>3997818</vt:i4>
      </vt:variant>
      <vt:variant>
        <vt:i4>303</vt:i4>
      </vt:variant>
      <vt:variant>
        <vt:i4>0</vt:i4>
      </vt:variant>
      <vt:variant>
        <vt:i4>5</vt:i4>
      </vt:variant>
      <vt:variant>
        <vt:lpwstr>https://cinea.ec.europa.eu/document/download/b1dd1a6f-71f6-41cd-87fe-023e0f86d344_en?filename=2024.03%20Summary_RenewableEnergyWorkshop.pdf</vt:lpwstr>
      </vt:variant>
      <vt:variant>
        <vt:lpwstr/>
      </vt:variant>
      <vt:variant>
        <vt:i4>8192096</vt:i4>
      </vt:variant>
      <vt:variant>
        <vt:i4>270</vt:i4>
      </vt:variant>
      <vt:variant>
        <vt:i4>0</vt:i4>
      </vt:variant>
      <vt:variant>
        <vt:i4>5</vt:i4>
      </vt:variant>
      <vt:variant>
        <vt:lpwstr>https://ec.europa.eu/commission/presscorner/detail/en/ip_24_6250</vt:lpwstr>
      </vt:variant>
      <vt:variant>
        <vt:lpwstr/>
      </vt:variant>
      <vt:variant>
        <vt:i4>4653141</vt:i4>
      </vt:variant>
      <vt:variant>
        <vt:i4>267</vt:i4>
      </vt:variant>
      <vt:variant>
        <vt:i4>0</vt:i4>
      </vt:variant>
      <vt:variant>
        <vt:i4>5</vt:i4>
      </vt:variant>
      <vt:variant>
        <vt:lpwstr>https://ec.europa.eu/commission/presscorner/detail/en/ip_24_681</vt:lpwstr>
      </vt:variant>
      <vt:variant>
        <vt:lpwstr/>
      </vt:variant>
      <vt:variant>
        <vt:i4>3604603</vt:i4>
      </vt:variant>
      <vt:variant>
        <vt:i4>264</vt:i4>
      </vt:variant>
      <vt:variant>
        <vt:i4>0</vt:i4>
      </vt:variant>
      <vt:variant>
        <vt:i4>5</vt:i4>
      </vt:variant>
      <vt:variant>
        <vt:lpwstr>https://www.eib.org/en/products/mandates-partnerships/innovation-fund/index.htm</vt:lpwstr>
      </vt:variant>
      <vt:variant>
        <vt:lpwstr/>
      </vt:variant>
      <vt:variant>
        <vt:i4>786520</vt:i4>
      </vt:variant>
      <vt:variant>
        <vt:i4>261</vt:i4>
      </vt:variant>
      <vt:variant>
        <vt:i4>0</vt:i4>
      </vt:variant>
      <vt:variant>
        <vt:i4>5</vt:i4>
      </vt:variant>
      <vt:variant>
        <vt:lpwstr>https://ec.europa.eu/commission/presscorner/detail/en/statement_24_6201</vt:lpwstr>
      </vt:variant>
      <vt:variant>
        <vt:lpwstr/>
      </vt:variant>
      <vt:variant>
        <vt:i4>1114152</vt:i4>
      </vt:variant>
      <vt:variant>
        <vt:i4>258</vt:i4>
      </vt:variant>
      <vt:variant>
        <vt:i4>0</vt:i4>
      </vt:variant>
      <vt:variant>
        <vt:i4>5</vt:i4>
      </vt:variant>
      <vt:variant>
        <vt:lpwstr>https://climate.ec.europa.eu/news-your-voice/news/innovation-fund-grant-agreements-signed-further-16-innovative-large-scale-projects-2023-01-19_en</vt:lpwstr>
      </vt:variant>
      <vt:variant>
        <vt:lpwstr/>
      </vt:variant>
      <vt:variant>
        <vt:i4>8323171</vt:i4>
      </vt:variant>
      <vt:variant>
        <vt:i4>255</vt:i4>
      </vt:variant>
      <vt:variant>
        <vt:i4>0</vt:i4>
      </vt:variant>
      <vt:variant>
        <vt:i4>5</vt:i4>
      </vt:variant>
      <vt:variant>
        <vt:lpwstr>https://ec.europa.eu/commission/presscorner/detail/en/ip_24_2424</vt:lpwstr>
      </vt:variant>
      <vt:variant>
        <vt:lpwstr/>
      </vt:variant>
      <vt:variant>
        <vt:i4>7667808</vt:i4>
      </vt:variant>
      <vt:variant>
        <vt:i4>252</vt:i4>
      </vt:variant>
      <vt:variant>
        <vt:i4>0</vt:i4>
      </vt:variant>
      <vt:variant>
        <vt:i4>5</vt:i4>
      </vt:variant>
      <vt:variant>
        <vt:lpwstr>https://ec.europa.eu/commission/presscorner/detail/en/ip_24_5862</vt:lpwstr>
      </vt:variant>
      <vt:variant>
        <vt:lpwstr/>
      </vt:variant>
      <vt:variant>
        <vt:i4>4849749</vt:i4>
      </vt:variant>
      <vt:variant>
        <vt:i4>249</vt:i4>
      </vt:variant>
      <vt:variant>
        <vt:i4>0</vt:i4>
      </vt:variant>
      <vt:variant>
        <vt:i4>5</vt:i4>
      </vt:variant>
      <vt:variant>
        <vt:lpwstr>https://ec.europa.eu/commission/presscorner/detail/en/ip_24_657</vt:lpwstr>
      </vt:variant>
      <vt:variant>
        <vt:lpwstr/>
      </vt:variant>
      <vt:variant>
        <vt:i4>7602275</vt:i4>
      </vt:variant>
      <vt:variant>
        <vt:i4>246</vt:i4>
      </vt:variant>
      <vt:variant>
        <vt:i4>0</vt:i4>
      </vt:variant>
      <vt:variant>
        <vt:i4>5</vt:i4>
      </vt:variant>
      <vt:variant>
        <vt:lpwstr>https://ec.europa.eu/commission/presscorner/detail/en/ip_23_5823</vt:lpwstr>
      </vt:variant>
      <vt:variant>
        <vt:lpwstr/>
      </vt:variant>
      <vt:variant>
        <vt:i4>65654</vt:i4>
      </vt:variant>
      <vt:variant>
        <vt:i4>243</vt:i4>
      </vt:variant>
      <vt:variant>
        <vt:i4>0</vt:i4>
      </vt:variant>
      <vt:variant>
        <vt:i4>5</vt:i4>
      </vt:variant>
      <vt:variant>
        <vt:lpwstr>https://cinea.ec.europa.eu/innovation-fund/innovation-fund-2024-auction-info-day-2024-12-10_en</vt:lpwstr>
      </vt:variant>
      <vt:variant>
        <vt:lpwstr/>
      </vt:variant>
      <vt:variant>
        <vt:i4>3407905</vt:i4>
      </vt:variant>
      <vt:variant>
        <vt:i4>240</vt:i4>
      </vt:variant>
      <vt:variant>
        <vt:i4>0</vt:i4>
      </vt:variant>
      <vt:variant>
        <vt:i4>5</vt:i4>
      </vt:variant>
      <vt:variant>
        <vt:lpwstr>https://ec.europa.eu/info/funding-tenders/opportunities/portal/screen/opportunities/topic-details/INNOVFUND-2024-AUC-RFNBOH2-GENERAL?order=DESC&amp;pageNumber=1&amp;pageSize=50&amp;sortBy=startDate&amp;isExactMatch=true&amp;status=31094501%2C31094502%2C31094503&amp;frameworkProgramme=43089234</vt:lpwstr>
      </vt:variant>
      <vt:variant>
        <vt:lpwstr/>
      </vt:variant>
      <vt:variant>
        <vt:i4>4522047</vt:i4>
      </vt:variant>
      <vt:variant>
        <vt:i4>234</vt:i4>
      </vt:variant>
      <vt:variant>
        <vt:i4>0</vt:i4>
      </vt:variant>
      <vt:variant>
        <vt:i4>5</vt:i4>
      </vt:variant>
      <vt:variant>
        <vt:lpwstr>https://climate.ec.europa.eu/news-your-voice/news/winners-first-eu-wide-renewable-hydrogen-auction-sign-grant-agreements-paving-way-new-european-2024-10-07_en</vt:lpwstr>
      </vt:variant>
      <vt:variant>
        <vt:lpwstr/>
      </vt:variant>
      <vt:variant>
        <vt:i4>8323170</vt:i4>
      </vt:variant>
      <vt:variant>
        <vt:i4>231</vt:i4>
      </vt:variant>
      <vt:variant>
        <vt:i4>0</vt:i4>
      </vt:variant>
      <vt:variant>
        <vt:i4>5</vt:i4>
      </vt:variant>
      <vt:variant>
        <vt:lpwstr>https://ec.europa.eu/commission/presscorner/detail/en/ip_24_2333</vt:lpwstr>
      </vt:variant>
      <vt:variant>
        <vt:lpwstr/>
      </vt:variant>
      <vt:variant>
        <vt:i4>524347</vt:i4>
      </vt:variant>
      <vt:variant>
        <vt:i4>228</vt:i4>
      </vt:variant>
      <vt:variant>
        <vt:i4>0</vt:i4>
      </vt:variant>
      <vt:variant>
        <vt:i4>5</vt:i4>
      </vt:variant>
      <vt:variant>
        <vt:lpwstr>https://cinea.ec.europa.eu/news-events/news/european-hydrogen-bank-pilot-auction-132-bids-received-17-european-countries-2024-02-19_en</vt:lpwstr>
      </vt:variant>
      <vt:variant>
        <vt:lpwstr/>
      </vt:variant>
      <vt:variant>
        <vt:i4>5374066</vt:i4>
      </vt:variant>
      <vt:variant>
        <vt:i4>225</vt:i4>
      </vt:variant>
      <vt:variant>
        <vt:i4>0</vt:i4>
      </vt:variant>
      <vt:variant>
        <vt:i4>5</vt:i4>
      </vt:variant>
      <vt:variant>
        <vt:lpwstr/>
      </vt:variant>
      <vt:variant>
        <vt:lpwstr>_IF24_Auction_launch</vt:lpwstr>
      </vt:variant>
      <vt:variant>
        <vt:i4>393261</vt:i4>
      </vt:variant>
      <vt:variant>
        <vt:i4>222</vt:i4>
      </vt:variant>
      <vt:variant>
        <vt:i4>0</vt:i4>
      </vt:variant>
      <vt:variant>
        <vt:i4>5</vt:i4>
      </vt:variant>
      <vt:variant>
        <vt:lpwstr>https://cinea.ec.europa.eu/news-events/events/innovation-fund-2024-call-and-battery-info-day-2024-12-17_en</vt:lpwstr>
      </vt:variant>
      <vt:variant>
        <vt:lpwstr/>
      </vt:variant>
      <vt:variant>
        <vt:i4>8257628</vt:i4>
      </vt:variant>
      <vt:variant>
        <vt:i4>219</vt:i4>
      </vt:variant>
      <vt:variant>
        <vt:i4>0</vt:i4>
      </vt:variant>
      <vt:variant>
        <vt:i4>5</vt:i4>
      </vt:variant>
      <vt:variant>
        <vt:lpwstr>https://climate.ec.europa.eu/eu-action/eu-funding-climate-action/innovation-fund/calls-proposals/if24-auction_en</vt:lpwstr>
      </vt:variant>
      <vt:variant>
        <vt:lpwstr/>
      </vt:variant>
      <vt:variant>
        <vt:i4>196710</vt:i4>
      </vt:variant>
      <vt:variant>
        <vt:i4>216</vt:i4>
      </vt:variant>
      <vt:variant>
        <vt:i4>0</vt:i4>
      </vt:variant>
      <vt:variant>
        <vt:i4>5</vt:i4>
      </vt:variant>
      <vt:variant>
        <vt:lpwstr>https://climate.ec.europa.eu/eu-action/eu-funding-climate-action/innovation-fund/calls-proposals/if24-battery-call_en</vt:lpwstr>
      </vt:variant>
      <vt:variant>
        <vt:lpwstr/>
      </vt:variant>
      <vt:variant>
        <vt:i4>4784236</vt:i4>
      </vt:variant>
      <vt:variant>
        <vt:i4>213</vt:i4>
      </vt:variant>
      <vt:variant>
        <vt:i4>0</vt:i4>
      </vt:variant>
      <vt:variant>
        <vt:i4>5</vt:i4>
      </vt:variant>
      <vt:variant>
        <vt:lpwstr>https://climate.ec.europa.eu/eu-action/eu-funding-climate-action/innovation-fund/calls-proposals/if24-call_en</vt:lpwstr>
      </vt:variant>
      <vt:variant>
        <vt:lpwstr/>
      </vt:variant>
      <vt:variant>
        <vt:i4>7995501</vt:i4>
      </vt:variant>
      <vt:variant>
        <vt:i4>210</vt:i4>
      </vt:variant>
      <vt:variant>
        <vt:i4>0</vt:i4>
      </vt:variant>
      <vt:variant>
        <vt:i4>5</vt:i4>
      </vt:variant>
      <vt:variant>
        <vt:lpwstr>https://ec.europa.eu/commission/presscorner/detail/en/ip_24_6184</vt:lpwstr>
      </vt:variant>
      <vt:variant>
        <vt:lpwstr/>
      </vt:variant>
      <vt:variant>
        <vt:i4>6684791</vt:i4>
      </vt:variant>
      <vt:variant>
        <vt:i4>192</vt:i4>
      </vt:variant>
      <vt:variant>
        <vt:i4>0</vt:i4>
      </vt:variant>
      <vt:variant>
        <vt:i4>5</vt:i4>
      </vt:variant>
      <vt:variant>
        <vt:lpwstr>https://strategic-technologies.europa.eu/project-promoters_en</vt:lpwstr>
      </vt:variant>
      <vt:variant>
        <vt:lpwstr>paragraph_282</vt:lpwstr>
      </vt:variant>
      <vt:variant>
        <vt:i4>7864420</vt:i4>
      </vt:variant>
      <vt:variant>
        <vt:i4>189</vt:i4>
      </vt:variant>
      <vt:variant>
        <vt:i4>0</vt:i4>
      </vt:variant>
      <vt:variant>
        <vt:i4>5</vt:i4>
      </vt:variant>
      <vt:variant>
        <vt:lpwstr>https://ec.europa.eu/commission/presscorner/detail/en/ip_24_5423</vt:lpwstr>
      </vt:variant>
      <vt:variant>
        <vt:lpwstr/>
      </vt:variant>
      <vt:variant>
        <vt:i4>4915303</vt:i4>
      </vt:variant>
      <vt:variant>
        <vt:i4>186</vt:i4>
      </vt:variant>
      <vt:variant>
        <vt:i4>0</vt:i4>
      </vt:variant>
      <vt:variant>
        <vt:i4>5</vt:i4>
      </vt:variant>
      <vt:variant>
        <vt:lpwstr>https://climate.ec.europa.eu/news-your-voice/news/innovation-fund-overwhelming-response-2023-net-zero-technologies-call-2024-04-12_en</vt:lpwstr>
      </vt:variant>
      <vt:variant>
        <vt:lpwstr/>
      </vt:variant>
      <vt:variant>
        <vt:i4>4915203</vt:i4>
      </vt:variant>
      <vt:variant>
        <vt:i4>183</vt:i4>
      </vt:variant>
      <vt:variant>
        <vt:i4>0</vt:i4>
      </vt:variant>
      <vt:variant>
        <vt:i4>5</vt:i4>
      </vt:variant>
      <vt:variant>
        <vt:lpwstr>https://eur-lex.europa.eu/legal-content/EN/TXT/?uri=legissum:4536626</vt:lpwstr>
      </vt:variant>
      <vt:variant>
        <vt:lpwstr/>
      </vt:variant>
      <vt:variant>
        <vt:i4>6619248</vt:i4>
      </vt:variant>
      <vt:variant>
        <vt:i4>180</vt:i4>
      </vt:variant>
      <vt:variant>
        <vt:i4>0</vt:i4>
      </vt:variant>
      <vt:variant>
        <vt:i4>5</vt:i4>
      </vt:variant>
      <vt:variant>
        <vt:lpwstr>https://eur-lex.europa.eu/legal-content/EN/TXT/?uri=CELEX%3A32023R1805</vt:lpwstr>
      </vt:variant>
      <vt:variant>
        <vt:lpwstr/>
      </vt:variant>
      <vt:variant>
        <vt:i4>6881395</vt:i4>
      </vt:variant>
      <vt:variant>
        <vt:i4>177</vt:i4>
      </vt:variant>
      <vt:variant>
        <vt:i4>0</vt:i4>
      </vt:variant>
      <vt:variant>
        <vt:i4>5</vt:i4>
      </vt:variant>
      <vt:variant>
        <vt:lpwstr>https://eur-lex.europa.eu/legal-content/EN/TXT/?uri=CELEX%3A32023R2405</vt:lpwstr>
      </vt:variant>
      <vt:variant>
        <vt:lpwstr/>
      </vt:variant>
      <vt:variant>
        <vt:i4>6094967</vt:i4>
      </vt:variant>
      <vt:variant>
        <vt:i4>174</vt:i4>
      </vt:variant>
      <vt:variant>
        <vt:i4>0</vt:i4>
      </vt:variant>
      <vt:variant>
        <vt:i4>5</vt:i4>
      </vt:variant>
      <vt:variant>
        <vt:lpwstr>https://energy.ec.europa.eu/topics/eus-energy-system/hydrogen/key-actions-eu-hydrogen-strategy_en</vt:lpwstr>
      </vt:variant>
      <vt:variant>
        <vt:lpwstr/>
      </vt:variant>
      <vt:variant>
        <vt:i4>6357068</vt:i4>
      </vt:variant>
      <vt:variant>
        <vt:i4>171</vt:i4>
      </vt:variant>
      <vt:variant>
        <vt:i4>0</vt:i4>
      </vt:variant>
      <vt:variant>
        <vt:i4>5</vt:i4>
      </vt:variant>
      <vt:variant>
        <vt:lpwstr>https://commission.europa.eu/topics/energy/repowereu_en</vt:lpwstr>
      </vt:variant>
      <vt:variant>
        <vt:lpwstr/>
      </vt:variant>
      <vt:variant>
        <vt:i4>917508</vt:i4>
      </vt:variant>
      <vt:variant>
        <vt:i4>168</vt:i4>
      </vt:variant>
      <vt:variant>
        <vt:i4>0</vt:i4>
      </vt:variant>
      <vt:variant>
        <vt:i4>5</vt:i4>
      </vt:variant>
      <vt:variant>
        <vt:lpwstr>https://eur-lex.europa.eu/legal-content/EN/TXT/?uri=CELEX%3A52023DC0668&amp;qid=1702455230867</vt:lpwstr>
      </vt:variant>
      <vt:variant>
        <vt:lpwstr/>
      </vt:variant>
      <vt:variant>
        <vt:i4>589838</vt:i4>
      </vt:variant>
      <vt:variant>
        <vt:i4>165</vt:i4>
      </vt:variant>
      <vt:variant>
        <vt:i4>0</vt:i4>
      </vt:variant>
      <vt:variant>
        <vt:i4>5</vt:i4>
      </vt:variant>
      <vt:variant>
        <vt:lpwstr>https://eur-lex.europa.eu/legal-content/EN/TXT/?uri=CELEX%3A52023DC0669&amp;qid=1702455143415</vt:lpwstr>
      </vt:variant>
      <vt:variant>
        <vt:lpwstr/>
      </vt:variant>
      <vt:variant>
        <vt:i4>7405667</vt:i4>
      </vt:variant>
      <vt:variant>
        <vt:i4>162</vt:i4>
      </vt:variant>
      <vt:variant>
        <vt:i4>0</vt:i4>
      </vt:variant>
      <vt:variant>
        <vt:i4>5</vt:i4>
      </vt:variant>
      <vt:variant>
        <vt:lpwstr>https://eur-lex.europa.eu/eli/dir/2023/2413/oj/eng</vt:lpwstr>
      </vt:variant>
      <vt:variant>
        <vt:lpwstr/>
      </vt:variant>
      <vt:variant>
        <vt:i4>3538967</vt:i4>
      </vt:variant>
      <vt:variant>
        <vt:i4>159</vt:i4>
      </vt:variant>
      <vt:variant>
        <vt:i4>0</vt:i4>
      </vt:variant>
      <vt:variant>
        <vt:i4>5</vt:i4>
      </vt:variant>
      <vt:variant>
        <vt:lpwstr>https://single-market-economy.ec.europa.eu/industry/sustainability/net-zero-industry-act_en</vt:lpwstr>
      </vt:variant>
      <vt:variant>
        <vt:lpwstr/>
      </vt:variant>
      <vt:variant>
        <vt:i4>6946884</vt:i4>
      </vt:variant>
      <vt:variant>
        <vt:i4>156</vt:i4>
      </vt:variant>
      <vt:variant>
        <vt:i4>0</vt:i4>
      </vt:variant>
      <vt:variant>
        <vt:i4>5</vt:i4>
      </vt:variant>
      <vt:variant>
        <vt:lpwstr>https://commission.europa.eu/strategy-and-policy/priorities-2019-2024/european-green-deal/green-deal-industrial-plan_en</vt:lpwstr>
      </vt:variant>
      <vt:variant>
        <vt:lpwstr/>
      </vt:variant>
      <vt:variant>
        <vt:i4>5898322</vt:i4>
      </vt:variant>
      <vt:variant>
        <vt:i4>153</vt:i4>
      </vt:variant>
      <vt:variant>
        <vt:i4>0</vt:i4>
      </vt:variant>
      <vt:variant>
        <vt:i4>5</vt:i4>
      </vt:variant>
      <vt:variant>
        <vt:lpwstr>https://www.consilium.europa.eu/en/policies/paris-agreement-climate/</vt:lpwstr>
      </vt:variant>
      <vt:variant>
        <vt:lpwstr/>
      </vt:variant>
      <vt:variant>
        <vt:i4>3014751</vt:i4>
      </vt:variant>
      <vt:variant>
        <vt:i4>150</vt:i4>
      </vt:variant>
      <vt:variant>
        <vt:i4>0</vt:i4>
      </vt:variant>
      <vt:variant>
        <vt:i4>5</vt:i4>
      </vt:variant>
      <vt:variant>
        <vt:lpwstr>https://commission.europa.eu/strategy-and-policy/priorities-2019-2024/story-von-der-leyen-commission/european-green-deal_en</vt:lpwstr>
      </vt:variant>
      <vt:variant>
        <vt:lpwstr/>
      </vt:variant>
      <vt:variant>
        <vt:i4>8192087</vt:i4>
      </vt:variant>
      <vt:variant>
        <vt:i4>147</vt:i4>
      </vt:variant>
      <vt:variant>
        <vt:i4>0</vt:i4>
      </vt:variant>
      <vt:variant>
        <vt:i4>5</vt:i4>
      </vt:variant>
      <vt:variant>
        <vt:lpwstr>https://climate.ec.europa.eu/eu-action/eu-emissions-trading-system-eu-ets_en</vt:lpwstr>
      </vt:variant>
      <vt:variant>
        <vt:lpwstr/>
      </vt:variant>
      <vt:variant>
        <vt:i4>2883596</vt:i4>
      </vt:variant>
      <vt:variant>
        <vt:i4>144</vt:i4>
      </vt:variant>
      <vt:variant>
        <vt:i4>0</vt:i4>
      </vt:variant>
      <vt:variant>
        <vt:i4>5</vt:i4>
      </vt:variant>
      <vt:variant>
        <vt:lpwstr>https://climate.ec.europa.eu/eu-action/eu-funding-climate-action/innovation-fund_en</vt:lpwstr>
      </vt:variant>
      <vt:variant>
        <vt:lpwstr/>
      </vt:variant>
      <vt:variant>
        <vt:i4>1769567</vt:i4>
      </vt:variant>
      <vt:variant>
        <vt:i4>141</vt:i4>
      </vt:variant>
      <vt:variant>
        <vt:i4>0</vt:i4>
      </vt:variant>
      <vt:variant>
        <vt:i4>5</vt:i4>
      </vt:variant>
      <vt:variant>
        <vt:lpwstr>https://eur-lex.europa.eu/eli/dir/2023/959/oj/eng</vt:lpwstr>
      </vt:variant>
      <vt:variant>
        <vt:lpwstr/>
      </vt:variant>
      <vt:variant>
        <vt:i4>2031664</vt:i4>
      </vt:variant>
      <vt:variant>
        <vt:i4>134</vt:i4>
      </vt:variant>
      <vt:variant>
        <vt:i4>0</vt:i4>
      </vt:variant>
      <vt:variant>
        <vt:i4>5</vt:i4>
      </vt:variant>
      <vt:variant>
        <vt:lpwstr/>
      </vt:variant>
      <vt:variant>
        <vt:lpwstr>_Toc206575386</vt:lpwstr>
      </vt:variant>
      <vt:variant>
        <vt:i4>2031664</vt:i4>
      </vt:variant>
      <vt:variant>
        <vt:i4>128</vt:i4>
      </vt:variant>
      <vt:variant>
        <vt:i4>0</vt:i4>
      </vt:variant>
      <vt:variant>
        <vt:i4>5</vt:i4>
      </vt:variant>
      <vt:variant>
        <vt:lpwstr/>
      </vt:variant>
      <vt:variant>
        <vt:lpwstr>_Toc206575385</vt:lpwstr>
      </vt:variant>
      <vt:variant>
        <vt:i4>2031664</vt:i4>
      </vt:variant>
      <vt:variant>
        <vt:i4>122</vt:i4>
      </vt:variant>
      <vt:variant>
        <vt:i4>0</vt:i4>
      </vt:variant>
      <vt:variant>
        <vt:i4>5</vt:i4>
      </vt:variant>
      <vt:variant>
        <vt:lpwstr/>
      </vt:variant>
      <vt:variant>
        <vt:lpwstr>_Toc206575384</vt:lpwstr>
      </vt:variant>
      <vt:variant>
        <vt:i4>2031664</vt:i4>
      </vt:variant>
      <vt:variant>
        <vt:i4>116</vt:i4>
      </vt:variant>
      <vt:variant>
        <vt:i4>0</vt:i4>
      </vt:variant>
      <vt:variant>
        <vt:i4>5</vt:i4>
      </vt:variant>
      <vt:variant>
        <vt:lpwstr/>
      </vt:variant>
      <vt:variant>
        <vt:lpwstr>_Toc206575383</vt:lpwstr>
      </vt:variant>
      <vt:variant>
        <vt:i4>2031664</vt:i4>
      </vt:variant>
      <vt:variant>
        <vt:i4>110</vt:i4>
      </vt:variant>
      <vt:variant>
        <vt:i4>0</vt:i4>
      </vt:variant>
      <vt:variant>
        <vt:i4>5</vt:i4>
      </vt:variant>
      <vt:variant>
        <vt:lpwstr/>
      </vt:variant>
      <vt:variant>
        <vt:lpwstr>_Toc206575382</vt:lpwstr>
      </vt:variant>
      <vt:variant>
        <vt:i4>2031664</vt:i4>
      </vt:variant>
      <vt:variant>
        <vt:i4>104</vt:i4>
      </vt:variant>
      <vt:variant>
        <vt:i4>0</vt:i4>
      </vt:variant>
      <vt:variant>
        <vt:i4>5</vt:i4>
      </vt:variant>
      <vt:variant>
        <vt:lpwstr/>
      </vt:variant>
      <vt:variant>
        <vt:lpwstr>_Toc206575381</vt:lpwstr>
      </vt:variant>
      <vt:variant>
        <vt:i4>2031664</vt:i4>
      </vt:variant>
      <vt:variant>
        <vt:i4>98</vt:i4>
      </vt:variant>
      <vt:variant>
        <vt:i4>0</vt:i4>
      </vt:variant>
      <vt:variant>
        <vt:i4>5</vt:i4>
      </vt:variant>
      <vt:variant>
        <vt:lpwstr/>
      </vt:variant>
      <vt:variant>
        <vt:lpwstr>_Toc206575380</vt:lpwstr>
      </vt:variant>
      <vt:variant>
        <vt:i4>1048624</vt:i4>
      </vt:variant>
      <vt:variant>
        <vt:i4>92</vt:i4>
      </vt:variant>
      <vt:variant>
        <vt:i4>0</vt:i4>
      </vt:variant>
      <vt:variant>
        <vt:i4>5</vt:i4>
      </vt:variant>
      <vt:variant>
        <vt:lpwstr/>
      </vt:variant>
      <vt:variant>
        <vt:lpwstr>_Toc206575379</vt:lpwstr>
      </vt:variant>
      <vt:variant>
        <vt:i4>1048624</vt:i4>
      </vt:variant>
      <vt:variant>
        <vt:i4>86</vt:i4>
      </vt:variant>
      <vt:variant>
        <vt:i4>0</vt:i4>
      </vt:variant>
      <vt:variant>
        <vt:i4>5</vt:i4>
      </vt:variant>
      <vt:variant>
        <vt:lpwstr/>
      </vt:variant>
      <vt:variant>
        <vt:lpwstr>_Toc206575378</vt:lpwstr>
      </vt:variant>
      <vt:variant>
        <vt:i4>1048624</vt:i4>
      </vt:variant>
      <vt:variant>
        <vt:i4>80</vt:i4>
      </vt:variant>
      <vt:variant>
        <vt:i4>0</vt:i4>
      </vt:variant>
      <vt:variant>
        <vt:i4>5</vt:i4>
      </vt:variant>
      <vt:variant>
        <vt:lpwstr/>
      </vt:variant>
      <vt:variant>
        <vt:lpwstr>_Toc206575377</vt:lpwstr>
      </vt:variant>
      <vt:variant>
        <vt:i4>1048624</vt:i4>
      </vt:variant>
      <vt:variant>
        <vt:i4>74</vt:i4>
      </vt:variant>
      <vt:variant>
        <vt:i4>0</vt:i4>
      </vt:variant>
      <vt:variant>
        <vt:i4>5</vt:i4>
      </vt:variant>
      <vt:variant>
        <vt:lpwstr/>
      </vt:variant>
      <vt:variant>
        <vt:lpwstr>_Toc206575376</vt:lpwstr>
      </vt:variant>
      <vt:variant>
        <vt:i4>1048624</vt:i4>
      </vt:variant>
      <vt:variant>
        <vt:i4>68</vt:i4>
      </vt:variant>
      <vt:variant>
        <vt:i4>0</vt:i4>
      </vt:variant>
      <vt:variant>
        <vt:i4>5</vt:i4>
      </vt:variant>
      <vt:variant>
        <vt:lpwstr/>
      </vt:variant>
      <vt:variant>
        <vt:lpwstr>_Toc206575375</vt:lpwstr>
      </vt:variant>
      <vt:variant>
        <vt:i4>1048624</vt:i4>
      </vt:variant>
      <vt:variant>
        <vt:i4>62</vt:i4>
      </vt:variant>
      <vt:variant>
        <vt:i4>0</vt:i4>
      </vt:variant>
      <vt:variant>
        <vt:i4>5</vt:i4>
      </vt:variant>
      <vt:variant>
        <vt:lpwstr/>
      </vt:variant>
      <vt:variant>
        <vt:lpwstr>_Toc206575374</vt:lpwstr>
      </vt:variant>
      <vt:variant>
        <vt:i4>1048624</vt:i4>
      </vt:variant>
      <vt:variant>
        <vt:i4>56</vt:i4>
      </vt:variant>
      <vt:variant>
        <vt:i4>0</vt:i4>
      </vt:variant>
      <vt:variant>
        <vt:i4>5</vt:i4>
      </vt:variant>
      <vt:variant>
        <vt:lpwstr/>
      </vt:variant>
      <vt:variant>
        <vt:lpwstr>_Toc206575373</vt:lpwstr>
      </vt:variant>
      <vt:variant>
        <vt:i4>1048624</vt:i4>
      </vt:variant>
      <vt:variant>
        <vt:i4>50</vt:i4>
      </vt:variant>
      <vt:variant>
        <vt:i4>0</vt:i4>
      </vt:variant>
      <vt:variant>
        <vt:i4>5</vt:i4>
      </vt:variant>
      <vt:variant>
        <vt:lpwstr/>
      </vt:variant>
      <vt:variant>
        <vt:lpwstr>_Toc206575372</vt:lpwstr>
      </vt:variant>
      <vt:variant>
        <vt:i4>1048624</vt:i4>
      </vt:variant>
      <vt:variant>
        <vt:i4>44</vt:i4>
      </vt:variant>
      <vt:variant>
        <vt:i4>0</vt:i4>
      </vt:variant>
      <vt:variant>
        <vt:i4>5</vt:i4>
      </vt:variant>
      <vt:variant>
        <vt:lpwstr/>
      </vt:variant>
      <vt:variant>
        <vt:lpwstr>_Toc206575371</vt:lpwstr>
      </vt:variant>
      <vt:variant>
        <vt:i4>1048624</vt:i4>
      </vt:variant>
      <vt:variant>
        <vt:i4>38</vt:i4>
      </vt:variant>
      <vt:variant>
        <vt:i4>0</vt:i4>
      </vt:variant>
      <vt:variant>
        <vt:i4>5</vt:i4>
      </vt:variant>
      <vt:variant>
        <vt:lpwstr/>
      </vt:variant>
      <vt:variant>
        <vt:lpwstr>_Toc206575370</vt:lpwstr>
      </vt:variant>
      <vt:variant>
        <vt:i4>1114160</vt:i4>
      </vt:variant>
      <vt:variant>
        <vt:i4>32</vt:i4>
      </vt:variant>
      <vt:variant>
        <vt:i4>0</vt:i4>
      </vt:variant>
      <vt:variant>
        <vt:i4>5</vt:i4>
      </vt:variant>
      <vt:variant>
        <vt:lpwstr/>
      </vt:variant>
      <vt:variant>
        <vt:lpwstr>_Toc206575369</vt:lpwstr>
      </vt:variant>
      <vt:variant>
        <vt:i4>1114160</vt:i4>
      </vt:variant>
      <vt:variant>
        <vt:i4>26</vt:i4>
      </vt:variant>
      <vt:variant>
        <vt:i4>0</vt:i4>
      </vt:variant>
      <vt:variant>
        <vt:i4>5</vt:i4>
      </vt:variant>
      <vt:variant>
        <vt:lpwstr/>
      </vt:variant>
      <vt:variant>
        <vt:lpwstr>_Toc206575368</vt:lpwstr>
      </vt:variant>
      <vt:variant>
        <vt:i4>1114160</vt:i4>
      </vt:variant>
      <vt:variant>
        <vt:i4>20</vt:i4>
      </vt:variant>
      <vt:variant>
        <vt:i4>0</vt:i4>
      </vt:variant>
      <vt:variant>
        <vt:i4>5</vt:i4>
      </vt:variant>
      <vt:variant>
        <vt:lpwstr/>
      </vt:variant>
      <vt:variant>
        <vt:lpwstr>_Toc206575367</vt:lpwstr>
      </vt:variant>
      <vt:variant>
        <vt:i4>1114160</vt:i4>
      </vt:variant>
      <vt:variant>
        <vt:i4>14</vt:i4>
      </vt:variant>
      <vt:variant>
        <vt:i4>0</vt:i4>
      </vt:variant>
      <vt:variant>
        <vt:i4>5</vt:i4>
      </vt:variant>
      <vt:variant>
        <vt:lpwstr/>
      </vt:variant>
      <vt:variant>
        <vt:lpwstr>_Toc206575366</vt:lpwstr>
      </vt:variant>
      <vt:variant>
        <vt:i4>1114160</vt:i4>
      </vt:variant>
      <vt:variant>
        <vt:i4>8</vt:i4>
      </vt:variant>
      <vt:variant>
        <vt:i4>0</vt:i4>
      </vt:variant>
      <vt:variant>
        <vt:i4>5</vt:i4>
      </vt:variant>
      <vt:variant>
        <vt:lpwstr/>
      </vt:variant>
      <vt:variant>
        <vt:lpwstr>_Toc206575365</vt:lpwstr>
      </vt:variant>
      <vt:variant>
        <vt:i4>1114160</vt:i4>
      </vt:variant>
      <vt:variant>
        <vt:i4>2</vt:i4>
      </vt:variant>
      <vt:variant>
        <vt:i4>0</vt:i4>
      </vt:variant>
      <vt:variant>
        <vt:i4>5</vt:i4>
      </vt:variant>
      <vt:variant>
        <vt:lpwstr/>
      </vt:variant>
      <vt:variant>
        <vt:lpwstr>_Toc206575364</vt:lpwstr>
      </vt:variant>
      <vt:variant>
        <vt:i4>458821</vt:i4>
      </vt:variant>
      <vt:variant>
        <vt:i4>3</vt:i4>
      </vt:variant>
      <vt:variant>
        <vt:i4>0</vt:i4>
      </vt:variant>
      <vt:variant>
        <vt:i4>5</vt:i4>
      </vt:variant>
      <vt:variant>
        <vt:lpwstr>https://eur-lex.europa.eu/legal-content/EN/TXT/?uri=CELEX:32020D2166</vt:lpwstr>
      </vt:variant>
      <vt:variant>
        <vt:lpwstr/>
      </vt:variant>
      <vt:variant>
        <vt:i4>393244</vt:i4>
      </vt:variant>
      <vt:variant>
        <vt:i4>0</vt:i4>
      </vt:variant>
      <vt:variant>
        <vt:i4>0</vt:i4>
      </vt:variant>
      <vt:variant>
        <vt:i4>5</vt:i4>
      </vt:variant>
      <vt:variant>
        <vt:lpwstr>https://eur-lex.europa.eu/legal-content/EN/TXT/?uri=CELEX:52022XC0218(03)</vt:lpwstr>
      </vt:variant>
      <vt:variant>
        <vt:lpwstr/>
      </vt:variant>
      <vt:variant>
        <vt:i4>6094974</vt:i4>
      </vt:variant>
      <vt:variant>
        <vt:i4>3</vt:i4>
      </vt:variant>
      <vt:variant>
        <vt:i4>0</vt:i4>
      </vt:variant>
      <vt:variant>
        <vt:i4>5</vt:i4>
      </vt:variant>
      <vt:variant>
        <vt:lpwstr>mailto:Maria.VELKOVA@ec.europa.eu</vt:lpwstr>
      </vt:variant>
      <vt:variant>
        <vt:lpwstr/>
      </vt:variant>
      <vt:variant>
        <vt:i4>5177458</vt:i4>
      </vt:variant>
      <vt:variant>
        <vt:i4>0</vt:i4>
      </vt:variant>
      <vt:variant>
        <vt:i4>0</vt:i4>
      </vt:variant>
      <vt:variant>
        <vt:i4>5</vt:i4>
      </vt:variant>
      <vt:variant>
        <vt:lpwstr>mailto:Marion.PERELLE@ec.europa.eu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2025-10-30T09:51:00Z</dcterms:created>
  <dcterms:modified xsi:type="dcterms:W3CDTF">2025-12-10T08:00:00Z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9.2, Build 20250828</vt:lpwstr>
  </property>
  <property fmtid="{D5CDD505-2E9C-101B-9397-08002B2CF9AE}" pid="4" name="MSIP_Label_6bd9ddd1-4d20-43f6-abfa-fc3c07406f94_Enabled">
    <vt:lpwstr>true</vt:lpwstr>
  </property>
  <property fmtid="{D5CDD505-2E9C-101B-9397-08002B2CF9AE}" pid="5" name="MSIP_Label_6bd9ddd1-4d20-43f6-abfa-fc3c07406f94_SetDate">
    <vt:lpwstr>2025-10-18T15:28:23Z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c8602171-bf9e-4aa8-9e5e-f9132106d9b7</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y fmtid="{D5CDD505-2E9C-101B-9397-08002B2CF9AE}" pid="12" name="MediaServiceImageTags">
    <vt:lpwstr/>
  </property>
  <property fmtid="{D5CDD505-2E9C-101B-9397-08002B2CF9AE}" pid="13" name="ContentTypeId">
    <vt:lpwstr>0x010100785F69E1628A2E45B60213B67CDFD033</vt:lpwstr>
  </property>
  <property fmtid="{D5CDD505-2E9C-101B-9397-08002B2CF9AE}" pid="14" name="Level of sensitivity">
    <vt:lpwstr>Standard treatment</vt:lpwstr>
  </property>
  <property fmtid="{D5CDD505-2E9C-101B-9397-08002B2CF9AE}" pid="15" name="_LW_INVALIDATED_EurolookVersion">
    <vt:lpwstr>10.0</vt:lpwstr>
  </property>
  <property fmtid="{D5CDD505-2E9C-101B-9397-08002B2CF9AE}" pid="16" name="Part">
    <vt:lpwstr>1</vt:lpwstr>
  </property>
  <property fmtid="{D5CDD505-2E9C-101B-9397-08002B2CF9AE}" pid="17" name="Total parts">
    <vt:lpwstr>1</vt:lpwstr>
  </property>
  <property fmtid="{D5CDD505-2E9C-101B-9397-08002B2CF9AE}" pid="18" name="CPTemplateID">
    <vt:lpwstr>CP-006</vt:lpwstr>
  </property>
</Properties>
</file>