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26C62" w14:textId="3512A49C" w:rsidR="00F60AD1" w:rsidRPr="00F6560C" w:rsidRDefault="00FF12D6" w:rsidP="00FF12D6">
      <w:pPr>
        <w:pStyle w:val="Pagedecouverture"/>
        <w:rPr>
          <w:noProof/>
        </w:rPr>
      </w:pPr>
      <w:bookmarkStart w:id="0" w:name="LW_BM_COVERPAGE"/>
      <w:r>
        <w:rPr>
          <w:noProof/>
        </w:rPr>
        <w:pict w14:anchorId="531C9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985A41F0-425A-46ED-B217-EC064A348EF6" style="width:455.25pt;height:324pt">
            <v:imagedata r:id="rId14" o:title=""/>
          </v:shape>
        </w:pict>
      </w:r>
    </w:p>
    <w:bookmarkEnd w:id="0"/>
    <w:p w14:paraId="2C7A2F07" w14:textId="77777777" w:rsidR="00E10DEC" w:rsidRDefault="00E10DEC" w:rsidP="00E10DEC">
      <w:pPr>
        <w:rPr>
          <w:noProof/>
        </w:rPr>
        <w:sectPr w:rsidR="00E10DEC" w:rsidSect="00FF12D6">
          <w:headerReference w:type="even" r:id="rId15"/>
          <w:headerReference w:type="default" r:id="rId16"/>
          <w:footerReference w:type="even" r:id="rId17"/>
          <w:footerReference w:type="default" r:id="rId18"/>
          <w:headerReference w:type="first" r:id="rId19"/>
          <w:footerReference w:type="first" r:id="rId20"/>
          <w:pgSz w:w="11906" w:h="16838"/>
          <w:pgMar w:top="1134" w:right="1417" w:bottom="1134" w:left="1417" w:header="709" w:footer="709" w:gutter="0"/>
          <w:pgNumType w:start="0"/>
          <w:cols w:space="720"/>
          <w:docGrid w:linePitch="360"/>
        </w:sectPr>
      </w:pPr>
    </w:p>
    <w:p w14:paraId="4181DCA7" w14:textId="3C339CD9" w:rsidR="001C0687" w:rsidRPr="00D51260" w:rsidRDefault="004C55C6" w:rsidP="00EB7285">
      <w:pPr>
        <w:pStyle w:val="Heading1"/>
        <w:jc w:val="both"/>
        <w:rPr>
          <w:rFonts w:ascii="Times New Roman" w:hAnsi="Times New Roman"/>
          <w:b/>
          <w:smallCaps/>
          <w:noProof/>
          <w:color w:val="auto"/>
          <w:sz w:val="28"/>
        </w:rPr>
      </w:pPr>
      <w:bookmarkStart w:id="1" w:name="_Hlk148535905"/>
      <w:bookmarkStart w:id="2" w:name="_Hlk198059137"/>
      <w:bookmarkStart w:id="3" w:name="_GoBack"/>
      <w:bookmarkEnd w:id="3"/>
      <w:r>
        <w:rPr>
          <w:rFonts w:ascii="Times New Roman" w:hAnsi="Times New Roman"/>
          <w:b/>
          <w:smallCaps/>
          <w:noProof/>
          <w:color w:val="auto"/>
          <w:sz w:val="28"/>
        </w:rPr>
        <w:lastRenderedPageBreak/>
        <w:t>Въведение</w:t>
      </w:r>
    </w:p>
    <w:p w14:paraId="472D40E9" w14:textId="78BA9245" w:rsidR="00007ACF" w:rsidRDefault="00EA205B" w:rsidP="00821DE8">
      <w:pPr>
        <w:spacing w:line="276" w:lineRule="auto"/>
        <w:jc w:val="both"/>
        <w:rPr>
          <w:rFonts w:ascii="Times New Roman" w:hAnsi="Times New Roman"/>
          <w:noProof/>
          <w:sz w:val="24"/>
        </w:rPr>
      </w:pPr>
      <w:r>
        <w:rPr>
          <w:rFonts w:ascii="Times New Roman" w:hAnsi="Times New Roman"/>
          <w:noProof/>
          <w:sz w:val="24"/>
        </w:rPr>
        <w:t xml:space="preserve">Всеки в Европейския съюз следва </w:t>
      </w:r>
      <w:r>
        <w:rPr>
          <w:rFonts w:ascii="Times New Roman" w:hAnsi="Times New Roman"/>
          <w:b/>
          <w:noProof/>
          <w:sz w:val="24"/>
        </w:rPr>
        <w:t>да се чувства в безопасност и свободен да бъде истинското си „аз“</w:t>
      </w:r>
      <w:r>
        <w:rPr>
          <w:rFonts w:ascii="Times New Roman" w:hAnsi="Times New Roman"/>
          <w:noProof/>
          <w:sz w:val="24"/>
        </w:rPr>
        <w:t>. Равенството и недискриминацията са основополагащи ценности и основни права, залегнали в Договорите за ЕС и в Хартата на основните права на Европейския съюз. Тези принципи ръководят и действията на ЕС на международната сцена</w:t>
      </w:r>
      <w:r>
        <w:rPr>
          <w:rFonts w:ascii="Times New Roman" w:hAnsi="Times New Roman"/>
          <w:noProof/>
          <w:sz w:val="24"/>
          <w:vertAlign w:val="superscript"/>
        </w:rPr>
        <w:t>(</w:t>
      </w:r>
      <w:r>
        <w:rPr>
          <w:rStyle w:val="FootnoteReference"/>
          <w:rFonts w:ascii="Times New Roman" w:hAnsi="Times New Roman"/>
          <w:noProof/>
          <w:sz w:val="24"/>
        </w:rPr>
        <w:footnoteReference w:id="2"/>
      </w:r>
      <w:r>
        <w:rPr>
          <w:rFonts w:ascii="Times New Roman" w:hAnsi="Times New Roman"/>
          <w:noProof/>
          <w:sz w:val="24"/>
          <w:vertAlign w:val="superscript"/>
        </w:rPr>
        <w:t>)</w:t>
      </w:r>
      <w:r>
        <w:rPr>
          <w:rFonts w:ascii="Times New Roman" w:hAnsi="Times New Roman"/>
          <w:noProof/>
          <w:sz w:val="24"/>
        </w:rPr>
        <w:t>. Равните възможности са и крайъгълен камък на европейския стълб на социалните права</w:t>
      </w:r>
      <w:r>
        <w:rPr>
          <w:rFonts w:ascii="Times New Roman" w:hAnsi="Times New Roman"/>
          <w:noProof/>
          <w:sz w:val="24"/>
          <w:vertAlign w:val="superscript"/>
        </w:rPr>
        <w:t>(</w:t>
      </w:r>
      <w:r>
        <w:rPr>
          <w:rStyle w:val="FootnoteReference"/>
          <w:rFonts w:ascii="Times New Roman" w:hAnsi="Times New Roman"/>
          <w:noProof/>
          <w:sz w:val="24"/>
        </w:rPr>
        <w:footnoteReference w:id="3"/>
      </w:r>
      <w:r>
        <w:rPr>
          <w:rFonts w:ascii="Times New Roman" w:hAnsi="Times New Roman"/>
          <w:noProof/>
          <w:sz w:val="24"/>
          <w:vertAlign w:val="superscript"/>
        </w:rPr>
        <w:t>)</w:t>
      </w:r>
      <w:r>
        <w:rPr>
          <w:rFonts w:ascii="Times New Roman" w:hAnsi="Times New Roman"/>
          <w:noProof/>
          <w:sz w:val="24"/>
        </w:rPr>
        <w:t xml:space="preserve">. </w:t>
      </w:r>
    </w:p>
    <w:p w14:paraId="7DFC09B2" w14:textId="4C9AA48C" w:rsidR="00241036" w:rsidRDefault="00007ACF" w:rsidP="00821DE8">
      <w:pPr>
        <w:spacing w:line="276" w:lineRule="auto"/>
        <w:jc w:val="both"/>
        <w:rPr>
          <w:rFonts w:ascii="Times New Roman" w:hAnsi="Times New Roman"/>
          <w:noProof/>
          <w:sz w:val="24"/>
        </w:rPr>
      </w:pPr>
      <w:r>
        <w:rPr>
          <w:rFonts w:ascii="Times New Roman" w:hAnsi="Times New Roman"/>
          <w:noProof/>
          <w:sz w:val="24"/>
        </w:rPr>
        <w:t xml:space="preserve">Както подчерта председателят Фон дер Лайен в речта си за </w:t>
      </w:r>
      <w:hyperlink r:id="rId21" w:history="1">
        <w:r>
          <w:rPr>
            <w:rStyle w:val="Hyperlink"/>
            <w:rFonts w:ascii="Times New Roman" w:hAnsi="Times New Roman"/>
            <w:b/>
            <w:noProof/>
            <w:sz w:val="24"/>
          </w:rPr>
          <w:t>състоянието на Съюза през 2025 г.</w:t>
        </w:r>
      </w:hyperlink>
      <w:r>
        <w:rPr>
          <w:rFonts w:ascii="Times New Roman" w:hAnsi="Times New Roman"/>
          <w:noProof/>
          <w:sz w:val="24"/>
        </w:rPr>
        <w:t xml:space="preserve">: „Независимостта на Европа е свързана със </w:t>
      </w:r>
      <w:r>
        <w:rPr>
          <w:rFonts w:ascii="Times New Roman" w:hAnsi="Times New Roman"/>
          <w:b/>
          <w:noProof/>
          <w:sz w:val="24"/>
        </w:rPr>
        <w:t>защитата на нашите свободи</w:t>
      </w:r>
      <w:r>
        <w:rPr>
          <w:rFonts w:ascii="Times New Roman" w:hAnsi="Times New Roman"/>
          <w:noProof/>
          <w:sz w:val="24"/>
        </w:rPr>
        <w:t xml:space="preserve">. Свободата да решаваш. Да говориш открито. Да се движиш по целия континент. Свободата да гласуваш. </w:t>
      </w:r>
      <w:r>
        <w:rPr>
          <w:rFonts w:ascii="Times New Roman" w:hAnsi="Times New Roman"/>
          <w:b/>
          <w:noProof/>
          <w:sz w:val="24"/>
        </w:rPr>
        <w:t>Да обичаш.</w:t>
      </w:r>
      <w:r>
        <w:rPr>
          <w:rFonts w:ascii="Times New Roman" w:hAnsi="Times New Roman"/>
          <w:noProof/>
          <w:sz w:val="24"/>
        </w:rPr>
        <w:t xml:space="preserve"> Да се молиш. </w:t>
      </w:r>
      <w:r>
        <w:rPr>
          <w:rFonts w:ascii="Times New Roman" w:hAnsi="Times New Roman"/>
          <w:b/>
          <w:noProof/>
          <w:sz w:val="24"/>
        </w:rPr>
        <w:t>Да живееш в Съюз на равенство</w:t>
      </w:r>
      <w:r>
        <w:rPr>
          <w:rFonts w:ascii="Times New Roman" w:hAnsi="Times New Roman"/>
          <w:noProof/>
          <w:sz w:val="24"/>
        </w:rPr>
        <w:t>“. Тези свободи могат да бъдат реалност само ако всички хора — днешните и бъдещите поколения — са свободни от дискриминация.</w:t>
      </w:r>
    </w:p>
    <w:p w14:paraId="6ECFD904" w14:textId="013A4BA0" w:rsidR="00EA205B" w:rsidRPr="00D51260" w:rsidRDefault="00241036" w:rsidP="00821DE8">
      <w:pPr>
        <w:spacing w:line="276" w:lineRule="auto"/>
        <w:jc w:val="both"/>
        <w:rPr>
          <w:rFonts w:ascii="Times New Roman" w:hAnsi="Times New Roman"/>
          <w:noProof/>
          <w:sz w:val="24"/>
        </w:rPr>
      </w:pPr>
      <w:r>
        <w:rPr>
          <w:rFonts w:ascii="Times New Roman" w:hAnsi="Times New Roman"/>
          <w:noProof/>
          <w:sz w:val="24"/>
        </w:rPr>
        <w:t>Равенството и недискриминацията са жизненоважни за демократичната устойчивост, икономическата сила, социалната справедливост и сближаването на ЕС. Комисията остава напълно ангажирана със защитата на равенството и недискриминацията винаги когато те са застрашени</w:t>
      </w:r>
      <w:r>
        <w:rPr>
          <w:rFonts w:ascii="Times New Roman" w:hAnsi="Times New Roman"/>
          <w:noProof/>
          <w:sz w:val="24"/>
          <w:vertAlign w:val="superscript"/>
        </w:rPr>
        <w:t>(</w:t>
      </w:r>
      <w:r>
        <w:rPr>
          <w:rStyle w:val="FootnoteReference"/>
          <w:rFonts w:ascii="Times New Roman" w:hAnsi="Times New Roman"/>
          <w:noProof/>
          <w:sz w:val="24"/>
        </w:rPr>
        <w:footnoteReference w:id="4"/>
      </w:r>
      <w:r>
        <w:rPr>
          <w:rFonts w:ascii="Times New Roman" w:hAnsi="Times New Roman"/>
          <w:noProof/>
          <w:sz w:val="24"/>
          <w:vertAlign w:val="superscript"/>
        </w:rPr>
        <w:t>)</w:t>
      </w:r>
      <w:r>
        <w:rPr>
          <w:rFonts w:ascii="Times New Roman" w:hAnsi="Times New Roman"/>
          <w:noProof/>
          <w:sz w:val="24"/>
        </w:rPr>
        <w:t xml:space="preserve">. Комисията, Европейският парламент, Съветът и държавите членки споделят </w:t>
      </w:r>
      <w:r>
        <w:rPr>
          <w:rFonts w:ascii="Times New Roman" w:hAnsi="Times New Roman"/>
          <w:b/>
          <w:noProof/>
          <w:sz w:val="24"/>
        </w:rPr>
        <w:t>колективна отговорност</w:t>
      </w:r>
      <w:r>
        <w:rPr>
          <w:rFonts w:ascii="Times New Roman" w:hAnsi="Times New Roman"/>
          <w:noProof/>
          <w:sz w:val="24"/>
        </w:rPr>
        <w:t xml:space="preserve"> за спазването на тези права, като гарантират равенство за всички</w:t>
      </w:r>
      <w:r>
        <w:rPr>
          <w:rFonts w:ascii="Times New Roman" w:hAnsi="Times New Roman"/>
          <w:noProof/>
          <w:sz w:val="24"/>
          <w:vertAlign w:val="superscript"/>
        </w:rPr>
        <w:t>(</w:t>
      </w:r>
      <w:r>
        <w:rPr>
          <w:rStyle w:val="FootnoteReference"/>
          <w:rFonts w:ascii="Times New Roman" w:hAnsi="Times New Roman"/>
          <w:noProof/>
          <w:sz w:val="24"/>
        </w:rPr>
        <w:footnoteReference w:id="5"/>
      </w:r>
      <w:r>
        <w:rPr>
          <w:rFonts w:ascii="Times New Roman" w:hAnsi="Times New Roman"/>
          <w:noProof/>
          <w:sz w:val="24"/>
          <w:vertAlign w:val="superscript"/>
        </w:rPr>
        <w:t>)</w:t>
      </w:r>
      <w:r>
        <w:rPr>
          <w:rFonts w:ascii="Times New Roman" w:hAnsi="Times New Roman"/>
          <w:noProof/>
          <w:sz w:val="24"/>
        </w:rPr>
        <w:t>.</w:t>
      </w:r>
    </w:p>
    <w:p w14:paraId="53CAEB62" w14:textId="516ACDEE" w:rsidR="006236C7" w:rsidRDefault="00D05D7F" w:rsidP="00D05D7F">
      <w:pPr>
        <w:spacing w:line="276" w:lineRule="auto"/>
        <w:jc w:val="both"/>
        <w:rPr>
          <w:rFonts w:ascii="Times New Roman" w:hAnsi="Times New Roman" w:cs="Times New Roman"/>
          <w:noProof/>
          <w:sz w:val="24"/>
          <w:szCs w:val="24"/>
        </w:rPr>
      </w:pPr>
      <w:r>
        <w:rPr>
          <w:rFonts w:ascii="Times New Roman" w:hAnsi="Times New Roman"/>
          <w:noProof/>
          <w:sz w:val="24"/>
        </w:rPr>
        <w:t xml:space="preserve">През 2020 г. Комисията прие първата по рода си </w:t>
      </w:r>
      <w:hyperlink r:id="rId22" w:history="1">
        <w:r>
          <w:rPr>
            <w:rStyle w:val="Hyperlink"/>
            <w:rFonts w:ascii="Times New Roman" w:hAnsi="Times New Roman"/>
            <w:b/>
            <w:noProof/>
            <w:sz w:val="24"/>
          </w:rPr>
          <w:t>Стратегия за равнопоставеност на ЛГБТИК за 2020—2025 г.</w:t>
        </w:r>
      </w:hyperlink>
      <w:r>
        <w:rPr>
          <w:rFonts w:ascii="Times New Roman" w:hAnsi="Times New Roman"/>
          <w:noProof/>
          <w:sz w:val="24"/>
        </w:rPr>
        <w:t>, с която засилват действията на ЕС срещу дискриминацията срещу ЛГБТИК+</w:t>
      </w:r>
      <w:r>
        <w:rPr>
          <w:rFonts w:ascii="Times New Roman" w:hAnsi="Times New Roman"/>
          <w:noProof/>
          <w:sz w:val="24"/>
          <w:vertAlign w:val="superscript"/>
        </w:rPr>
        <w:t>(</w:t>
      </w:r>
      <w:r>
        <w:rPr>
          <w:rFonts w:ascii="Times New Roman" w:eastAsia="Times New Roman" w:hAnsi="Times New Roman" w:cs="Times New Roman"/>
          <w:noProof/>
          <w:kern w:val="0"/>
          <w:sz w:val="24"/>
          <w:szCs w:val="24"/>
          <w:vertAlign w:val="superscript"/>
          <w:lang w:eastAsia="en-IE"/>
        </w:rPr>
        <w:footnoteReference w:id="6"/>
      </w:r>
      <w:r>
        <w:rPr>
          <w:rFonts w:ascii="Times New Roman" w:hAnsi="Times New Roman"/>
          <w:noProof/>
          <w:sz w:val="24"/>
          <w:vertAlign w:val="superscript"/>
        </w:rPr>
        <w:t>)</w:t>
      </w:r>
      <w:r>
        <w:rPr>
          <w:rFonts w:ascii="Times New Roman" w:hAnsi="Times New Roman"/>
          <w:noProof/>
          <w:sz w:val="24"/>
        </w:rPr>
        <w:t xml:space="preserve"> лицата. Стратегията представлява ключова стъпка в </w:t>
      </w:r>
      <w:r>
        <w:rPr>
          <w:rFonts w:ascii="Times New Roman" w:hAnsi="Times New Roman"/>
          <w:b/>
          <w:noProof/>
          <w:sz w:val="24"/>
        </w:rPr>
        <w:t>изграждането на Съюз на равенство</w:t>
      </w:r>
      <w:r>
        <w:rPr>
          <w:rFonts w:ascii="Times New Roman" w:hAnsi="Times New Roman"/>
          <w:noProof/>
          <w:sz w:val="24"/>
        </w:rPr>
        <w:t> — визията на Комисията за приобщаваща Европа, в която всеки може да живее свободно, независимо от своята идентичност. Тя доведе до изпълнението на множество действия, свързани с ЛГБТИК+, включително ключови законодателни предложения за утвърждаване на правата на ЛГБТИК+, както и до безпрецедентна подкрепа за организациите на гражданското общество на ЛГБТИК+ чрез програмата „Граждани, равенство, права и ценности“ (CERV).</w:t>
      </w:r>
    </w:p>
    <w:p w14:paraId="5D3C9188" w14:textId="56E3C668" w:rsidR="00643717" w:rsidRDefault="00D05D7F" w:rsidP="00D05D7F">
      <w:pPr>
        <w:spacing w:line="276" w:lineRule="auto"/>
        <w:jc w:val="both"/>
        <w:rPr>
          <w:rFonts w:ascii="Times New Roman" w:hAnsi="Times New Roman" w:cs="Times New Roman"/>
          <w:noProof/>
          <w:sz w:val="24"/>
          <w:szCs w:val="24"/>
        </w:rPr>
      </w:pPr>
      <w:r>
        <w:rPr>
          <w:rFonts w:ascii="Times New Roman" w:hAnsi="Times New Roman"/>
          <w:noProof/>
          <w:sz w:val="24"/>
        </w:rPr>
        <w:t xml:space="preserve">Стратегията за равнопоставеност на ЛГБТИК за 2020—2025 г. беше допълнена от приемането на </w:t>
      </w:r>
      <w:r>
        <w:rPr>
          <w:rFonts w:ascii="Times New Roman" w:hAnsi="Times New Roman"/>
          <w:b/>
          <w:noProof/>
          <w:sz w:val="24"/>
        </w:rPr>
        <w:t>13 национални стратегии за равнопоставеност на ЛГБТИК+</w:t>
      </w:r>
      <w:r>
        <w:rPr>
          <w:rFonts w:ascii="Times New Roman" w:hAnsi="Times New Roman"/>
          <w:noProof/>
          <w:sz w:val="24"/>
        </w:rPr>
        <w:t xml:space="preserve"> от държавите членки и доведе до въвеждането на значителни мерки, свързани с ЛГБТИК+, на равнище ЕС. Създаването на подгрупата относно равнопоставеността на ЛГБТИК осигури платформа за напредък в усилията за постигане на равенство на национално равнище.</w:t>
      </w:r>
    </w:p>
    <w:p w14:paraId="328C1B33" w14:textId="4702BB21" w:rsidR="00D05D7F" w:rsidRPr="00E83524" w:rsidRDefault="00D05D7F" w:rsidP="00D05D7F">
      <w:pPr>
        <w:spacing w:line="276" w:lineRule="auto"/>
        <w:jc w:val="both"/>
        <w:rPr>
          <w:rFonts w:ascii="Times New Roman" w:hAnsi="Times New Roman"/>
          <w:noProof/>
          <w:sz w:val="24"/>
        </w:rPr>
      </w:pPr>
      <w:r>
        <w:rPr>
          <w:rFonts w:ascii="Times New Roman" w:hAnsi="Times New Roman"/>
          <w:noProof/>
          <w:sz w:val="24"/>
        </w:rPr>
        <w:t xml:space="preserve">След приемането на стратегията </w:t>
      </w:r>
      <w:r>
        <w:rPr>
          <w:rFonts w:ascii="Times New Roman" w:hAnsi="Times New Roman"/>
          <w:b/>
          <w:noProof/>
          <w:sz w:val="24"/>
        </w:rPr>
        <w:t>социалното приемане на ЛГБТИК+ лицата се е увеличило</w:t>
      </w:r>
      <w:r>
        <w:rPr>
          <w:rFonts w:ascii="Times New Roman" w:hAnsi="Times New Roman"/>
          <w:noProof/>
          <w:sz w:val="24"/>
        </w:rPr>
        <w:t xml:space="preserve">. ЛГБТИК+ лицата вече са по-открити за себе си в своята социална среда. Според </w:t>
      </w:r>
      <w:hyperlink r:id="rId23" w:history="1">
        <w:r>
          <w:rPr>
            <w:rStyle w:val="Hyperlink"/>
            <w:rFonts w:ascii="Times New Roman" w:hAnsi="Times New Roman"/>
            <w:noProof/>
            <w:sz w:val="24"/>
          </w:rPr>
          <w:t>специалното проучване „Евробарометър“ за дискриминацията</w:t>
        </w:r>
      </w:hyperlink>
      <w:r>
        <w:rPr>
          <w:rFonts w:ascii="Times New Roman" w:hAnsi="Times New Roman"/>
          <w:noProof/>
          <w:sz w:val="24"/>
        </w:rPr>
        <w:t xml:space="preserve"> от 2023 г. хората в ЕС са по-склонни да се чувстват комфортно с колега лесбийка, гей или бисексуален (75 %, с 3 процентни пункта повече спрямо 2019 г.) и с това, че детето им е в еднополова връзка (59 %, с 4 процентни пункта повече).</w:t>
      </w:r>
    </w:p>
    <w:p w14:paraId="72A40D9B" w14:textId="600675F2" w:rsidR="00C028C6" w:rsidRPr="00641AB3" w:rsidRDefault="004A69CD" w:rsidP="00D05D7F">
      <w:pPr>
        <w:spacing w:line="276" w:lineRule="auto"/>
        <w:jc w:val="both"/>
        <w:rPr>
          <w:rFonts w:ascii="Times New Roman" w:hAnsi="Times New Roman" w:cs="Times New Roman"/>
          <w:noProof/>
          <w:spacing w:val="-4"/>
          <w:sz w:val="24"/>
          <w:szCs w:val="24"/>
        </w:rPr>
      </w:pPr>
      <w:r w:rsidRPr="00641AB3">
        <w:rPr>
          <w:rFonts w:ascii="Times New Roman" w:hAnsi="Times New Roman"/>
          <w:noProof/>
          <w:spacing w:val="-4"/>
          <w:sz w:val="24"/>
        </w:rPr>
        <w:t xml:space="preserve">Видимостта на ЛГБТИК+ лицата в политиката, гражданското общество, спорта, медиите и науката се противопоставя на предразсъдъците и спомага за насърчаване на социалното приемане. </w:t>
      </w:r>
      <w:r w:rsidRPr="00641AB3">
        <w:rPr>
          <w:rFonts w:ascii="Times New Roman" w:hAnsi="Times New Roman"/>
          <w:b/>
          <w:noProof/>
          <w:spacing w:val="-4"/>
          <w:sz w:val="24"/>
        </w:rPr>
        <w:t>Овластяването на ЛГБТИК+ лицата</w:t>
      </w:r>
      <w:r w:rsidRPr="00641AB3">
        <w:rPr>
          <w:rFonts w:ascii="Times New Roman" w:hAnsi="Times New Roman"/>
          <w:noProof/>
          <w:spacing w:val="-4"/>
          <w:sz w:val="24"/>
        </w:rPr>
        <w:t xml:space="preserve">, надграждането върху наследството от силни ролеви модели и съвременната култура, приемането им сред семейството и приятелите, допринася за по-разнообразно и глобално многообразно общество. То </w:t>
      </w:r>
      <w:r w:rsidRPr="00641AB3">
        <w:rPr>
          <w:rFonts w:ascii="Times New Roman" w:hAnsi="Times New Roman"/>
          <w:b/>
          <w:noProof/>
          <w:spacing w:val="-4"/>
          <w:sz w:val="24"/>
        </w:rPr>
        <w:t>насърчава предприемачеството и иновациите и стимулира устойчивия икономически растеж</w:t>
      </w:r>
      <w:r w:rsidRPr="00641AB3">
        <w:rPr>
          <w:rFonts w:ascii="Times New Roman" w:hAnsi="Times New Roman"/>
          <w:noProof/>
          <w:spacing w:val="-4"/>
          <w:sz w:val="24"/>
        </w:rPr>
        <w:t>. Например градовете, които са гостоприемни и приобщават ЛГБТИК+ лицата, имат по-силни „иновационни екосистеми“, по-голяма концентрация на умения и таланти, по-високи равнища на предприемачество и по-добро качество на живот</w:t>
      </w:r>
      <w:r w:rsidRPr="00641AB3">
        <w:rPr>
          <w:rFonts w:ascii="Times New Roman" w:hAnsi="Times New Roman"/>
          <w:noProof/>
          <w:spacing w:val="-4"/>
          <w:sz w:val="24"/>
          <w:vertAlign w:val="superscript"/>
        </w:rPr>
        <w:t>(</w:t>
      </w:r>
      <w:r w:rsidRPr="00641AB3">
        <w:rPr>
          <w:rStyle w:val="FootnoteReference"/>
          <w:rFonts w:ascii="Times New Roman" w:hAnsi="Times New Roman" w:cs="Times New Roman"/>
          <w:noProof/>
          <w:spacing w:val="-4"/>
          <w:sz w:val="24"/>
          <w:szCs w:val="24"/>
        </w:rPr>
        <w:footnoteReference w:id="7"/>
      </w:r>
      <w:r w:rsidRPr="00641AB3">
        <w:rPr>
          <w:rFonts w:ascii="Times New Roman" w:hAnsi="Times New Roman"/>
          <w:noProof/>
          <w:spacing w:val="-4"/>
          <w:sz w:val="24"/>
          <w:vertAlign w:val="superscript"/>
        </w:rPr>
        <w:t>)</w:t>
      </w:r>
      <w:r w:rsidRPr="00641AB3">
        <w:rPr>
          <w:rFonts w:ascii="Times New Roman" w:hAnsi="Times New Roman"/>
          <w:noProof/>
          <w:spacing w:val="-4"/>
          <w:sz w:val="24"/>
        </w:rPr>
        <w:t>.</w:t>
      </w:r>
    </w:p>
    <w:p w14:paraId="43FC4AF8" w14:textId="7B3F5659" w:rsidR="00D05D7F" w:rsidRPr="00F216D3" w:rsidRDefault="00D05D7F" w:rsidP="00D05D7F">
      <w:pPr>
        <w:spacing w:line="276" w:lineRule="auto"/>
        <w:jc w:val="both"/>
        <w:rPr>
          <w:rFonts w:ascii="Times New Roman" w:hAnsi="Times New Roman" w:cs="Times New Roman"/>
          <w:noProof/>
          <w:sz w:val="24"/>
          <w:szCs w:val="24"/>
        </w:rPr>
      </w:pPr>
      <w:r>
        <w:rPr>
          <w:rFonts w:ascii="Times New Roman" w:hAnsi="Times New Roman"/>
          <w:noProof/>
          <w:sz w:val="24"/>
        </w:rPr>
        <w:t xml:space="preserve">Въпреки напредъка продължават да са налице предизвикателства. Според </w:t>
      </w:r>
      <w:hyperlink r:id="rId24" w:history="1">
        <w:r>
          <w:rPr>
            <w:rStyle w:val="Hyperlink"/>
            <w:rFonts w:ascii="Times New Roman" w:hAnsi="Times New Roman"/>
            <w:noProof/>
            <w:sz w:val="24"/>
          </w:rPr>
          <w:t>третото проучване относно ЛГБТИК</w:t>
        </w:r>
      </w:hyperlink>
      <w:r>
        <w:rPr>
          <w:rFonts w:ascii="Times New Roman" w:hAnsi="Times New Roman"/>
          <w:noProof/>
          <w:sz w:val="24"/>
        </w:rPr>
        <w:t xml:space="preserve">, проведено от Агенцията на Европейския съюз за основните права (FRA) през 2023 г., над една трета от ЛГБТИК лицата (37 %) съобщават, че са </w:t>
      </w:r>
      <w:r>
        <w:rPr>
          <w:rFonts w:ascii="Times New Roman" w:hAnsi="Times New Roman"/>
          <w:b/>
          <w:noProof/>
          <w:sz w:val="24"/>
        </w:rPr>
        <w:t>преживели дискриминация</w:t>
      </w:r>
      <w:r>
        <w:rPr>
          <w:rFonts w:ascii="Times New Roman" w:hAnsi="Times New Roman"/>
          <w:noProof/>
          <w:sz w:val="24"/>
        </w:rPr>
        <w:t xml:space="preserve"> през 12-те месеца, предхождащи проучването, като най-високият процент е сред трансжените (64 %), трансмъжете (63 %) и интерсексуалните лица (56 %). Нарастващото разпространение на анти-джендър и анти-ЛГБТИК+ наративи изглежда допълнително засилва тази дискриминация. </w:t>
      </w:r>
      <w:hyperlink r:id="rId25" w:history="1">
        <w:r>
          <w:rPr>
            <w:rStyle w:val="Hyperlink"/>
            <w:rFonts w:ascii="Times New Roman" w:hAnsi="Times New Roman"/>
            <w:noProof/>
            <w:sz w:val="24"/>
          </w:rPr>
          <w:t>Проучване на FRA</w:t>
        </w:r>
      </w:hyperlink>
      <w:r>
        <w:rPr>
          <w:rFonts w:ascii="Times New Roman" w:hAnsi="Times New Roman"/>
          <w:noProof/>
          <w:sz w:val="24"/>
        </w:rPr>
        <w:t xml:space="preserve"> сочи, че ЛГБТИК+ организациите и защитниците на правата на човека са изправени пред особено враждебна среда, заплахи и атаки.</w:t>
      </w:r>
    </w:p>
    <w:p w14:paraId="40D4E4F5" w14:textId="1DB3C3E9" w:rsidR="00D05D7F" w:rsidRPr="00EF6AC5" w:rsidRDefault="00D05D7F" w:rsidP="00D05D7F">
      <w:pPr>
        <w:spacing w:line="276" w:lineRule="auto"/>
        <w:jc w:val="both"/>
        <w:rPr>
          <w:rFonts w:ascii="Times New Roman" w:hAnsi="Times New Roman" w:cs="Times New Roman"/>
          <w:noProof/>
          <w:sz w:val="24"/>
          <w:szCs w:val="24"/>
        </w:rPr>
      </w:pPr>
      <w:r>
        <w:rPr>
          <w:rFonts w:ascii="Times New Roman" w:hAnsi="Times New Roman"/>
          <w:noProof/>
          <w:sz w:val="24"/>
        </w:rPr>
        <w:t>Неравнопоставеността в областта на заетостта, здравеопазването, образованието, достъпа до жилищно настаняване и до услуги продължава да ограничава възможностите на ЛГБТИК+ лицата. В третото проучване на FRA относно ЛГБТИК респондентите, които съобщават, че са се сблъсквали с дискриминация, казват, че това се е случвало най-често на работа, в училище, в здравни заведения или на обществени места.</w:t>
      </w:r>
    </w:p>
    <w:p w14:paraId="06F30E6E" w14:textId="6C736528" w:rsidR="002120A8" w:rsidRPr="008E0726" w:rsidRDefault="00BD4161" w:rsidP="002120A8">
      <w:pPr>
        <w:spacing w:line="276" w:lineRule="auto"/>
        <w:jc w:val="both"/>
        <w:rPr>
          <w:rFonts w:ascii="Times New Roman" w:hAnsi="Times New Roman" w:cs="Times New Roman"/>
          <w:noProof/>
          <w:sz w:val="24"/>
          <w:szCs w:val="24"/>
        </w:rPr>
      </w:pPr>
      <w:r>
        <w:rPr>
          <w:rFonts w:ascii="Times New Roman" w:hAnsi="Times New Roman"/>
          <w:b/>
          <w:noProof/>
          <w:sz w:val="24"/>
        </w:rPr>
        <w:t>Дискриминацията води до икономически загуби</w:t>
      </w:r>
      <w:r>
        <w:rPr>
          <w:rFonts w:ascii="Times New Roman" w:hAnsi="Times New Roman"/>
          <w:noProof/>
          <w:sz w:val="24"/>
        </w:rPr>
        <w:t xml:space="preserve">: </w:t>
      </w:r>
      <w:r>
        <w:rPr>
          <w:noProof/>
        </w:rPr>
        <w:t>В н</w:t>
      </w:r>
      <w:r>
        <w:rPr>
          <w:rFonts w:ascii="Times New Roman" w:hAnsi="Times New Roman"/>
          <w:noProof/>
          <w:sz w:val="24"/>
        </w:rPr>
        <w:t xml:space="preserve">еотдавнашно </w:t>
      </w:r>
      <w:hyperlink r:id="rId26" w:history="1">
        <w:r>
          <w:rPr>
            <w:rStyle w:val="Hyperlink"/>
            <w:rFonts w:ascii="Times New Roman" w:hAnsi="Times New Roman"/>
            <w:noProof/>
            <w:sz w:val="24"/>
          </w:rPr>
          <w:t>проучване на ОИСР</w:t>
        </w:r>
      </w:hyperlink>
      <w:r>
        <w:rPr>
          <w:rFonts w:ascii="Times New Roman" w:hAnsi="Times New Roman"/>
          <w:noProof/>
          <w:sz w:val="24"/>
        </w:rPr>
        <w:t xml:space="preserve"> се посочва, че годишните загуби на БВП в ЕС, свързани с дискриминация въз основа на сексуална ориентация, възлизат на до 89 милиона евро. В същото проучване се подчертава, че последиците от дискриминацията се простират отвъд икономиката. Тя подкопава социалното сближаване, отслабва гражданското доверие и подкопава подкрепата за демократичните ценности. Приобщаващите общества са по-устойчиви, характеризират се с по-голяма солидарност, по-силни институции и по-високи нива на гражданско участие.</w:t>
      </w:r>
    </w:p>
    <w:p w14:paraId="4347AA90" w14:textId="45979E96" w:rsidR="00B62B29" w:rsidRDefault="000F2DC8" w:rsidP="00821DE8">
      <w:pPr>
        <w:spacing w:line="276" w:lineRule="auto"/>
        <w:jc w:val="both"/>
        <w:rPr>
          <w:rFonts w:ascii="Times New Roman" w:hAnsi="Times New Roman"/>
          <w:noProof/>
          <w:sz w:val="24"/>
        </w:rPr>
      </w:pPr>
      <w:r>
        <w:rPr>
          <w:rFonts w:ascii="Times New Roman" w:hAnsi="Times New Roman"/>
          <w:noProof/>
          <w:sz w:val="24"/>
        </w:rPr>
        <w:t xml:space="preserve">Отчитайки постиженията и продължаващите предизвикателства, в </w:t>
      </w:r>
      <w:hyperlink r:id="rId27" w:history="1">
        <w:r>
          <w:rPr>
            <w:rStyle w:val="Hyperlink"/>
            <w:rFonts w:ascii="Times New Roman" w:hAnsi="Times New Roman"/>
            <w:noProof/>
            <w:sz w:val="24"/>
          </w:rPr>
          <w:t>доклада на Комисията за изпълнението</w:t>
        </w:r>
      </w:hyperlink>
      <w:r>
        <w:rPr>
          <w:rFonts w:ascii="Times New Roman" w:hAnsi="Times New Roman"/>
          <w:noProof/>
          <w:sz w:val="24"/>
        </w:rPr>
        <w:t xml:space="preserve"> на Стратегията за равнопоставеност на ЛГБТИК за 2020—2025 г. до 2024 г. беше потвърдена ключовата роля на стратегията за напредъка на правата на ЛГБТИК+ лицата, но също така беше подчертана необходимостта от по-големи усилия на равнище ЕС.</w:t>
      </w:r>
    </w:p>
    <w:p w14:paraId="15A92789" w14:textId="64ABA9D8" w:rsidR="00E07BCA" w:rsidRPr="00E83524" w:rsidRDefault="00EA205B" w:rsidP="00821DE8">
      <w:pPr>
        <w:spacing w:line="276" w:lineRule="auto"/>
        <w:jc w:val="both"/>
        <w:rPr>
          <w:rFonts w:ascii="Times New Roman" w:hAnsi="Times New Roman"/>
          <w:noProof/>
          <w:sz w:val="24"/>
        </w:rPr>
      </w:pPr>
      <w:r>
        <w:rPr>
          <w:rFonts w:ascii="Times New Roman" w:hAnsi="Times New Roman"/>
          <w:noProof/>
          <w:sz w:val="24"/>
        </w:rPr>
        <w:t xml:space="preserve">През 2024 г. </w:t>
      </w:r>
      <w:r>
        <w:rPr>
          <w:rFonts w:ascii="Times New Roman" w:hAnsi="Times New Roman"/>
          <w:b/>
          <w:noProof/>
          <w:sz w:val="24"/>
        </w:rPr>
        <w:t>Европейският парламент</w:t>
      </w:r>
      <w:r>
        <w:rPr>
          <w:rFonts w:ascii="Times New Roman" w:hAnsi="Times New Roman"/>
          <w:noProof/>
          <w:sz w:val="24"/>
        </w:rPr>
        <w:t xml:space="preserve"> призова за нова, по-всеобхватна стратегия за равнопоставеност на ЛГБТИК+</w:t>
      </w:r>
      <w:r>
        <w:rPr>
          <w:rFonts w:ascii="Times New Roman" w:hAnsi="Times New Roman"/>
          <w:noProof/>
          <w:sz w:val="24"/>
          <w:vertAlign w:val="superscript"/>
        </w:rPr>
        <w:t>(</w:t>
      </w:r>
      <w:r>
        <w:rPr>
          <w:rStyle w:val="FootnoteReference"/>
          <w:rFonts w:ascii="Times New Roman" w:hAnsi="Times New Roman"/>
          <w:noProof/>
          <w:sz w:val="24"/>
        </w:rPr>
        <w:footnoteReference w:id="8"/>
      </w:r>
      <w:r>
        <w:rPr>
          <w:rFonts w:ascii="Times New Roman" w:hAnsi="Times New Roman"/>
          <w:noProof/>
          <w:sz w:val="24"/>
          <w:vertAlign w:val="superscript"/>
        </w:rPr>
        <w:t>)</w:t>
      </w:r>
      <w:r>
        <w:rPr>
          <w:rFonts w:ascii="Times New Roman" w:hAnsi="Times New Roman"/>
          <w:noProof/>
          <w:sz w:val="24"/>
        </w:rPr>
        <w:t xml:space="preserve">. Също през 2024 г. </w:t>
      </w:r>
      <w:r>
        <w:rPr>
          <w:rFonts w:ascii="Times New Roman" w:hAnsi="Times New Roman"/>
          <w:b/>
          <w:noProof/>
          <w:sz w:val="24"/>
        </w:rPr>
        <w:t xml:space="preserve">20 държави членки подписаха </w:t>
      </w:r>
      <w:hyperlink r:id="rId28" w:history="1">
        <w:r>
          <w:rPr>
            <w:rStyle w:val="Hyperlink"/>
            <w:rFonts w:ascii="Times New Roman" w:hAnsi="Times New Roman"/>
            <w:b/>
            <w:noProof/>
            <w:sz w:val="24"/>
          </w:rPr>
          <w:t>декларация на министрите</w:t>
        </w:r>
      </w:hyperlink>
      <w:r>
        <w:rPr>
          <w:rFonts w:ascii="Times New Roman" w:hAnsi="Times New Roman"/>
          <w:noProof/>
          <w:sz w:val="24"/>
        </w:rPr>
        <w:t>, в която призоваха за по-нататъшни действия и се ангажираха да работят с Комисията за подновяване на стратегията. При консултациите относно изпълнението на предишната стратегия за равнопоставеност на ЛГБТИК организациите на гражданското общество подеха тези призиви, като подчертаха спешната необходимост от продължаване на действията.</w:t>
      </w:r>
    </w:p>
    <w:p w14:paraId="3AD87D5E" w14:textId="72E7BFB8" w:rsidR="00BE1E37" w:rsidRDefault="00A22E70" w:rsidP="00821DE8">
      <w:pPr>
        <w:spacing w:line="276" w:lineRule="auto"/>
        <w:jc w:val="both"/>
        <w:rPr>
          <w:rFonts w:ascii="Times New Roman" w:hAnsi="Times New Roman"/>
          <w:noProof/>
          <w:sz w:val="24"/>
        </w:rPr>
      </w:pPr>
      <w:r w:rsidRPr="00641AB3">
        <w:rPr>
          <w:rFonts w:ascii="Times New Roman" w:hAnsi="Times New Roman"/>
          <w:noProof/>
          <w:sz w:val="24"/>
        </w:rPr>
        <w:t>В тази н</w:t>
      </w:r>
      <w:r>
        <w:rPr>
          <w:rFonts w:ascii="Times New Roman" w:hAnsi="Times New Roman"/>
          <w:noProof/>
          <w:sz w:val="24"/>
        </w:rPr>
        <w:t xml:space="preserve">ова стратегия за равнопоставеност на ЛГБТИК+, </w:t>
      </w:r>
      <w:r>
        <w:rPr>
          <w:rFonts w:ascii="Times New Roman" w:hAnsi="Times New Roman"/>
          <w:b/>
          <w:noProof/>
          <w:sz w:val="24"/>
        </w:rPr>
        <w:t xml:space="preserve">обявена в </w:t>
      </w:r>
      <w:hyperlink r:id="rId29" w:history="1">
        <w:r>
          <w:rPr>
            <w:rStyle w:val="Hyperlink"/>
            <w:rFonts w:ascii="Times New Roman" w:hAnsi="Times New Roman"/>
            <w:b/>
            <w:noProof/>
            <w:sz w:val="24"/>
          </w:rPr>
          <w:t>политическите насоки</w:t>
        </w:r>
      </w:hyperlink>
      <w:r>
        <w:rPr>
          <w:b/>
          <w:bCs/>
          <w:noProof/>
        </w:rPr>
        <w:t xml:space="preserve"> на председателя Фон дер Лайен за 2024 г.</w:t>
      </w:r>
      <w:r>
        <w:rPr>
          <w:rFonts w:ascii="Times New Roman" w:hAnsi="Times New Roman"/>
          <w:noProof/>
          <w:sz w:val="24"/>
        </w:rPr>
        <w:t xml:space="preserve">, се очертава рамката на работата на Комисията в областта на равнопоставеността на ЛГБТИК+ за периода 2026—2030 г. </w:t>
      </w:r>
      <w:bookmarkStart w:id="4" w:name="_Hlk208823394"/>
      <w:r>
        <w:rPr>
          <w:rFonts w:ascii="Times New Roman" w:hAnsi="Times New Roman"/>
          <w:noProof/>
          <w:sz w:val="24"/>
        </w:rPr>
        <w:t>Тя стъпва на основата на първата стратегия, като се опира на нейните амбиции и на вече постигнатия напредък, осигурявайки приемственост и същевременно проправяйки пътя за по-нататъшен напредък</w:t>
      </w:r>
      <w:bookmarkEnd w:id="4"/>
      <w:r>
        <w:rPr>
          <w:rFonts w:ascii="Times New Roman" w:hAnsi="Times New Roman"/>
          <w:noProof/>
          <w:sz w:val="24"/>
        </w:rPr>
        <w:t xml:space="preserve">. </w:t>
      </w:r>
    </w:p>
    <w:p w14:paraId="50742730" w14:textId="24E83832" w:rsidR="0071658A" w:rsidRPr="0021215C" w:rsidRDefault="00BE1E37"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Стратегията има за цел да мобилизира </w:t>
      </w:r>
      <w:r>
        <w:rPr>
          <w:rFonts w:ascii="Times New Roman" w:hAnsi="Times New Roman"/>
          <w:b/>
          <w:noProof/>
          <w:sz w:val="24"/>
        </w:rPr>
        <w:t>колективната ангажираност</w:t>
      </w:r>
      <w:r>
        <w:rPr>
          <w:rFonts w:ascii="Times New Roman" w:hAnsi="Times New Roman"/>
          <w:noProof/>
          <w:sz w:val="24"/>
        </w:rPr>
        <w:t xml:space="preserve"> на всички равнища на управление за гарантиране на основните права и ценности на равенство и недискриминация, залегнали в Хартата на основните права и задължителни за всички държави членки като първично право на ЕС. Тя също така определя рамка, която изисква активна ангажираност и сътрудничество от страна на Европейския парламент, Съвета, държавите членки и гражданското общество, за да се гарантира успешното ѝ изпълнение.</w:t>
      </w:r>
    </w:p>
    <w:p w14:paraId="3C570275" w14:textId="608E164B" w:rsidR="00EC6096" w:rsidRPr="00EF6AC5" w:rsidRDefault="00FD1496"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Изпълнението на тази стратегия ще следва двоен подход — </w:t>
      </w:r>
      <w:r>
        <w:rPr>
          <w:rFonts w:ascii="Times New Roman" w:hAnsi="Times New Roman"/>
          <w:b/>
          <w:noProof/>
          <w:sz w:val="24"/>
        </w:rPr>
        <w:t>целеви мерки</w:t>
      </w:r>
      <w:r>
        <w:rPr>
          <w:rFonts w:ascii="Times New Roman" w:hAnsi="Times New Roman"/>
          <w:noProof/>
          <w:sz w:val="24"/>
        </w:rPr>
        <w:t xml:space="preserve"> и засилено </w:t>
      </w:r>
      <w:r>
        <w:rPr>
          <w:rFonts w:ascii="Times New Roman" w:hAnsi="Times New Roman"/>
          <w:b/>
          <w:noProof/>
          <w:sz w:val="24"/>
        </w:rPr>
        <w:t>интегриране на равенството</w:t>
      </w:r>
      <w:r>
        <w:rPr>
          <w:rFonts w:ascii="Times New Roman" w:hAnsi="Times New Roman"/>
          <w:noProof/>
          <w:sz w:val="24"/>
        </w:rPr>
        <w:t xml:space="preserve"> в различните области на политиката. Настоящата стратегия, подобно на предшестващата я, ще използва </w:t>
      </w:r>
      <w:r>
        <w:rPr>
          <w:rFonts w:ascii="Times New Roman" w:hAnsi="Times New Roman"/>
          <w:b/>
          <w:noProof/>
          <w:sz w:val="24"/>
        </w:rPr>
        <w:t>интерсекционалността</w:t>
      </w:r>
      <w:r>
        <w:rPr>
          <w:rFonts w:ascii="Times New Roman" w:hAnsi="Times New Roman"/>
          <w:noProof/>
          <w:sz w:val="24"/>
        </w:rPr>
        <w:t xml:space="preserve"> като хоризонтален принцип. Тя ще разгледа как комбинацията от сексуална ориентация, джендър идентичност/експресия и полови характеристики с други лични характеристики или идентичности, като пол, расов или етнически произход, религия или убеждения, увреждане и възраст, допринася за уникални форми на преживяване на дискриминация. По този начин тя допълва съществуващите и предстоящите инициативи на ЕС за насърчаване на равенството за всички</w:t>
      </w:r>
      <w:r>
        <w:rPr>
          <w:rFonts w:ascii="Times New Roman" w:hAnsi="Times New Roman"/>
          <w:noProof/>
          <w:sz w:val="24"/>
          <w:vertAlign w:val="superscript"/>
        </w:rPr>
        <w:t>(</w:t>
      </w:r>
      <w:r>
        <w:rPr>
          <w:rFonts w:ascii="Times New Roman" w:eastAsia="Calibri" w:hAnsi="Times New Roman" w:cs="Times New Roman"/>
          <w:noProof/>
          <w:kern w:val="0"/>
          <w:sz w:val="24"/>
          <w:szCs w:val="24"/>
          <w:vertAlign w:val="superscript"/>
          <w:lang w:eastAsia="en-IE"/>
        </w:rPr>
        <w:footnoteReference w:id="9"/>
      </w:r>
      <w:r>
        <w:rPr>
          <w:rFonts w:ascii="Times New Roman" w:hAnsi="Times New Roman"/>
          <w:noProof/>
          <w:sz w:val="24"/>
          <w:vertAlign w:val="superscript"/>
        </w:rPr>
        <w:t>)</w:t>
      </w:r>
      <w:r>
        <w:rPr>
          <w:rFonts w:ascii="Times New Roman" w:hAnsi="Times New Roman"/>
          <w:noProof/>
          <w:sz w:val="24"/>
        </w:rPr>
        <w:t>. Освен това в стратегията се отчита как географската изолация може допълнително да утежни тези ситуации на уязвимост.</w:t>
      </w:r>
    </w:p>
    <w:p w14:paraId="27028E05" w14:textId="473C053C" w:rsidR="00E93552" w:rsidRPr="00EF6AC5" w:rsidRDefault="00B63CC6" w:rsidP="00821DE8">
      <w:pPr>
        <w:spacing w:line="276"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t xml:space="preserve">За да подготви настоящата стратегия, Комисията проведе обстоен </w:t>
      </w:r>
      <w:r>
        <w:rPr>
          <w:rFonts w:ascii="Times New Roman" w:hAnsi="Times New Roman"/>
          <w:b/>
          <w:noProof/>
          <w:sz w:val="24"/>
        </w:rPr>
        <w:t>процес на консултации</w:t>
      </w:r>
      <w:r>
        <w:rPr>
          <w:rFonts w:ascii="Times New Roman" w:hAnsi="Times New Roman"/>
          <w:noProof/>
          <w:sz w:val="24"/>
        </w:rPr>
        <w:t xml:space="preserve">. Той включваше покана за представяне на данни, открита обществена консултация и целеви консултации, включващи специални консултативни срещи, със заинтересовани страни като представителни организации на ЛГБТИК+, представители на държавите членки, социални партньори и международни организации. Дори само консултативните дейности на </w:t>
      </w:r>
      <w:hyperlink r:id="rId30" w:history="1">
        <w:r>
          <w:rPr>
            <w:rStyle w:val="Hyperlink"/>
            <w:rFonts w:ascii="Times New Roman" w:hAnsi="Times New Roman"/>
            <w:noProof/>
            <w:sz w:val="24"/>
          </w:rPr>
          <w:t>портала „Споделете мнението си“</w:t>
        </w:r>
      </w:hyperlink>
      <w:r>
        <w:rPr>
          <w:rFonts w:ascii="Times New Roman" w:hAnsi="Times New Roman"/>
          <w:noProof/>
          <w:sz w:val="24"/>
        </w:rPr>
        <w:t xml:space="preserve"> на Комисията показаха висок интерес на респондентите към темата.</w:t>
      </w:r>
    </w:p>
    <w:p w14:paraId="1FC857BC" w14:textId="29D2EAEE" w:rsidR="00821DE8" w:rsidRPr="00D51260" w:rsidRDefault="004C55C6" w:rsidP="00821DE8">
      <w:pPr>
        <w:pStyle w:val="Heading1"/>
        <w:jc w:val="both"/>
        <w:rPr>
          <w:rFonts w:ascii="Times New Roman" w:hAnsi="Times New Roman"/>
          <w:b/>
          <w:smallCaps/>
          <w:noProof/>
          <w:color w:val="auto"/>
          <w:sz w:val="28"/>
        </w:rPr>
      </w:pPr>
      <w:r>
        <w:rPr>
          <w:rFonts w:ascii="Times New Roman" w:hAnsi="Times New Roman"/>
          <w:b/>
          <w:smallCaps/>
          <w:noProof/>
          <w:color w:val="auto"/>
          <w:sz w:val="28"/>
        </w:rPr>
        <w:t>Стратегически цели</w:t>
      </w:r>
    </w:p>
    <w:p w14:paraId="3F29DBAA" w14:textId="77777777" w:rsidR="005C4B13" w:rsidRPr="005C4B13" w:rsidRDefault="005C4B13" w:rsidP="005C4B13">
      <w:pPr>
        <w:rPr>
          <w:noProof/>
        </w:rPr>
      </w:pPr>
    </w:p>
    <w:bookmarkEnd w:id="1"/>
    <w:p w14:paraId="2A632C4B" w14:textId="68926F99" w:rsidR="00620433" w:rsidRPr="00D51260" w:rsidRDefault="004C55C6" w:rsidP="008732F4">
      <w:pPr>
        <w:pStyle w:val="Heading2"/>
        <w:numPr>
          <w:ilvl w:val="0"/>
          <w:numId w:val="3"/>
        </w:numPr>
        <w:jc w:val="both"/>
        <w:rPr>
          <w:rFonts w:ascii="Times New Roman" w:hAnsi="Times New Roman"/>
          <w:b/>
          <w:smallCaps/>
          <w:noProof/>
          <w:color w:val="auto"/>
          <w:sz w:val="28"/>
          <w:u w:val="single"/>
        </w:rPr>
      </w:pPr>
      <w:r>
        <w:rPr>
          <w:rFonts w:ascii="Times New Roman" w:hAnsi="Times New Roman"/>
          <w:b/>
          <w:smallCaps/>
          <w:noProof/>
          <w:color w:val="auto"/>
          <w:sz w:val="28"/>
          <w:u w:val="single"/>
        </w:rPr>
        <w:t>Защита</w:t>
      </w:r>
    </w:p>
    <w:p w14:paraId="220A6752" w14:textId="53618470" w:rsidR="0058382E" w:rsidRDefault="006B6C9D" w:rsidP="00821DE8">
      <w:pPr>
        <w:spacing w:line="276" w:lineRule="auto"/>
        <w:jc w:val="both"/>
        <w:rPr>
          <w:rFonts w:ascii="Times New Roman" w:hAnsi="Times New Roman"/>
          <w:noProof/>
          <w:sz w:val="24"/>
        </w:rPr>
      </w:pPr>
      <w:r>
        <w:rPr>
          <w:rFonts w:ascii="Times New Roman" w:hAnsi="Times New Roman"/>
          <w:noProof/>
          <w:sz w:val="24"/>
        </w:rPr>
        <w:t xml:space="preserve">ЛГБТИК+ лицата продължават да се сблъскват с </w:t>
      </w:r>
      <w:r>
        <w:rPr>
          <w:rFonts w:ascii="Times New Roman" w:hAnsi="Times New Roman"/>
          <w:b/>
          <w:noProof/>
          <w:sz w:val="24"/>
        </w:rPr>
        <w:t>непропорционално високи нива на насилие и омраза</w:t>
      </w:r>
      <w:r>
        <w:rPr>
          <w:rFonts w:ascii="Times New Roman" w:hAnsi="Times New Roman"/>
          <w:noProof/>
          <w:sz w:val="24"/>
        </w:rPr>
        <w:t>, които се изострят от увеличаването на анти-ЛГБТИК+ наративите в ЕС и по света. Това подкопава основните права и застрашава основите на демократичните общества, като насърчава страха, изключването и социалната разпокъсаност. Борбата с всички форми на насилие и предотвратяването им, както и разрушаването на насаждащите омраза наративи са от съществено значение, за да се защитят общите ценности на ЕС на равенство, човешко достойнство и зачитане на основните права за всички.</w:t>
      </w:r>
    </w:p>
    <w:p w14:paraId="717A22F9" w14:textId="77777777" w:rsidR="00DC0E95" w:rsidRDefault="00DC0E95" w:rsidP="00821DE8">
      <w:pPr>
        <w:spacing w:line="276" w:lineRule="auto"/>
        <w:jc w:val="both"/>
        <w:rPr>
          <w:rFonts w:ascii="Times New Roman" w:hAnsi="Times New Roman"/>
          <w:noProof/>
          <w:sz w:val="24"/>
        </w:rPr>
      </w:pPr>
    </w:p>
    <w:p w14:paraId="551BF822" w14:textId="289FA101" w:rsidR="00620433" w:rsidRPr="00EF6AC5" w:rsidRDefault="00620433" w:rsidP="008732F4">
      <w:pPr>
        <w:pStyle w:val="Heading3"/>
        <w:numPr>
          <w:ilvl w:val="1"/>
          <w:numId w:val="4"/>
        </w:numPr>
        <w:ind w:left="567" w:hanging="425"/>
        <w:jc w:val="both"/>
        <w:rPr>
          <w:rFonts w:ascii="Times New Roman" w:hAnsi="Times New Roman" w:cs="Times New Roman"/>
          <w:b/>
          <w:bCs/>
          <w:noProof/>
          <w:color w:val="auto"/>
          <w:sz w:val="24"/>
          <w:szCs w:val="24"/>
        </w:rPr>
      </w:pPr>
      <w:r>
        <w:rPr>
          <w:rFonts w:ascii="Times New Roman" w:hAnsi="Times New Roman"/>
          <w:b/>
          <w:noProof/>
          <w:color w:val="auto"/>
          <w:sz w:val="24"/>
        </w:rPr>
        <w:t>Борба срещу вредните практики</w:t>
      </w:r>
    </w:p>
    <w:p w14:paraId="0027828E" w14:textId="3A8A9505" w:rsidR="006407C0" w:rsidRPr="00EF6AC5" w:rsidRDefault="00E87700" w:rsidP="00821DE8">
      <w:pPr>
        <w:spacing w:line="276" w:lineRule="auto"/>
        <w:jc w:val="both"/>
        <w:rPr>
          <w:rFonts w:ascii="Times New Roman" w:hAnsi="Times New Roman" w:cs="Times New Roman"/>
          <w:noProof/>
          <w:sz w:val="24"/>
          <w:szCs w:val="24"/>
        </w:rPr>
      </w:pPr>
      <w:r>
        <w:rPr>
          <w:rFonts w:ascii="Times New Roman" w:hAnsi="Times New Roman"/>
          <w:noProof/>
          <w:sz w:val="24"/>
        </w:rPr>
        <w:t>Конверсионните практики „представляват вредни интервенции, които се основават на невярната от медицинска гледна точка идея, че ЛГБТ[ИК+] лицата страдат от заболяване, и които причиняват силна болка и страдание и водят до дълготрайно психически и физически вреди“</w:t>
      </w:r>
      <w:r>
        <w:rPr>
          <w:rFonts w:ascii="Times New Roman" w:hAnsi="Times New Roman"/>
          <w:noProof/>
          <w:sz w:val="24"/>
          <w:vertAlign w:val="superscript"/>
        </w:rPr>
        <w:t>(</w:t>
      </w:r>
      <w:r>
        <w:rPr>
          <w:rStyle w:val="FootnoteReference"/>
          <w:rFonts w:ascii="Times New Roman" w:hAnsi="Times New Roman"/>
          <w:noProof/>
          <w:sz w:val="24"/>
        </w:rPr>
        <w:footnoteReference w:id="10"/>
      </w:r>
      <w:r>
        <w:rPr>
          <w:rFonts w:ascii="Times New Roman" w:hAnsi="Times New Roman"/>
          <w:noProof/>
          <w:sz w:val="24"/>
          <w:vertAlign w:val="superscript"/>
        </w:rPr>
        <w:t>)</w:t>
      </w:r>
      <w:r>
        <w:rPr>
          <w:rFonts w:ascii="Times New Roman" w:hAnsi="Times New Roman"/>
          <w:noProof/>
          <w:sz w:val="24"/>
        </w:rPr>
        <w:t xml:space="preserve">. Според третото проучване на FRA за ЛГБТИК, 24 % от ЛГБТИК лицата са се </w:t>
      </w:r>
      <w:r>
        <w:rPr>
          <w:rFonts w:ascii="Times New Roman" w:hAnsi="Times New Roman"/>
          <w:b/>
          <w:noProof/>
          <w:sz w:val="24"/>
        </w:rPr>
        <w:t>сблъсквали с конверсионни практики</w:t>
      </w:r>
      <w:r>
        <w:rPr>
          <w:rFonts w:ascii="Times New Roman" w:hAnsi="Times New Roman"/>
          <w:noProof/>
          <w:sz w:val="24"/>
        </w:rPr>
        <w:t xml:space="preserve">, включително физическо и сексуално насилие, словесен тормоз и унижение. Тази цифра е почти двойно по-висока и достига 47 % при трансжените и 48 % при трансмъжете. </w:t>
      </w:r>
    </w:p>
    <w:p w14:paraId="1FD71A55" w14:textId="31D487E3" w:rsidR="00620433" w:rsidRPr="00D51260" w:rsidRDefault="00620433" w:rsidP="00821DE8">
      <w:pPr>
        <w:spacing w:line="276" w:lineRule="auto"/>
        <w:jc w:val="both"/>
        <w:rPr>
          <w:rFonts w:ascii="Times New Roman" w:hAnsi="Times New Roman"/>
          <w:noProof/>
          <w:sz w:val="24"/>
        </w:rPr>
      </w:pPr>
      <w:r>
        <w:rPr>
          <w:rFonts w:ascii="Times New Roman" w:hAnsi="Times New Roman"/>
          <w:noProof/>
          <w:sz w:val="24"/>
        </w:rPr>
        <w:t>Транс, небинарните и интерсексуалните лица също продължават да се сблъскват с тежки посегателства върху телесната им автономия</w:t>
      </w:r>
      <w:r>
        <w:rPr>
          <w:rFonts w:ascii="Times New Roman" w:hAnsi="Times New Roman"/>
          <w:noProof/>
          <w:sz w:val="24"/>
          <w:vertAlign w:val="superscript"/>
        </w:rPr>
        <w:t>(</w:t>
      </w:r>
      <w:r>
        <w:rPr>
          <w:rStyle w:val="FootnoteReference"/>
          <w:rFonts w:ascii="Times New Roman" w:hAnsi="Times New Roman"/>
          <w:noProof/>
          <w:sz w:val="24"/>
        </w:rPr>
        <w:footnoteReference w:id="11"/>
      </w:r>
      <w:r>
        <w:rPr>
          <w:rFonts w:ascii="Times New Roman" w:hAnsi="Times New Roman"/>
          <w:noProof/>
          <w:sz w:val="24"/>
          <w:vertAlign w:val="superscript"/>
        </w:rPr>
        <w:t>)</w:t>
      </w:r>
      <w:r>
        <w:rPr>
          <w:rFonts w:ascii="Times New Roman" w:hAnsi="Times New Roman"/>
          <w:noProof/>
          <w:sz w:val="24"/>
        </w:rPr>
        <w:t>: някои държави — членки на ЕС, все още налагат изисквания за хирургическа или медицинска интервенция като условия за юридическо признаване на пола</w:t>
      </w:r>
      <w:r>
        <w:rPr>
          <w:rFonts w:ascii="Times New Roman" w:hAnsi="Times New Roman"/>
          <w:noProof/>
          <w:sz w:val="24"/>
          <w:vertAlign w:val="superscript"/>
        </w:rPr>
        <w:t>(</w:t>
      </w:r>
      <w:r>
        <w:rPr>
          <w:rStyle w:val="FootnoteReference"/>
          <w:rFonts w:ascii="Times New Roman" w:hAnsi="Times New Roman"/>
          <w:noProof/>
          <w:sz w:val="24"/>
        </w:rPr>
        <w:footnoteReference w:id="12"/>
      </w:r>
      <w:r>
        <w:rPr>
          <w:rFonts w:ascii="Times New Roman" w:hAnsi="Times New Roman"/>
          <w:noProof/>
          <w:sz w:val="24"/>
          <w:vertAlign w:val="superscript"/>
        </w:rPr>
        <w:t>)</w:t>
      </w:r>
      <w:r>
        <w:rPr>
          <w:rFonts w:ascii="Times New Roman" w:hAnsi="Times New Roman"/>
          <w:noProof/>
          <w:sz w:val="24"/>
        </w:rPr>
        <w:t xml:space="preserve">. Третото проучване на FRA за ЛГБТИК и свързаният с него </w:t>
      </w:r>
      <w:hyperlink r:id="rId31" w:history="1">
        <w:r>
          <w:rPr>
            <w:rStyle w:val="Hyperlink"/>
            <w:rFonts w:ascii="Times New Roman" w:hAnsi="Times New Roman"/>
            <w:b/>
            <w:noProof/>
            <w:sz w:val="24"/>
          </w:rPr>
          <w:t>доклад „Да бъдеш интерсексуален в ЕС“</w:t>
        </w:r>
      </w:hyperlink>
      <w:r>
        <w:rPr>
          <w:rFonts w:ascii="Times New Roman" w:hAnsi="Times New Roman"/>
          <w:noProof/>
          <w:sz w:val="24"/>
        </w:rPr>
        <w:t xml:space="preserve"> сочат, че 57 % от интерсексуалните респонденти са заявили, че те или техните родители не са дали информирано съгласие да се подложат на хирургически или хормонални процедури, което е довело до трайни физически и психически вреди.</w:t>
      </w:r>
    </w:p>
    <w:p w14:paraId="4555C1D0" w14:textId="216FA381" w:rsidR="006C39F1" w:rsidRPr="00E83524" w:rsidRDefault="002F0469" w:rsidP="00821DE8">
      <w:pPr>
        <w:spacing w:line="276" w:lineRule="auto"/>
        <w:jc w:val="both"/>
        <w:rPr>
          <w:rFonts w:ascii="Times New Roman" w:hAnsi="Times New Roman"/>
          <w:noProof/>
          <w:sz w:val="24"/>
        </w:rPr>
      </w:pPr>
      <w:r>
        <w:rPr>
          <w:rFonts w:ascii="Times New Roman" w:hAnsi="Times New Roman"/>
          <w:noProof/>
          <w:sz w:val="24"/>
        </w:rPr>
        <w:t>За да помогне на държавите членки да забранят конверсионните практики</w:t>
      </w:r>
      <w:r>
        <w:rPr>
          <w:rFonts w:ascii="Times New Roman" w:hAnsi="Times New Roman"/>
          <w:noProof/>
          <w:sz w:val="24"/>
          <w:vertAlign w:val="superscript"/>
        </w:rPr>
        <w:t>(</w:t>
      </w:r>
      <w:r>
        <w:rPr>
          <w:rStyle w:val="FootnoteReference"/>
          <w:rFonts w:ascii="Times New Roman" w:hAnsi="Times New Roman"/>
          <w:noProof/>
          <w:sz w:val="24"/>
        </w:rPr>
        <w:footnoteReference w:id="13"/>
      </w:r>
      <w:r>
        <w:rPr>
          <w:rFonts w:ascii="Times New Roman" w:hAnsi="Times New Roman"/>
          <w:noProof/>
          <w:sz w:val="24"/>
          <w:vertAlign w:val="superscript"/>
        </w:rPr>
        <w:t>)</w:t>
      </w:r>
      <w:r>
        <w:rPr>
          <w:rFonts w:ascii="Times New Roman" w:hAnsi="Times New Roman"/>
          <w:noProof/>
          <w:sz w:val="24"/>
        </w:rPr>
        <w:t xml:space="preserve">, Комисията ще публикува </w:t>
      </w:r>
      <w:r>
        <w:rPr>
          <w:rFonts w:ascii="Times New Roman" w:hAnsi="Times New Roman"/>
          <w:b/>
          <w:noProof/>
          <w:sz w:val="24"/>
        </w:rPr>
        <w:t>проучване</w:t>
      </w:r>
      <w:r>
        <w:rPr>
          <w:rFonts w:ascii="Times New Roman" w:hAnsi="Times New Roman"/>
          <w:noProof/>
          <w:sz w:val="24"/>
        </w:rPr>
        <w:t xml:space="preserve">, в което ще анализира естеството, разпространението и въздействието на тези практики върху ЛГБТИК+ лицата. За да се улеснят координираните действия, Комисията също така ще насърчи </w:t>
      </w:r>
      <w:r>
        <w:rPr>
          <w:rFonts w:ascii="Times New Roman" w:hAnsi="Times New Roman"/>
          <w:b/>
          <w:noProof/>
          <w:sz w:val="24"/>
        </w:rPr>
        <w:t>структурирания диалог</w:t>
      </w:r>
      <w:r>
        <w:rPr>
          <w:rFonts w:ascii="Times New Roman" w:hAnsi="Times New Roman"/>
          <w:noProof/>
          <w:sz w:val="24"/>
        </w:rPr>
        <w:t xml:space="preserve"> по темата, по-специално чрез експертната група по въпросите на равнопоставеността на ЛГБТИК+</w:t>
      </w:r>
      <w:bookmarkStart w:id="5" w:name="_Hlk208505462"/>
      <w:r>
        <w:rPr>
          <w:rFonts w:ascii="Times New Roman" w:hAnsi="Times New Roman"/>
          <w:noProof/>
          <w:sz w:val="24"/>
        </w:rPr>
        <w:t xml:space="preserve"> в рамките на Групата на високо равнище по въпросите на недискриминацията, равенството и многообразието</w:t>
      </w:r>
      <w:bookmarkEnd w:id="5"/>
      <w:r>
        <w:rPr>
          <w:rFonts w:ascii="Times New Roman" w:hAnsi="Times New Roman"/>
          <w:noProof/>
          <w:sz w:val="24"/>
        </w:rPr>
        <w:t>. Въз основа на констатациите от проучването Комисията ще предприеме подходящи действия за борба срещу конверсионните практики, като ще се съсредоточи по-специално върху подкрепата за държавите членки, които играят критично важна роля в тази област. Комисията ще продължи да се занимава и с други вредни практики, като например гениталното осакатяване на интерсексуални лица и принудителната медикализация на транс лица.</w:t>
      </w:r>
    </w:p>
    <w:p w14:paraId="09C8B484" w14:textId="49517A94" w:rsidR="009F0DDF" w:rsidRDefault="00A016F1"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При разработването на своя подход за борба с конверсионните практики Комисията ще вземе предвид по-специално неотдавнашната </w:t>
      </w:r>
      <w:hyperlink r:id="rId32" w:history="1">
        <w:r>
          <w:rPr>
            <w:rStyle w:val="Hyperlink"/>
            <w:rFonts w:ascii="Times New Roman" w:hAnsi="Times New Roman"/>
            <w:b/>
            <w:noProof/>
            <w:sz w:val="24"/>
          </w:rPr>
          <w:t>европейска гражданска инициатива под надслов</w:t>
        </w:r>
      </w:hyperlink>
      <w:r>
        <w:rPr>
          <w:rFonts w:ascii="Times New Roman" w:hAnsi="Times New Roman"/>
          <w:noProof/>
          <w:sz w:val="24"/>
        </w:rPr>
        <w:t xml:space="preserve"> „Забрана на конверсионните практики в Европейския съюз“</w:t>
      </w:r>
      <w:r>
        <w:rPr>
          <w:rFonts w:ascii="Times New Roman" w:hAnsi="Times New Roman"/>
          <w:noProof/>
          <w:sz w:val="24"/>
          <w:vertAlign w:val="superscript"/>
        </w:rPr>
        <w:t>(</w:t>
      </w:r>
      <w:r>
        <w:rPr>
          <w:rStyle w:val="FootnoteReference"/>
          <w:rFonts w:ascii="Times New Roman" w:hAnsi="Times New Roman"/>
          <w:noProof/>
          <w:sz w:val="24"/>
        </w:rPr>
        <w:footnoteReference w:id="14"/>
      </w:r>
      <w:r>
        <w:rPr>
          <w:rFonts w:ascii="Times New Roman" w:hAnsi="Times New Roman"/>
          <w:noProof/>
          <w:sz w:val="24"/>
          <w:vertAlign w:val="superscript"/>
        </w:rPr>
        <w:t>)</w:t>
      </w:r>
      <w:r>
        <w:rPr>
          <w:rFonts w:ascii="Times New Roman" w:hAnsi="Times New Roman"/>
          <w:noProof/>
          <w:sz w:val="24"/>
        </w:rPr>
        <w:t xml:space="preserve">. </w:t>
      </w:r>
    </w:p>
    <w:p w14:paraId="594345FE" w14:textId="77777777" w:rsidR="00444FC1" w:rsidRPr="00A016F1" w:rsidRDefault="00444FC1" w:rsidP="0052501E">
      <w:pPr>
        <w:jc w:val="both"/>
        <w:rPr>
          <w:rFonts w:ascii="Times New Roman" w:hAnsi="Times New Roman" w:cs="Times New Roman"/>
          <w:noProof/>
        </w:rPr>
      </w:pPr>
    </w:p>
    <w:p w14:paraId="1A19E8CD" w14:textId="55D863DE" w:rsidR="00620433" w:rsidRPr="00EF6AC5" w:rsidRDefault="00FB7178" w:rsidP="008732F4">
      <w:pPr>
        <w:pStyle w:val="Heading3"/>
        <w:numPr>
          <w:ilvl w:val="1"/>
          <w:numId w:val="4"/>
        </w:numPr>
        <w:ind w:left="567" w:hanging="425"/>
        <w:jc w:val="both"/>
        <w:rPr>
          <w:rFonts w:ascii="Times New Roman" w:hAnsi="Times New Roman" w:cs="Times New Roman"/>
          <w:b/>
          <w:bCs/>
          <w:noProof/>
          <w:color w:val="auto"/>
          <w:sz w:val="24"/>
          <w:szCs w:val="24"/>
        </w:rPr>
      </w:pPr>
      <w:r>
        <w:rPr>
          <w:rFonts w:ascii="Times New Roman" w:hAnsi="Times New Roman"/>
          <w:b/>
          <w:noProof/>
          <w:color w:val="auto"/>
          <w:sz w:val="24"/>
        </w:rPr>
        <w:t>Осигуряване на безопасност и борба с омразата срещу ЛГБТИК+ лицата</w:t>
      </w:r>
    </w:p>
    <w:p w14:paraId="6F04C39B" w14:textId="7183C286" w:rsidR="00620433" w:rsidRDefault="00561A2E"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Мотивираните от омраза тормоз и насилие срещу ЛГБТИК+ лицата продължават да се увеличават. В третото проучване на FRA за ЛГБТИК се констатира, че през 2023 г. 55 % от ЛГБТИК респондентите са преживели </w:t>
      </w:r>
      <w:r>
        <w:rPr>
          <w:rFonts w:ascii="Times New Roman" w:hAnsi="Times New Roman"/>
          <w:b/>
          <w:noProof/>
          <w:sz w:val="24"/>
        </w:rPr>
        <w:t>тормоз, мотивиран от омраза</w:t>
      </w:r>
      <w:r>
        <w:rPr>
          <w:rFonts w:ascii="Times New Roman" w:hAnsi="Times New Roman"/>
          <w:noProof/>
          <w:sz w:val="24"/>
        </w:rPr>
        <w:t xml:space="preserve">, през 12-те месеца, предхождащи проучването, което представлява увеличение с 18 процентни пункта спрямо 2019 г. Съобщенията за физически и сексуални нападения също са се увеличили, като транс, небинарните и интерсексуалните лица са непропорционално засегнати. Заинтересованите страни, с които бяха проведени консултации за настоящата стратегия, твърдо подчертаха спешната необходимост от справяне с тези продължаващи предизвикателства. </w:t>
      </w:r>
    </w:p>
    <w:p w14:paraId="56303601" w14:textId="5F0E021D" w:rsidR="00E31A79" w:rsidRPr="004143ED" w:rsidRDefault="00F90683" w:rsidP="00821DE8">
      <w:pPr>
        <w:spacing w:line="276" w:lineRule="auto"/>
        <w:jc w:val="both"/>
        <w:rPr>
          <w:rFonts w:ascii="Times New Roman" w:hAnsi="Times New Roman"/>
          <w:noProof/>
          <w:sz w:val="24"/>
          <w:vertAlign w:val="superscript"/>
        </w:rPr>
      </w:pPr>
      <w:r>
        <w:rPr>
          <w:rFonts w:ascii="Times New Roman" w:hAnsi="Times New Roman"/>
          <w:noProof/>
          <w:sz w:val="24"/>
        </w:rPr>
        <w:t xml:space="preserve">На равнище ЕС действащата правна рамка, предвидена в Рамковото решение на Съвета относно борбата с определени форми и прояви на расизъм и ксенофобия и в </w:t>
      </w:r>
      <w:hyperlink r:id="rId33" w:history="1">
        <w:r>
          <w:rPr>
            <w:rStyle w:val="Hyperlink"/>
            <w:rFonts w:ascii="Times New Roman" w:hAnsi="Times New Roman"/>
            <w:noProof/>
            <w:sz w:val="24"/>
          </w:rPr>
          <w:t>Директивата относно насилието над жени и домашното насилие</w:t>
        </w:r>
      </w:hyperlink>
      <w:r>
        <w:rPr>
          <w:rFonts w:ascii="Times New Roman" w:hAnsi="Times New Roman"/>
          <w:noProof/>
          <w:sz w:val="24"/>
        </w:rPr>
        <w:t>, обхваща съответно само престъпленията от омраза, основани на расистки и ксенофобски подбуди, и подбуждането към насилие или омраза в киберпространството, основани на пола</w:t>
      </w:r>
      <w:r>
        <w:rPr>
          <w:rFonts w:ascii="Times New Roman" w:hAnsi="Times New Roman"/>
          <w:noProof/>
          <w:sz w:val="24"/>
          <w:vertAlign w:val="superscript"/>
        </w:rPr>
        <w:t>(</w:t>
      </w:r>
      <w:r>
        <w:rPr>
          <w:rStyle w:val="FootnoteReference"/>
          <w:rFonts w:ascii="Times New Roman" w:eastAsia="Times New Roman" w:hAnsi="Times New Roman" w:cs="Times New Roman"/>
          <w:noProof/>
          <w:sz w:val="24"/>
          <w:szCs w:val="24"/>
        </w:rPr>
        <w:footnoteReference w:id="15"/>
      </w:r>
      <w:r>
        <w:rPr>
          <w:rFonts w:ascii="Times New Roman" w:hAnsi="Times New Roman"/>
          <w:noProof/>
          <w:sz w:val="24"/>
          <w:vertAlign w:val="superscript"/>
        </w:rPr>
        <w:t>)</w:t>
      </w:r>
      <w:r>
        <w:rPr>
          <w:rFonts w:ascii="Times New Roman" w:hAnsi="Times New Roman"/>
          <w:noProof/>
          <w:sz w:val="24"/>
        </w:rPr>
        <w:t>. Все още няма законодателство, което да осигурява наказателноправна защита срещу престъпления, основани на сексуална ориентация и/или полова идентичност. В резултат на това правната рамка в държавите членки е разпокъсана и непоследователна</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16"/>
      </w:r>
      <w:r>
        <w:rPr>
          <w:rFonts w:ascii="Times New Roman" w:hAnsi="Times New Roman"/>
          <w:noProof/>
          <w:sz w:val="24"/>
          <w:vertAlign w:val="superscript"/>
        </w:rPr>
        <w:t>)</w:t>
      </w:r>
      <w:r>
        <w:rPr>
          <w:rFonts w:ascii="Times New Roman" w:hAnsi="Times New Roman"/>
          <w:noProof/>
          <w:sz w:val="24"/>
        </w:rPr>
        <w:t>.</w:t>
      </w:r>
    </w:p>
    <w:p w14:paraId="094F186C" w14:textId="6AF0CE53" w:rsidR="00AC291F" w:rsidRDefault="00B3000B"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През 2021 г. Комисията предложи Съветът да вземе решение за включване на </w:t>
      </w:r>
      <w:r>
        <w:rPr>
          <w:rFonts w:ascii="Times New Roman" w:hAnsi="Times New Roman"/>
          <w:b/>
          <w:noProof/>
          <w:sz w:val="24"/>
        </w:rPr>
        <w:t>речта на омразата и престъпленията от омраза в списъка на „престъпленията, установени на равнището на ЕС“</w:t>
      </w:r>
      <w:r>
        <w:rPr>
          <w:rFonts w:ascii="Times New Roman" w:hAnsi="Times New Roman"/>
          <w:noProof/>
          <w:sz w:val="24"/>
        </w:rPr>
        <w:t xml:space="preserve"> съгласно член 83, параграф 1 от Договора за функционирането на Европейския съюз (ДФЕС)</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17"/>
      </w:r>
      <w:r>
        <w:rPr>
          <w:rFonts w:ascii="Times New Roman" w:hAnsi="Times New Roman"/>
          <w:noProof/>
          <w:sz w:val="24"/>
          <w:vertAlign w:val="superscript"/>
        </w:rPr>
        <w:t>)</w:t>
      </w:r>
      <w:r>
        <w:rPr>
          <w:rFonts w:ascii="Times New Roman" w:hAnsi="Times New Roman"/>
          <w:noProof/>
          <w:sz w:val="24"/>
        </w:rPr>
        <w:t>. Такова решение на Съвета ще предостави правното основание за вторично законодателство, което хармонизира наказателноправните определения на престъпленията от омраза на основания, които понастоящем не са предвидени в съответното право на ЕС.</w:t>
      </w:r>
    </w:p>
    <w:p w14:paraId="05AF8E8D" w14:textId="754E4FE6" w:rsidR="00D4651F" w:rsidRPr="00D51260" w:rsidRDefault="00D92111" w:rsidP="00821DE8">
      <w:pPr>
        <w:spacing w:line="276" w:lineRule="auto"/>
        <w:jc w:val="both"/>
        <w:rPr>
          <w:rFonts w:ascii="Times New Roman" w:hAnsi="Times New Roman"/>
          <w:noProof/>
          <w:sz w:val="24"/>
        </w:rPr>
      </w:pPr>
      <w:r>
        <w:rPr>
          <w:rFonts w:ascii="Times New Roman" w:hAnsi="Times New Roman"/>
          <w:noProof/>
          <w:sz w:val="24"/>
        </w:rPr>
        <w:t xml:space="preserve">Предвид липсата на напредък по такова решение на Съвета, Комисията обмисля </w:t>
      </w:r>
      <w:r>
        <w:rPr>
          <w:rFonts w:ascii="Times New Roman" w:hAnsi="Times New Roman"/>
          <w:b/>
          <w:noProof/>
          <w:sz w:val="24"/>
        </w:rPr>
        <w:t>законодателна инициатива</w:t>
      </w:r>
      <w:r>
        <w:rPr>
          <w:rFonts w:ascii="Times New Roman" w:hAnsi="Times New Roman"/>
          <w:noProof/>
          <w:sz w:val="24"/>
        </w:rPr>
        <w:t xml:space="preserve">, основана на съществуващите области на престъпност, обхванати от член 83, параграф 1 от ДФЕС </w:t>
      </w:r>
      <w:r>
        <w:rPr>
          <w:rFonts w:ascii="Times New Roman" w:hAnsi="Times New Roman"/>
          <w:b/>
          <w:noProof/>
          <w:sz w:val="24"/>
        </w:rPr>
        <w:t>за хармонизиране на определението за престъпления от омраза, извършени онлайн</w:t>
      </w:r>
      <w:r>
        <w:rPr>
          <w:rFonts w:ascii="Times New Roman" w:hAnsi="Times New Roman"/>
          <w:noProof/>
          <w:sz w:val="24"/>
        </w:rPr>
        <w:t xml:space="preserve">. Изчерпателно определение на престъпленията от омраза на равнище ЕС беше и една от ключовите препоръки, приети от участниците в състоялия се през 2024 г. </w:t>
      </w:r>
      <w:hyperlink r:id="rId34" w:history="1">
        <w:r>
          <w:rPr>
            <w:rStyle w:val="Hyperlink"/>
            <w:rFonts w:ascii="Times New Roman" w:hAnsi="Times New Roman"/>
            <w:noProof/>
            <w:sz w:val="24"/>
          </w:rPr>
          <w:t>Европейски граждански панел относно справянето с омразата в обществото</w:t>
        </w:r>
      </w:hyperlink>
      <w:r>
        <w:rPr>
          <w:rFonts w:ascii="Times New Roman" w:hAnsi="Times New Roman"/>
          <w:noProof/>
          <w:sz w:val="24"/>
        </w:rPr>
        <w:t>. Комисията е решена да изпълни тези препоръки.</w:t>
      </w:r>
    </w:p>
    <w:p w14:paraId="36041ACF" w14:textId="7F71788A" w:rsidR="00AC291F" w:rsidRDefault="0058382E"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За да помогне на практикуващите специалисти в областта на правоприлагането и правосъдието да идентифицират ЛГБТИК+ фобията в престъпленията, , които се квалифицират като престъпления от омраза, Комисията ще продължи да работи с държавите членки за </w:t>
      </w:r>
      <w:r>
        <w:rPr>
          <w:rFonts w:ascii="Times New Roman" w:hAnsi="Times New Roman"/>
          <w:b/>
          <w:noProof/>
          <w:sz w:val="24"/>
        </w:rPr>
        <w:t>подобряване на регистрирането на престъпления от омраза и подкрепата за жертвите</w:t>
      </w:r>
      <w:r>
        <w:rPr>
          <w:rFonts w:ascii="Times New Roman" w:hAnsi="Times New Roman"/>
          <w:noProof/>
          <w:sz w:val="24"/>
        </w:rPr>
        <w:t xml:space="preserve"> в рамките на </w:t>
      </w:r>
      <w:hyperlink r:id="rId35" w:anchor="the-high-level-group-on-combating-hate-speech-and-hate-crime" w:history="1">
        <w:r>
          <w:rPr>
            <w:rStyle w:val="Hyperlink"/>
            <w:rFonts w:ascii="Times New Roman" w:hAnsi="Times New Roman"/>
            <w:b/>
            <w:noProof/>
            <w:sz w:val="24"/>
          </w:rPr>
          <w:t>Групата на високо равнище за борба с речта на омразата и престъпленията от омраза</w:t>
        </w:r>
      </w:hyperlink>
      <w:r>
        <w:rPr>
          <w:rFonts w:ascii="Times New Roman" w:hAnsi="Times New Roman"/>
          <w:noProof/>
          <w:sz w:val="24"/>
        </w:rPr>
        <w:t xml:space="preserve"> на Комисията. Това усилие ще бъде осъществено в сътрудничество с агенции на ЕС и международни организации (например FRA, Съвета на Европа и БДИПЧ</w:t>
      </w:r>
      <w:r>
        <w:rPr>
          <w:rFonts w:ascii="Times New Roman" w:hAnsi="Times New Roman"/>
          <w:noProof/>
          <w:sz w:val="24"/>
          <w:vertAlign w:val="superscript"/>
        </w:rPr>
        <w:t>(</w:t>
      </w:r>
      <w:r>
        <w:rPr>
          <w:rStyle w:val="FootnoteReference"/>
          <w:rFonts w:ascii="Times New Roman" w:hAnsi="Times New Roman" w:cs="Times New Roman"/>
          <w:noProof/>
          <w:sz w:val="24"/>
          <w:szCs w:val="24"/>
          <w:lang w:val="en-IE"/>
        </w:rPr>
        <w:footnoteReference w:id="18"/>
      </w:r>
      <w:r>
        <w:rPr>
          <w:rFonts w:ascii="Times New Roman" w:hAnsi="Times New Roman"/>
          <w:noProof/>
          <w:sz w:val="24"/>
          <w:vertAlign w:val="superscript"/>
        </w:rPr>
        <w:t>)</w:t>
      </w:r>
      <w:r>
        <w:rPr>
          <w:rFonts w:ascii="Times New Roman" w:hAnsi="Times New Roman"/>
          <w:noProof/>
          <w:sz w:val="24"/>
        </w:rPr>
        <w:t xml:space="preserve">). Комисията също така ще продължи да подкрепя </w:t>
      </w:r>
      <w:r>
        <w:rPr>
          <w:rFonts w:ascii="Times New Roman" w:hAnsi="Times New Roman"/>
          <w:b/>
          <w:noProof/>
          <w:sz w:val="24"/>
        </w:rPr>
        <w:t xml:space="preserve">обучението на полицейските органи </w:t>
      </w:r>
      <w:r>
        <w:rPr>
          <w:rFonts w:ascii="Times New Roman" w:hAnsi="Times New Roman"/>
          <w:noProof/>
          <w:sz w:val="24"/>
        </w:rPr>
        <w:t>във връзка с ЛГБТИК+-фобията при престъпления от омраза и във връзка с недискриминацията</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19"/>
      </w:r>
      <w:r>
        <w:rPr>
          <w:rFonts w:ascii="Times New Roman" w:hAnsi="Times New Roman"/>
          <w:noProof/>
          <w:sz w:val="24"/>
          <w:vertAlign w:val="superscript"/>
        </w:rPr>
        <w:t>)</w:t>
      </w:r>
      <w:r>
        <w:rPr>
          <w:rFonts w:ascii="Times New Roman" w:hAnsi="Times New Roman"/>
          <w:noProof/>
          <w:sz w:val="24"/>
        </w:rPr>
        <w:t>.</w:t>
      </w:r>
    </w:p>
    <w:p w14:paraId="0229B0E5" w14:textId="05DF2D35" w:rsidR="00620433" w:rsidRPr="00D51260" w:rsidRDefault="00941D25" w:rsidP="00821DE8">
      <w:pPr>
        <w:spacing w:line="276" w:lineRule="auto"/>
        <w:jc w:val="both"/>
        <w:rPr>
          <w:rFonts w:ascii="Times New Roman" w:hAnsi="Times New Roman"/>
          <w:noProof/>
          <w:sz w:val="24"/>
        </w:rPr>
      </w:pPr>
      <w:r>
        <w:rPr>
          <w:rFonts w:ascii="Times New Roman" w:hAnsi="Times New Roman"/>
          <w:noProof/>
          <w:sz w:val="24"/>
        </w:rPr>
        <w:t xml:space="preserve">Освен това Комисията продължава да </w:t>
      </w:r>
      <w:r>
        <w:rPr>
          <w:rFonts w:ascii="Times New Roman" w:hAnsi="Times New Roman"/>
          <w:b/>
          <w:noProof/>
          <w:sz w:val="24"/>
        </w:rPr>
        <w:t>подкрепя организациите на гражданското общество</w:t>
      </w:r>
      <w:r>
        <w:rPr>
          <w:rFonts w:ascii="Times New Roman" w:hAnsi="Times New Roman"/>
          <w:noProof/>
          <w:sz w:val="24"/>
        </w:rPr>
        <w:t xml:space="preserve"> и проектите, които се борят с омразата и дискриминацията, основана на ЛГБТИК+ фобия, чрез съответните инструменти за финансиране на ЕС. Тези инструменти включват програмата „Граждани, равенство, права и ценности“ (CERV) в хода на настоящата многогодишна финансова рамка, </w:t>
      </w:r>
      <w:bookmarkStart w:id="6" w:name="_Hlk209683929"/>
      <w:r>
        <w:rPr>
          <w:rFonts w:ascii="Times New Roman" w:hAnsi="Times New Roman"/>
          <w:noProof/>
          <w:sz w:val="24"/>
        </w:rPr>
        <w:t xml:space="preserve">която следва да бъде последвана от предложената </w:t>
      </w:r>
      <w:hyperlink r:id="rId36" w:history="1">
        <w:r>
          <w:rPr>
            <w:rStyle w:val="Hyperlink"/>
            <w:rFonts w:ascii="Times New Roman" w:hAnsi="Times New Roman"/>
            <w:noProof/>
            <w:sz w:val="24"/>
          </w:rPr>
          <w:t>програма „АгораЕС“</w:t>
        </w:r>
      </w:hyperlink>
      <w:r>
        <w:rPr>
          <w:rFonts w:ascii="Times New Roman" w:hAnsi="Times New Roman"/>
          <w:noProof/>
          <w:sz w:val="24"/>
        </w:rPr>
        <w:t>, за която понастоящем тече законодателен процес, за следващата многогодишна финансова рамка.</w:t>
      </w:r>
      <w:bookmarkEnd w:id="6"/>
    </w:p>
    <w:p w14:paraId="5DE40FB1" w14:textId="6629CEF5" w:rsidR="00E864D3" w:rsidRPr="00E83524" w:rsidRDefault="001F4884" w:rsidP="00821DE8">
      <w:pPr>
        <w:spacing w:after="240" w:line="276" w:lineRule="auto"/>
        <w:jc w:val="both"/>
        <w:rPr>
          <w:rFonts w:ascii="Times New Roman" w:hAnsi="Times New Roman"/>
          <w:noProof/>
          <w:sz w:val="24"/>
        </w:rPr>
      </w:pPr>
      <w:r>
        <w:rPr>
          <w:rFonts w:ascii="Times New Roman" w:hAnsi="Times New Roman"/>
          <w:noProof/>
          <w:sz w:val="24"/>
        </w:rPr>
        <w:t xml:space="preserve">Комисията ще продължи да насърчава създаването на безопасна среда за ЛГБТИК+ жертвите да съобщават за престъпления чрез следващата </w:t>
      </w:r>
      <w:r>
        <w:rPr>
          <w:rFonts w:ascii="Times New Roman" w:hAnsi="Times New Roman"/>
          <w:b/>
          <w:noProof/>
          <w:sz w:val="24"/>
        </w:rPr>
        <w:t>Стратегията на ЕС за правата на жертвите</w:t>
      </w:r>
      <w:r>
        <w:rPr>
          <w:rFonts w:ascii="Times New Roman" w:hAnsi="Times New Roman"/>
          <w:noProof/>
          <w:sz w:val="24"/>
        </w:rPr>
        <w:t xml:space="preserve">. Комисията също така подкрепя Парламента и Съвета при приемането на преработената </w:t>
      </w:r>
      <w:hyperlink r:id="rId37" w:history="1">
        <w:r>
          <w:rPr>
            <w:rStyle w:val="Hyperlink"/>
            <w:rFonts w:ascii="Times New Roman" w:hAnsi="Times New Roman"/>
            <w:b/>
            <w:noProof/>
            <w:sz w:val="24"/>
          </w:rPr>
          <w:t>Директива за правата на жертвите</w:t>
        </w:r>
      </w:hyperlink>
      <w:r>
        <w:rPr>
          <w:rFonts w:ascii="Times New Roman" w:hAnsi="Times New Roman"/>
          <w:noProof/>
          <w:sz w:val="24"/>
        </w:rPr>
        <w:t>, която има за цел да укрепи правата на всички жертви на престъпления, включително на престъпленията от омраза на основата на ЛГБТИК+ фобия.</w:t>
      </w:r>
    </w:p>
    <w:p w14:paraId="0FE4D9B6" w14:textId="7149A9F8" w:rsidR="00D46E7E" w:rsidRPr="00E83524" w:rsidRDefault="7C6A65A2" w:rsidP="00821DE8">
      <w:pPr>
        <w:spacing w:line="276" w:lineRule="auto"/>
        <w:jc w:val="both"/>
        <w:rPr>
          <w:rFonts w:ascii="Times New Roman" w:hAnsi="Times New Roman"/>
          <w:noProof/>
          <w:sz w:val="24"/>
        </w:rPr>
      </w:pPr>
      <w:r>
        <w:rPr>
          <w:rFonts w:ascii="Times New Roman" w:hAnsi="Times New Roman"/>
          <w:noProof/>
          <w:sz w:val="24"/>
        </w:rPr>
        <w:t xml:space="preserve">За да гарантира правилното и ефективно прилагане на правото на ЕС в областта на недискриминацията и основните права, Комисията ще подкрепя активно съдебното обучение по тази тема като част от своята </w:t>
      </w:r>
      <w:r>
        <w:rPr>
          <w:rFonts w:ascii="Times New Roman" w:hAnsi="Times New Roman"/>
          <w:b/>
          <w:noProof/>
          <w:sz w:val="24"/>
        </w:rPr>
        <w:t>стратегия за съдебно обучение за периода 2025—2030 г.</w:t>
      </w:r>
      <w:r>
        <w:rPr>
          <w:rFonts w:ascii="Times New Roman" w:hAnsi="Times New Roman"/>
          <w:noProof/>
          <w:sz w:val="24"/>
        </w:rPr>
        <w:t xml:space="preserve"> Освен това Комисията предоставя финансиране чрез </w:t>
      </w:r>
      <w:r>
        <w:rPr>
          <w:rFonts w:ascii="Times New Roman" w:hAnsi="Times New Roman"/>
          <w:b/>
          <w:noProof/>
          <w:sz w:val="24"/>
        </w:rPr>
        <w:t>програма „Правосъдие“</w:t>
      </w:r>
      <w:r>
        <w:rPr>
          <w:rFonts w:ascii="Times New Roman" w:hAnsi="Times New Roman"/>
          <w:noProof/>
          <w:sz w:val="24"/>
        </w:rPr>
        <w:t xml:space="preserve">, която има за цел да улесни ефективния и недискриминационен достъп до правосъдие за всички. Това включва насърчаване на ефективни граждански и наказателни производства чрез допринасяне за последователното и съгласувано прилагане на правото на Съюза, както и чрез утвърждаване и подкрепа на правата на жертвите на престъпления в съответствие с приоритетите, определени в </w:t>
      </w:r>
      <w:hyperlink r:id="rId38" w:history="1">
        <w:r>
          <w:rPr>
            <w:rStyle w:val="Hyperlink"/>
            <w:rFonts w:ascii="Times New Roman" w:hAnsi="Times New Roman"/>
            <w:noProof/>
            <w:sz w:val="24"/>
          </w:rPr>
          <w:t>Стратегията на ЕС за правата на жертвите</w:t>
        </w:r>
      </w:hyperlink>
      <w:r>
        <w:rPr>
          <w:rFonts w:ascii="Times New Roman" w:hAnsi="Times New Roman"/>
          <w:noProof/>
          <w:sz w:val="24"/>
        </w:rPr>
        <w:t xml:space="preserve"> за периода 2020—2025 г.</w:t>
      </w:r>
      <w:bookmarkStart w:id="7" w:name="_Hlk158018403"/>
    </w:p>
    <w:bookmarkEnd w:id="7"/>
    <w:p w14:paraId="40045612" w14:textId="207A3ED1" w:rsidR="00AC291F" w:rsidRDefault="00BD6BCC" w:rsidP="00821DE8">
      <w:pPr>
        <w:spacing w:line="276"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t xml:space="preserve">В </w:t>
      </w:r>
      <w:r>
        <w:rPr>
          <w:rFonts w:ascii="Times New Roman" w:hAnsi="Times New Roman"/>
          <w:b/>
          <w:noProof/>
          <w:sz w:val="24"/>
        </w:rPr>
        <w:t>Директивата относно борба с насилието над жени и домашното насилие</w:t>
      </w:r>
      <w:r>
        <w:rPr>
          <w:rFonts w:ascii="Times New Roman" w:hAnsi="Times New Roman"/>
          <w:noProof/>
          <w:sz w:val="24"/>
        </w:rPr>
        <w:t xml:space="preserve"> се признава, че лицата, засегнати от интерсекционална дискриминация, включително ЛГБТИ, са изложени на по-голям риск от насилие, основано на пола, и се изисква от държавите членки да предприемат превантивни мерки и да предоставят специална подкрепа на тези жертви. Освен това извършването на престъпление с цел наказване на жертвата заради нейната сексуална ориентация се квалифицира като отегчаващо обстоятелство.</w:t>
      </w:r>
    </w:p>
    <w:p w14:paraId="49047568" w14:textId="37AE97DA" w:rsidR="00740F2B" w:rsidRPr="00EF6AC5" w:rsidRDefault="00787727"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Като съдейства на държавите членки за правилното транспониране на директивата, Комисията ще обърне специално внимание на предизвикателствата, пред които са изправени жертвите на интерсекционална дискриминация, включително ЛГБТИ жертвите . Комисията ще улесни обмена на добри практики между държавите членки по тази тема чрез </w:t>
      </w:r>
      <w:r>
        <w:rPr>
          <w:rFonts w:ascii="Times New Roman" w:hAnsi="Times New Roman"/>
          <w:b/>
          <w:noProof/>
          <w:sz w:val="24"/>
        </w:rPr>
        <w:t>Мрежата на ЕС за превенция на насилието над жени и домашното насилие</w:t>
      </w:r>
      <w:r>
        <w:rPr>
          <w:rFonts w:ascii="Times New Roman" w:hAnsi="Times New Roman"/>
          <w:noProof/>
          <w:sz w:val="24"/>
        </w:rPr>
        <w:t xml:space="preserve">. </w:t>
      </w:r>
    </w:p>
    <w:p w14:paraId="1CE03F41" w14:textId="2D1AA73E" w:rsidR="006174D0" w:rsidRPr="00EF6AC5" w:rsidRDefault="006174D0" w:rsidP="006174D0">
      <w:pPr>
        <w:spacing w:line="276" w:lineRule="auto"/>
        <w:jc w:val="both"/>
        <w:rPr>
          <w:rFonts w:ascii="Times New Roman" w:hAnsi="Times New Roman" w:cs="Times New Roman"/>
          <w:noProof/>
          <w:sz w:val="24"/>
          <w:szCs w:val="24"/>
        </w:rPr>
      </w:pPr>
      <w:r>
        <w:rPr>
          <w:rFonts w:ascii="Times New Roman" w:hAnsi="Times New Roman"/>
          <w:noProof/>
          <w:sz w:val="24"/>
        </w:rPr>
        <w:t>В областта на научните изследвания и иновациите Комисията, в сътрудничество с държавите членки</w:t>
      </w:r>
      <w:r>
        <w:rPr>
          <w:rFonts w:ascii="Times New Roman" w:hAnsi="Times New Roman"/>
          <w:noProof/>
          <w:sz w:val="24"/>
          <w:vertAlign w:val="superscript"/>
        </w:rPr>
        <w:t>(</w:t>
      </w:r>
      <w:r>
        <w:rPr>
          <w:rStyle w:val="FootnoteReference"/>
          <w:rFonts w:ascii="Times New Roman" w:hAnsi="Times New Roman"/>
          <w:noProof/>
          <w:sz w:val="24"/>
        </w:rPr>
        <w:footnoteReference w:id="20"/>
      </w:r>
      <w:r>
        <w:rPr>
          <w:rFonts w:ascii="Times New Roman" w:hAnsi="Times New Roman"/>
          <w:noProof/>
          <w:sz w:val="24"/>
          <w:vertAlign w:val="superscript"/>
        </w:rPr>
        <w:t>)</w:t>
      </w:r>
      <w:r>
        <w:rPr>
          <w:rFonts w:ascii="Times New Roman" w:hAnsi="Times New Roman"/>
          <w:noProof/>
          <w:sz w:val="24"/>
        </w:rPr>
        <w:t xml:space="preserve">, ще подкрепи прилагането на </w:t>
      </w:r>
      <w:hyperlink r:id="rId39" w:history="1">
        <w:r>
          <w:rPr>
            <w:rStyle w:val="Hyperlink"/>
            <w:rFonts w:ascii="Times New Roman" w:hAnsi="Times New Roman"/>
            <w:noProof/>
            <w:sz w:val="24"/>
          </w:rPr>
          <w:t>Кодекса на поведение за противодействие на насилието, основано на пола, в областта на научните изследвания и иновациите,</w:t>
        </w:r>
      </w:hyperlink>
      <w:r>
        <w:rPr>
          <w:rFonts w:ascii="Times New Roman" w:hAnsi="Times New Roman"/>
          <w:noProof/>
          <w:sz w:val="24"/>
        </w:rPr>
        <w:t xml:space="preserve"> разработен като част от </w:t>
      </w:r>
      <w:r>
        <w:rPr>
          <w:rFonts w:ascii="Times New Roman" w:hAnsi="Times New Roman"/>
          <w:b/>
          <w:noProof/>
          <w:sz w:val="24"/>
        </w:rPr>
        <w:t>програмата за политиката на европейското научноизследователско пространство (ЕНП) за периода 2022—2024 г.</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21"/>
      </w:r>
      <w:r>
        <w:rPr>
          <w:rFonts w:ascii="Times New Roman" w:hAnsi="Times New Roman"/>
          <w:noProof/>
          <w:sz w:val="24"/>
          <w:vertAlign w:val="superscript"/>
        </w:rPr>
        <w:t>)</w:t>
      </w:r>
      <w:r>
        <w:rPr>
          <w:rFonts w:ascii="Times New Roman" w:hAnsi="Times New Roman"/>
          <w:noProof/>
          <w:sz w:val="24"/>
        </w:rPr>
        <w:t xml:space="preserve">, който включва интерсекционален подход. Комисията ще финансира и научни изследвания в рамките на </w:t>
      </w:r>
      <w:hyperlink r:id="rId40" w:history="1">
        <w:r>
          <w:rPr>
            <w:rStyle w:val="Hyperlink"/>
            <w:rFonts w:ascii="Times New Roman" w:hAnsi="Times New Roman"/>
            <w:b/>
            <w:noProof/>
            <w:sz w:val="24"/>
          </w:rPr>
          <w:t>„Хоризонт Европа“</w:t>
        </w:r>
      </w:hyperlink>
      <w:r>
        <w:rPr>
          <w:rFonts w:ascii="Times New Roman" w:hAnsi="Times New Roman"/>
          <w:noProof/>
        </w:rPr>
        <w:t xml:space="preserve"> </w:t>
      </w:r>
      <w:r>
        <w:rPr>
          <w:rFonts w:ascii="Times New Roman" w:hAnsi="Times New Roman"/>
          <w:noProof/>
          <w:sz w:val="24"/>
        </w:rPr>
        <w:t xml:space="preserve">относно дезинформацията, насилието, основано на пола, престъпленията от омраза и речта на омразата, като вземе предвид специфичните нужди на хората в уязвимо положение, какъвто може да бъде случаят с ЛГБТИК+ лицата. Както подчерта председателят Фон дер Лайен в изявлението си относно състоянието на Съюза през 2025 г., „науката няма паспорт, пол, етническа принадлежност или политически цвят“ — принцип, който заема централно място в инициативата </w:t>
      </w:r>
      <w:hyperlink r:id="rId41" w:history="1">
        <w:r>
          <w:rPr>
            <w:rStyle w:val="Hyperlink"/>
            <w:rFonts w:ascii="Times New Roman" w:hAnsi="Times New Roman"/>
            <w:noProof/>
            <w:sz w:val="24"/>
          </w:rPr>
          <w:t>„Изберете Европа“</w:t>
        </w:r>
      </w:hyperlink>
      <w:r>
        <w:rPr>
          <w:rFonts w:ascii="Times New Roman" w:hAnsi="Times New Roman"/>
          <w:noProof/>
          <w:sz w:val="24"/>
        </w:rPr>
        <w:t>.</w:t>
      </w:r>
    </w:p>
    <w:p w14:paraId="270FCDA6" w14:textId="585C15B3" w:rsidR="00AC291F" w:rsidRDefault="006870AE" w:rsidP="00821DE8">
      <w:pPr>
        <w:spacing w:line="276" w:lineRule="auto"/>
        <w:jc w:val="both"/>
        <w:rPr>
          <w:rFonts w:ascii="Times New Roman" w:hAnsi="Times New Roman" w:cs="Times New Roman"/>
          <w:noProof/>
          <w:sz w:val="24"/>
          <w:szCs w:val="24"/>
        </w:rPr>
      </w:pPr>
      <w:r>
        <w:rPr>
          <w:rFonts w:ascii="Times New Roman" w:hAnsi="Times New Roman"/>
          <w:noProof/>
          <w:sz w:val="24"/>
        </w:rPr>
        <w:t>ЛГБТИК+ младежите</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22"/>
      </w:r>
      <w:r>
        <w:rPr>
          <w:rFonts w:ascii="Times New Roman" w:hAnsi="Times New Roman"/>
          <w:noProof/>
          <w:sz w:val="24"/>
          <w:vertAlign w:val="superscript"/>
        </w:rPr>
        <w:t>)</w:t>
      </w:r>
      <w:r>
        <w:rPr>
          <w:rFonts w:ascii="Times New Roman" w:hAnsi="Times New Roman"/>
          <w:noProof/>
          <w:sz w:val="24"/>
        </w:rPr>
        <w:t xml:space="preserve"> често се сблъскват с множество форми на дискриминация, предразсъдъци, престъпления от омраза и са особено уязвими към сексуално насилие</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23"/>
      </w:r>
      <w:r>
        <w:rPr>
          <w:rFonts w:ascii="Times New Roman" w:hAnsi="Times New Roman"/>
          <w:noProof/>
          <w:sz w:val="24"/>
          <w:vertAlign w:val="superscript"/>
        </w:rPr>
        <w:t>)</w:t>
      </w:r>
      <w:r>
        <w:rPr>
          <w:rFonts w:ascii="Times New Roman" w:hAnsi="Times New Roman"/>
          <w:noProof/>
          <w:sz w:val="24"/>
        </w:rPr>
        <w:t>. За да защити всички деца</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24"/>
      </w:r>
      <w:r>
        <w:rPr>
          <w:rFonts w:ascii="Times New Roman" w:hAnsi="Times New Roman"/>
          <w:noProof/>
          <w:sz w:val="24"/>
          <w:vertAlign w:val="superscript"/>
        </w:rPr>
        <w:t>)</w:t>
      </w:r>
      <w:r>
        <w:rPr>
          <w:rFonts w:ascii="Times New Roman" w:hAnsi="Times New Roman"/>
          <w:noProof/>
          <w:sz w:val="24"/>
        </w:rPr>
        <w:t xml:space="preserve"> от сексуално насилие над деца, Комисията ще подкрепи съзаконодателите при приемането на </w:t>
      </w:r>
      <w:r>
        <w:rPr>
          <w:rFonts w:ascii="Times New Roman" w:hAnsi="Times New Roman"/>
          <w:b/>
          <w:noProof/>
          <w:sz w:val="24"/>
        </w:rPr>
        <w:t>двете законодателни предложения</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25"/>
      </w:r>
      <w:r>
        <w:rPr>
          <w:rFonts w:ascii="Times New Roman" w:hAnsi="Times New Roman"/>
          <w:noProof/>
          <w:sz w:val="24"/>
          <w:vertAlign w:val="superscript"/>
        </w:rPr>
        <w:t>)</w:t>
      </w:r>
      <w:r>
        <w:rPr>
          <w:rFonts w:ascii="Times New Roman" w:hAnsi="Times New Roman"/>
          <w:noProof/>
          <w:sz w:val="24"/>
        </w:rPr>
        <w:t>.</w:t>
      </w:r>
    </w:p>
    <w:p w14:paraId="26319704" w14:textId="6C03A7AB" w:rsidR="00DC6DA0" w:rsidRPr="00AC5496" w:rsidRDefault="00AC291F"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Освен това </w:t>
      </w:r>
      <w:hyperlink r:id="rId42" w:history="1">
        <w:r>
          <w:rPr>
            <w:rStyle w:val="Hyperlink"/>
            <w:rFonts w:ascii="Times New Roman" w:hAnsi="Times New Roman"/>
            <w:noProof/>
            <w:sz w:val="24"/>
          </w:rPr>
          <w:t>Препоръката на Комисията относно интегрираните системи за закрила на детето</w:t>
        </w:r>
      </w:hyperlink>
      <w:r>
        <w:rPr>
          <w:rFonts w:ascii="Times New Roman" w:hAnsi="Times New Roman"/>
          <w:noProof/>
          <w:sz w:val="24"/>
        </w:rPr>
        <w:t xml:space="preserve"> засилва ангажимента на ЕС за нулева толерантност към насилието. Тя насърчава държавите членки да гарантират, че всички деца, в цялото им многообразие, могат да се ползват с еднакви права на достъп до закрила и да се възползват от нея на равни начала на цялата им територия. Всички деца следва да са защитени, подкрепени и овластени чрез насърчаването на приобщаващи, координирани и системни подходи в рамките на националните системи за закрила на детето и реагирането на специфичните уязвимости. </w:t>
      </w:r>
    </w:p>
    <w:p w14:paraId="0FE2BB5E" w14:textId="3F2A510D" w:rsidR="00AC291F" w:rsidRPr="00466EE3" w:rsidRDefault="00E006B9" w:rsidP="00821DE8">
      <w:pPr>
        <w:spacing w:line="276" w:lineRule="auto"/>
        <w:jc w:val="both"/>
        <w:rPr>
          <w:rFonts w:ascii="Times New Roman" w:hAnsi="Times New Roman" w:cs="Times New Roman"/>
          <w:noProof/>
          <w:sz w:val="24"/>
          <w:szCs w:val="24"/>
        </w:rPr>
      </w:pPr>
      <w:r>
        <w:rPr>
          <w:rFonts w:ascii="Times New Roman" w:hAnsi="Times New Roman"/>
          <w:b/>
          <w:noProof/>
          <w:sz w:val="24"/>
        </w:rPr>
        <w:t>Правото на мирни събрания</w:t>
      </w:r>
      <w:r>
        <w:rPr>
          <w:rFonts w:ascii="Times New Roman" w:hAnsi="Times New Roman"/>
          <w:noProof/>
          <w:sz w:val="24"/>
        </w:rPr>
        <w:t xml:space="preserve"> е залегнало в Хартата на основните права и в рамките на своите компетенции Комисията е решена да го защитава и спазва по всяко време. Макар че прайд шествията и други събития в общността са знакови прояви на видимост и идентичност за ЛГБТИК+ лицата в цяла Европа, в някои държави — членки на ЕС, опитите да се ограничи упражняването на това право предизвикват сериозна загриженост. Атаките с упражняване на насилие и тормозът срещу участниците също продължават да будят тревога в няколко държави членки</w:t>
      </w:r>
      <w:r>
        <w:rPr>
          <w:rFonts w:ascii="Times New Roman" w:hAnsi="Times New Roman"/>
          <w:noProof/>
          <w:sz w:val="24"/>
          <w:vertAlign w:val="superscript"/>
        </w:rPr>
        <w:t>(</w:t>
      </w:r>
      <w:r>
        <w:rPr>
          <w:rStyle w:val="FootnoteReference"/>
          <w:rFonts w:ascii="Times New Roman" w:hAnsi="Times New Roman" w:cs="Times New Roman"/>
          <w:noProof/>
          <w:sz w:val="24"/>
          <w:szCs w:val="24"/>
          <w:lang w:val="en-IE"/>
        </w:rPr>
        <w:footnoteReference w:id="26"/>
      </w:r>
      <w:r>
        <w:rPr>
          <w:rFonts w:ascii="Times New Roman" w:hAnsi="Times New Roman"/>
          <w:noProof/>
          <w:sz w:val="24"/>
          <w:vertAlign w:val="superscript"/>
        </w:rPr>
        <w:t>)</w:t>
      </w:r>
      <w:r>
        <w:rPr>
          <w:rFonts w:ascii="Times New Roman" w:hAnsi="Times New Roman"/>
          <w:noProof/>
          <w:sz w:val="24"/>
        </w:rPr>
        <w:t xml:space="preserve">, като подкопават както безопасността, така и способността им да се изразяват свободно на обществени места. </w:t>
      </w:r>
    </w:p>
    <w:p w14:paraId="62DDCC48" w14:textId="1C5A023E" w:rsidR="001F72D2" w:rsidRPr="00762C65" w:rsidRDefault="001F72D2" w:rsidP="00821DE8">
      <w:pPr>
        <w:spacing w:line="276" w:lineRule="auto"/>
        <w:jc w:val="both"/>
        <w:rPr>
          <w:rFonts w:ascii="Times New Roman" w:hAnsi="Times New Roman"/>
          <w:noProof/>
          <w:sz w:val="24"/>
        </w:rPr>
      </w:pPr>
      <w:r>
        <w:rPr>
          <w:rFonts w:ascii="Times New Roman" w:hAnsi="Times New Roman"/>
          <w:noProof/>
          <w:sz w:val="24"/>
        </w:rPr>
        <w:t>Като част от съобщението от 2025 г. „</w:t>
      </w:r>
      <w:hyperlink r:id="rId43" w:history="1">
        <w:r>
          <w:rPr>
            <w:rStyle w:val="Hyperlink"/>
            <w:rFonts w:ascii="Times New Roman" w:hAnsi="Times New Roman"/>
            <w:b/>
            <w:noProof/>
            <w:sz w:val="24"/>
          </w:rPr>
          <w:t>ProtectEU:</w:t>
        </w:r>
      </w:hyperlink>
      <w:hyperlink r:id="rId44" w:history="1">
        <w:r>
          <w:rPr>
            <w:rStyle w:val="Hyperlink"/>
            <w:rFonts w:ascii="Times New Roman" w:hAnsi="Times New Roman"/>
            <w:noProof/>
            <w:sz w:val="24"/>
          </w:rPr>
          <w:t xml:space="preserve"> </w:t>
        </w:r>
        <w:r>
          <w:rPr>
            <w:rStyle w:val="Hyperlink"/>
            <w:rFonts w:ascii="Times New Roman" w:hAnsi="Times New Roman"/>
            <w:b/>
            <w:bCs/>
            <w:noProof/>
            <w:sz w:val="24"/>
          </w:rPr>
          <w:t>е</w:t>
        </w:r>
        <w:r>
          <w:rPr>
            <w:rStyle w:val="Hyperlink"/>
            <w:rFonts w:ascii="Times New Roman" w:hAnsi="Times New Roman"/>
            <w:b/>
            <w:noProof/>
            <w:sz w:val="24"/>
          </w:rPr>
          <w:t>вропейска</w:t>
        </w:r>
        <w:r>
          <w:rPr>
            <w:rStyle w:val="Hyperlink"/>
            <w:rFonts w:ascii="Times New Roman" w:hAnsi="Times New Roman"/>
            <w:noProof/>
            <w:sz w:val="24"/>
          </w:rPr>
          <w:t xml:space="preserve"> </w:t>
        </w:r>
        <w:r>
          <w:rPr>
            <w:rStyle w:val="Hyperlink"/>
            <w:rFonts w:ascii="Times New Roman" w:hAnsi="Times New Roman"/>
            <w:b/>
            <w:noProof/>
            <w:sz w:val="24"/>
          </w:rPr>
          <w:t>стратегия за вътрешна сигурност</w:t>
        </w:r>
      </w:hyperlink>
      <w:r>
        <w:rPr>
          <w:rFonts w:ascii="Times New Roman" w:hAnsi="Times New Roman"/>
          <w:noProof/>
          <w:sz w:val="24"/>
        </w:rPr>
        <w:t xml:space="preserve">“, която помага на държавите членки да гарантират сигурността на гражданите, ще бъде засилена консултативната програма на ЕС за защита на сигурността. Тази програма ще извършва оценки на уязвимостта на високорискови събития, включително прайд шествия, по искане на държавите членки и ще се финансира от фонд „Вътрешна сигурност“. Комисията ще се занимае с екстремизма, основан на ЛГБТИК+ фобия, в предстоящата </w:t>
      </w:r>
      <w:r>
        <w:rPr>
          <w:rFonts w:ascii="Times New Roman" w:hAnsi="Times New Roman"/>
          <w:b/>
          <w:noProof/>
          <w:sz w:val="24"/>
        </w:rPr>
        <w:t>програма на ЕС за предотвратяване и противодействие на тероризма и насилническия екстремизъм</w:t>
      </w:r>
      <w:r>
        <w:rPr>
          <w:rFonts w:ascii="Times New Roman" w:hAnsi="Times New Roman"/>
          <w:noProof/>
          <w:sz w:val="24"/>
        </w:rPr>
        <w:t>.</w:t>
      </w:r>
    </w:p>
    <w:p w14:paraId="14CCE0B5" w14:textId="6710B36D" w:rsidR="00AC291F" w:rsidRDefault="009F4D82" w:rsidP="00864CFD">
      <w:pPr>
        <w:spacing w:line="276" w:lineRule="auto"/>
        <w:jc w:val="both"/>
        <w:rPr>
          <w:rFonts w:ascii="Times New Roman" w:hAnsi="Times New Roman"/>
          <w:noProof/>
          <w:sz w:val="24"/>
          <w:szCs w:val="24"/>
        </w:rPr>
      </w:pPr>
      <w:r>
        <w:rPr>
          <w:rFonts w:ascii="Times New Roman" w:hAnsi="Times New Roman"/>
          <w:noProof/>
          <w:sz w:val="24"/>
        </w:rPr>
        <w:t xml:space="preserve">Групите в уязвимо положение или тези, които са изправени пред дискриминация или социално изключване, са непропорционално засегнати от кризите. Поради това </w:t>
      </w:r>
      <w:hyperlink r:id="rId45" w:history="1">
        <w:r>
          <w:rPr>
            <w:rStyle w:val="Hyperlink"/>
            <w:rFonts w:ascii="Times New Roman" w:hAnsi="Times New Roman"/>
            <w:b/>
            <w:noProof/>
            <w:sz w:val="24"/>
          </w:rPr>
          <w:t>стратегията за Съюз на подготвеност</w:t>
        </w:r>
      </w:hyperlink>
      <w:r>
        <w:rPr>
          <w:rFonts w:ascii="Times New Roman" w:hAnsi="Times New Roman"/>
          <w:noProof/>
          <w:sz w:val="24"/>
        </w:rPr>
        <w:t xml:space="preserve"> изрично определя неравенството като рисков фактор за подготвеността и има за цел да насърчи културата на приобщаваща подготвеност, така че никой да не бъде пренебрегнат. Интегрирането на съображенията за равенство е от съществено значение, за да се гарантира, че всички граждани и общности на ЕС ще бъдат активни участници в усилията за подготвеност и реакция при кризи.</w:t>
      </w:r>
    </w:p>
    <w:p w14:paraId="31549C29" w14:textId="61035C01" w:rsidR="00063D63" w:rsidRDefault="00C775D8" w:rsidP="00821DE8">
      <w:pPr>
        <w:spacing w:line="276" w:lineRule="auto"/>
        <w:jc w:val="both"/>
        <w:rPr>
          <w:rFonts w:ascii="Times New Roman" w:hAnsi="Times New Roman" w:cs="Times New Roman"/>
          <w:noProof/>
          <w:sz w:val="24"/>
          <w:szCs w:val="24"/>
        </w:rPr>
      </w:pPr>
      <w:r>
        <w:rPr>
          <w:rFonts w:ascii="Times New Roman" w:hAnsi="Times New Roman"/>
          <w:noProof/>
          <w:sz w:val="24"/>
        </w:rPr>
        <w:t>Смята се, че по време на Втората световна война и преследванията от страна на нацистите и местни колаборационисти 50 000 гей и бисексуални мъже са били подложени на „тежки затворнически присъди при брутални условия“, а около 10—15 000 са били изпратени в концентрационни лагери</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27"/>
      </w:r>
      <w:r>
        <w:rPr>
          <w:rFonts w:ascii="Times New Roman" w:hAnsi="Times New Roman"/>
          <w:noProof/>
          <w:sz w:val="24"/>
          <w:vertAlign w:val="superscript"/>
        </w:rPr>
        <w:t>)</w:t>
      </w:r>
      <w:r>
        <w:rPr>
          <w:rFonts w:ascii="Times New Roman" w:hAnsi="Times New Roman"/>
          <w:noProof/>
          <w:sz w:val="24"/>
        </w:rPr>
        <w:t xml:space="preserve">. Мнозина губят живота си, а преживяванията на оцелелите остават непризнати в продължение на десетилетия. Като признава, че корените на преследването на ЛГБТИК+ са дълбоко в европейската история, Комисията се ангажира с </w:t>
      </w:r>
      <w:r>
        <w:rPr>
          <w:rFonts w:ascii="Times New Roman" w:hAnsi="Times New Roman"/>
          <w:b/>
          <w:noProof/>
          <w:sz w:val="24"/>
        </w:rPr>
        <w:t>възпоменанието</w:t>
      </w:r>
      <w:r>
        <w:rPr>
          <w:rFonts w:ascii="Times New Roman" w:hAnsi="Times New Roman"/>
          <w:noProof/>
          <w:sz w:val="24"/>
        </w:rPr>
        <w:t xml:space="preserve"> като неразделна част от насърчаването на равенството и предотвратяването на бъдещи жестокости. За тази цел тя ще предостави финансиране на проекти чрез съответните инструменти за финансиране на ЕС, като например програмата CERV. Комисията също така ще подкрепя и ще участва в събития на високо равнище за възпоменание на преследването на ЛГБТИК+.</w:t>
      </w:r>
    </w:p>
    <w:p w14:paraId="6A828407" w14:textId="77777777" w:rsidR="0021215C" w:rsidRPr="00EB7285" w:rsidRDefault="0021215C" w:rsidP="00EB7285">
      <w:pPr>
        <w:jc w:val="both"/>
        <w:rPr>
          <w:rFonts w:ascii="Times New Roman" w:hAnsi="Times New Roman" w:cs="Times New Roman"/>
          <w:noProof/>
        </w:rPr>
      </w:pPr>
    </w:p>
    <w:p w14:paraId="5F998AED" w14:textId="77777777" w:rsidR="00D4783C" w:rsidRDefault="00D4783C">
      <w:pPr>
        <w:rPr>
          <w:rFonts w:ascii="Times New Roman" w:eastAsiaTheme="majorEastAsia" w:hAnsi="Times New Roman" w:cs="Times New Roman"/>
          <w:b/>
          <w:bCs/>
          <w:noProof/>
          <w:sz w:val="24"/>
          <w:szCs w:val="24"/>
        </w:rPr>
      </w:pPr>
      <w:r>
        <w:rPr>
          <w:noProof/>
        </w:rPr>
        <w:br w:type="page"/>
      </w:r>
    </w:p>
    <w:p w14:paraId="7CC13AEC" w14:textId="7FCC6708" w:rsidR="00620433" w:rsidRPr="00EF6AC5" w:rsidRDefault="00163071" w:rsidP="008732F4">
      <w:pPr>
        <w:pStyle w:val="Heading3"/>
        <w:numPr>
          <w:ilvl w:val="1"/>
          <w:numId w:val="4"/>
        </w:numPr>
        <w:ind w:left="567" w:hanging="425"/>
        <w:jc w:val="both"/>
        <w:rPr>
          <w:rFonts w:ascii="Times New Roman" w:hAnsi="Times New Roman" w:cs="Times New Roman"/>
          <w:b/>
          <w:bCs/>
          <w:noProof/>
          <w:color w:val="auto"/>
          <w:sz w:val="24"/>
          <w:szCs w:val="24"/>
        </w:rPr>
      </w:pPr>
      <w:r>
        <w:rPr>
          <w:rFonts w:ascii="Times New Roman" w:hAnsi="Times New Roman"/>
          <w:b/>
          <w:noProof/>
          <w:color w:val="auto"/>
          <w:sz w:val="24"/>
        </w:rPr>
        <w:t>Противодействие на омразата и дискриминацията онлайн</w:t>
      </w:r>
    </w:p>
    <w:p w14:paraId="44B51386" w14:textId="30B5D840" w:rsidR="003470FE" w:rsidRDefault="003470FE" w:rsidP="00821DE8">
      <w:pPr>
        <w:spacing w:line="276" w:lineRule="auto"/>
        <w:jc w:val="both"/>
        <w:rPr>
          <w:rFonts w:ascii="Times New Roman" w:hAnsi="Times New Roman" w:cs="Times New Roman"/>
          <w:noProof/>
          <w:sz w:val="24"/>
          <w:szCs w:val="24"/>
        </w:rPr>
      </w:pPr>
      <w:r>
        <w:rPr>
          <w:rFonts w:ascii="Times New Roman" w:hAnsi="Times New Roman"/>
          <w:noProof/>
          <w:sz w:val="24"/>
        </w:rPr>
        <w:t>Онлайн пространството предлага важни възможности за ЛГБТИК+ лицата</w:t>
      </w:r>
      <w:r>
        <w:rPr>
          <w:rFonts w:ascii="Times New Roman" w:hAnsi="Times New Roman"/>
          <w:b/>
          <w:noProof/>
          <w:sz w:val="24"/>
        </w:rPr>
        <w:t>.</w:t>
      </w:r>
      <w:r>
        <w:rPr>
          <w:rFonts w:ascii="Times New Roman" w:hAnsi="Times New Roman"/>
          <w:noProof/>
          <w:sz w:val="24"/>
        </w:rPr>
        <w:t xml:space="preserve"> Социалните медии и цифровите платформи са ключови места за себеизразяване, идентичност и създаване на чувство за общност. Те са средство за даване на повече гласност на ЛГБТИК+, </w:t>
      </w:r>
      <w:r>
        <w:rPr>
          <w:rFonts w:ascii="Times New Roman" w:hAnsi="Times New Roman"/>
          <w:b/>
          <w:noProof/>
          <w:sz w:val="24"/>
        </w:rPr>
        <w:t>изграждане на мрежи за подкрепа и мобилизиране за равни права</w:t>
      </w:r>
      <w:r>
        <w:rPr>
          <w:rFonts w:ascii="Times New Roman" w:hAnsi="Times New Roman"/>
          <w:noProof/>
          <w:sz w:val="24"/>
        </w:rPr>
        <w:t>, особено за младите хора и тези в по-малко приемаща среда.</w:t>
      </w:r>
    </w:p>
    <w:p w14:paraId="741C5CB7" w14:textId="65782A80" w:rsidR="0053209E" w:rsidRDefault="009A674E" w:rsidP="00B8481F">
      <w:pPr>
        <w:spacing w:line="276" w:lineRule="auto"/>
        <w:jc w:val="both"/>
        <w:rPr>
          <w:rFonts w:ascii="Times New Roman" w:hAnsi="Times New Roman"/>
          <w:noProof/>
          <w:sz w:val="24"/>
        </w:rPr>
      </w:pPr>
      <w:r>
        <w:rPr>
          <w:rFonts w:ascii="Times New Roman" w:hAnsi="Times New Roman"/>
          <w:noProof/>
          <w:sz w:val="24"/>
        </w:rPr>
        <w:t xml:space="preserve">Въпреки това </w:t>
      </w:r>
      <w:r>
        <w:rPr>
          <w:rFonts w:ascii="Times New Roman" w:hAnsi="Times New Roman"/>
          <w:b/>
          <w:noProof/>
          <w:sz w:val="24"/>
        </w:rPr>
        <w:t>речта на омразата</w:t>
      </w:r>
      <w:r>
        <w:rPr>
          <w:rFonts w:ascii="Times New Roman" w:hAnsi="Times New Roman"/>
          <w:noProof/>
          <w:sz w:val="24"/>
        </w:rPr>
        <w:t xml:space="preserve"> и тормозът </w:t>
      </w:r>
      <w:r>
        <w:rPr>
          <w:rFonts w:ascii="Times New Roman" w:hAnsi="Times New Roman"/>
          <w:b/>
          <w:bCs/>
          <w:noProof/>
          <w:sz w:val="24"/>
        </w:rPr>
        <w:t>онлайн</w:t>
      </w:r>
      <w:r>
        <w:rPr>
          <w:rFonts w:ascii="Times New Roman" w:hAnsi="Times New Roman"/>
          <w:noProof/>
          <w:sz w:val="24"/>
        </w:rPr>
        <w:t xml:space="preserve"> създават враждебна цифрова среда за ЛГБТИК+ лицата, като засягат тяхната безопасност, благополучие и свобода на изразяване и допринасят за климат на страх и изключване. Третото проучване на FRA за ЛГБТИК подкрепя тази констатация: 63 % от ЛГБТИК лицата заявяват, че често или винаги са се сблъсквали с изразяващо омраза съдържание онлайн, с което се призовава към насилие срещу тях. Освен това ЛГБТИК+ лицата и жените все по-често стават обект на анти-джендър наративи онлайн, к често като част от </w:t>
      </w:r>
      <w:r>
        <w:rPr>
          <w:rFonts w:ascii="Times New Roman" w:hAnsi="Times New Roman"/>
          <w:b/>
          <w:noProof/>
          <w:sz w:val="24"/>
        </w:rPr>
        <w:t>чуждестранно манипулиране на информация и вмешателство и кампании за дезинформация</w:t>
      </w:r>
      <w:r>
        <w:rPr>
          <w:rFonts w:ascii="Times New Roman" w:hAnsi="Times New Roman"/>
          <w:noProof/>
          <w:sz w:val="24"/>
        </w:rPr>
        <w:t>. Чуждестранните участници разполагат с все повече средства и използват чуждестранно манипулиране на информация и вмешателство, за да манипулират общественото мнение, да подхранват поляризацията и да се намесват в демократичните процеси в ЕС и по света. Подобни действия са пряко предизвикателство към основните ценности на ЕС — равенство, зачитане на човешкото достойнство и недискриминация.</w:t>
      </w:r>
    </w:p>
    <w:p w14:paraId="11FDBF5C" w14:textId="43EE1A45" w:rsidR="00EF49A7" w:rsidRPr="00EF6AC5" w:rsidRDefault="00EF49A7"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В </w:t>
      </w:r>
      <w:r>
        <w:rPr>
          <w:rFonts w:ascii="Times New Roman" w:hAnsi="Times New Roman"/>
          <w:b/>
          <w:noProof/>
          <w:sz w:val="24"/>
        </w:rPr>
        <w:t>Директивата относно борбата с насилието над жени и домашното насилие</w:t>
      </w:r>
      <w:r>
        <w:rPr>
          <w:rFonts w:ascii="Times New Roman" w:hAnsi="Times New Roman"/>
          <w:noProof/>
          <w:sz w:val="24"/>
        </w:rPr>
        <w:t xml:space="preserve"> за първи път се криминализира подбуждането към насилие или омраза в киберпространството въз основа на пола. След като бъде въведена в националните законодателства на държавите членки</w:t>
      </w:r>
      <w:r>
        <w:rPr>
          <w:rFonts w:ascii="Times New Roman" w:hAnsi="Times New Roman"/>
          <w:noProof/>
          <w:sz w:val="24"/>
          <w:vertAlign w:val="superscript"/>
        </w:rPr>
        <w:t>(</w:t>
      </w:r>
      <w:r>
        <w:rPr>
          <w:rFonts w:ascii="Times New Roman" w:hAnsi="Times New Roman" w:cs="Times New Roman"/>
          <w:noProof/>
          <w:sz w:val="24"/>
          <w:szCs w:val="24"/>
          <w:vertAlign w:val="superscript"/>
        </w:rPr>
        <w:footnoteReference w:id="28"/>
      </w:r>
      <w:r>
        <w:rPr>
          <w:rFonts w:ascii="Times New Roman" w:hAnsi="Times New Roman"/>
          <w:noProof/>
          <w:sz w:val="24"/>
          <w:vertAlign w:val="superscript"/>
        </w:rPr>
        <w:t>)</w:t>
      </w:r>
      <w:r>
        <w:rPr>
          <w:rFonts w:ascii="Times New Roman" w:hAnsi="Times New Roman"/>
          <w:noProof/>
          <w:sz w:val="24"/>
        </w:rPr>
        <w:t xml:space="preserve">, тя ще осигури обща защита срещу онлайн речта на омразата, основана на пола, в ЕС. Освен това с директивата се криминализират най-разпространените форми на онлайн насилие, основано на пола, а именно споделянето на интимни или манипулирани материали без съгласие, киберпреследването и кибертормоза. </w:t>
      </w:r>
    </w:p>
    <w:p w14:paraId="5D07F9E6" w14:textId="3B52B51A" w:rsidR="004D5FA0" w:rsidRDefault="00FF12D6" w:rsidP="00821DE8">
      <w:pPr>
        <w:spacing w:line="276" w:lineRule="auto"/>
        <w:jc w:val="both"/>
        <w:rPr>
          <w:rFonts w:ascii="Times New Roman" w:hAnsi="Times New Roman"/>
          <w:noProof/>
          <w:sz w:val="24"/>
        </w:rPr>
      </w:pPr>
      <w:hyperlink r:id="rId46" w:history="1">
        <w:r w:rsidR="009774C3">
          <w:rPr>
            <w:rStyle w:val="Hyperlink"/>
            <w:rFonts w:ascii="Times New Roman" w:hAnsi="Times New Roman"/>
            <w:b/>
            <w:noProof/>
            <w:sz w:val="24"/>
          </w:rPr>
          <w:t>Актът за цифровите услуги</w:t>
        </w:r>
      </w:hyperlink>
      <w:r w:rsidR="009774C3">
        <w:rPr>
          <w:rFonts w:ascii="Times New Roman" w:hAnsi="Times New Roman"/>
          <w:noProof/>
          <w:sz w:val="24"/>
        </w:rPr>
        <w:t xml:space="preserve"> определя задълженията на доставчиците на хостинг услуги да се справят с незаконно съдържание онлайн, включително подбуждане към омраза или дискриминация, в това число срещу ЛГБТИК+ лица. Също така доставчиците на много големи онлайн платформи и търсачки са задължени да оценяват и смекчават системните рискове, произтичащи от техните услуги, включително въздействието, наред с другото, върху правата на човешко достойнство и недискриминация, отрицателните последици, свързани с насилието, основано на пола, и сериозните отрицателни последици за физическото и психическото благосъстояние на лицето. Комисията, заедно с компетентните национални органи, ще продължи да налага спазването на този регламент.</w:t>
      </w:r>
    </w:p>
    <w:p w14:paraId="48385714" w14:textId="77777777" w:rsidR="00C77792" w:rsidRDefault="00DB4355" w:rsidP="00821DE8">
      <w:pPr>
        <w:spacing w:line="276" w:lineRule="auto"/>
        <w:jc w:val="both"/>
        <w:rPr>
          <w:rFonts w:ascii="Times New Roman" w:hAnsi="Times New Roman"/>
          <w:noProof/>
          <w:sz w:val="24"/>
        </w:rPr>
      </w:pPr>
      <w:r>
        <w:rPr>
          <w:rFonts w:ascii="Times New Roman" w:hAnsi="Times New Roman"/>
          <w:noProof/>
          <w:sz w:val="24"/>
        </w:rPr>
        <w:t xml:space="preserve">През януари 2025 г. преработеният </w:t>
      </w:r>
      <w:hyperlink r:id="rId47" w:history="1">
        <w:r>
          <w:rPr>
            <w:rStyle w:val="Hyperlink"/>
            <w:rFonts w:ascii="Times New Roman" w:hAnsi="Times New Roman"/>
            <w:b/>
            <w:noProof/>
            <w:sz w:val="24"/>
          </w:rPr>
          <w:t>Кодекс на поведение във връзка с незаконните изказвания онлайн, пораждащи омраза+</w:t>
        </w:r>
      </w:hyperlink>
      <w:r>
        <w:rPr>
          <w:rFonts w:ascii="Times New Roman" w:hAnsi="Times New Roman"/>
          <w:noProof/>
          <w:sz w:val="24"/>
        </w:rPr>
        <w:t xml:space="preserve"> („Кодексът за поведение+“) беше оценен положително от Комисията и Европейския съвет за цифровите услуги и включен в рамката на Акта за цифровите услуги, с което бе даден отговор и на препоръките на </w:t>
      </w:r>
      <w:hyperlink r:id="rId48">
        <w:r>
          <w:rPr>
            <w:rStyle w:val="Hyperlink"/>
            <w:rFonts w:ascii="Times New Roman" w:hAnsi="Times New Roman"/>
            <w:noProof/>
            <w:sz w:val="24"/>
          </w:rPr>
          <w:t>Европейския граждански панел относно справянето с омразата в обществото</w:t>
        </w:r>
      </w:hyperlink>
      <w:r>
        <w:rPr>
          <w:rFonts w:ascii="Times New Roman" w:hAnsi="Times New Roman"/>
          <w:noProof/>
          <w:sz w:val="24"/>
        </w:rPr>
        <w:t>.</w:t>
      </w:r>
    </w:p>
    <w:p w14:paraId="24EA7413" w14:textId="6B0DA23F" w:rsidR="00306D16" w:rsidRPr="00D51260" w:rsidRDefault="00765E34" w:rsidP="00821DE8">
      <w:pPr>
        <w:spacing w:line="276" w:lineRule="auto"/>
        <w:jc w:val="both"/>
        <w:rPr>
          <w:rFonts w:ascii="Times New Roman" w:hAnsi="Times New Roman"/>
          <w:noProof/>
          <w:sz w:val="24"/>
        </w:rPr>
      </w:pPr>
      <w:r>
        <w:rPr>
          <w:rFonts w:ascii="Times New Roman" w:hAnsi="Times New Roman"/>
          <w:noProof/>
          <w:sz w:val="24"/>
        </w:rPr>
        <w:t xml:space="preserve">Платформите, подписали Кодекса за поведение+, се ангажират да участват в сътрудничество в рамките на отрасъла и в многостранни форуми, за да подобрят превенцията срещу незаконната реч на омразата, включително срещу ЛГБТИК+ лицата. Комисията ще следи за прилагането на Кодекса за поведение+, ще подпомага редовното му преразглеждане и адаптиране и ще оказва подкрепа на платформите, включително чрез </w:t>
      </w:r>
      <w:r>
        <w:rPr>
          <w:rFonts w:ascii="Times New Roman" w:hAnsi="Times New Roman"/>
          <w:b/>
          <w:noProof/>
          <w:sz w:val="24"/>
        </w:rPr>
        <w:t>онлайн център за знания</w:t>
      </w:r>
      <w:r>
        <w:rPr>
          <w:rFonts w:ascii="Times New Roman" w:hAnsi="Times New Roman"/>
          <w:noProof/>
          <w:sz w:val="24"/>
        </w:rPr>
        <w:t>, в който се събират съответни ресурси относно незаконните изказвания онлайн, пораждащи омраза.</w:t>
      </w:r>
    </w:p>
    <w:p w14:paraId="43D9F8C1" w14:textId="3CDB6FCB" w:rsidR="00620433" w:rsidRPr="00E83524" w:rsidRDefault="007A1AAF" w:rsidP="00821DE8">
      <w:pPr>
        <w:spacing w:after="240" w:line="276" w:lineRule="auto"/>
        <w:jc w:val="both"/>
        <w:rPr>
          <w:rFonts w:ascii="Times New Roman" w:hAnsi="Times New Roman"/>
          <w:noProof/>
          <w:sz w:val="24"/>
        </w:rPr>
      </w:pPr>
      <w:r>
        <w:rPr>
          <w:rFonts w:ascii="Times New Roman" w:hAnsi="Times New Roman"/>
          <w:noProof/>
          <w:sz w:val="24"/>
        </w:rPr>
        <w:t xml:space="preserve">Комисията също така следи отблизо прилагането от страна на държавите членки на преработената </w:t>
      </w:r>
      <w:hyperlink r:id="rId49" w:history="1">
        <w:r>
          <w:rPr>
            <w:rStyle w:val="Hyperlink"/>
            <w:rFonts w:ascii="Times New Roman" w:hAnsi="Times New Roman"/>
            <w:b/>
            <w:noProof/>
            <w:sz w:val="24"/>
          </w:rPr>
          <w:t>Директива за аудио-визуалните медийни услуги</w:t>
        </w:r>
      </w:hyperlink>
      <w:r>
        <w:rPr>
          <w:rFonts w:ascii="Times New Roman" w:hAnsi="Times New Roman"/>
          <w:noProof/>
          <w:sz w:val="24"/>
        </w:rPr>
        <w:t>. Директивата засилва защитата срещу съдържание, подбуждащо към омраза или насилие, и забранява дискриминационните търговски аудиовизуални съобщения, включително въз основа на пол или сексуална ориентация.</w:t>
      </w:r>
    </w:p>
    <w:p w14:paraId="3B28C5B4" w14:textId="25106C32" w:rsidR="00476539" w:rsidRPr="00EF6AC5" w:rsidRDefault="53576D12" w:rsidP="00476539">
      <w:pPr>
        <w:spacing w:line="276" w:lineRule="auto"/>
        <w:jc w:val="both"/>
        <w:rPr>
          <w:rFonts w:ascii="Times New Roman" w:hAnsi="Times New Roman" w:cs="Times New Roman"/>
          <w:noProof/>
          <w:sz w:val="24"/>
          <w:szCs w:val="24"/>
        </w:rPr>
      </w:pPr>
      <w:r>
        <w:rPr>
          <w:rFonts w:ascii="Times New Roman" w:hAnsi="Times New Roman"/>
          <w:noProof/>
          <w:sz w:val="24"/>
        </w:rPr>
        <w:t>Кибертормозът и други форми на насилие, подпомогнати от технологиите, са сериозен и нарастващ проблем и засягат непропорционално ЛГБТИК+ младежите</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29"/>
      </w:r>
      <w:r>
        <w:rPr>
          <w:rFonts w:ascii="Times New Roman" w:hAnsi="Times New Roman"/>
          <w:noProof/>
          <w:sz w:val="24"/>
          <w:vertAlign w:val="superscript"/>
        </w:rPr>
        <w:t>)</w:t>
      </w:r>
      <w:r>
        <w:rPr>
          <w:rFonts w:ascii="Times New Roman" w:hAnsi="Times New Roman"/>
          <w:noProof/>
          <w:sz w:val="24"/>
        </w:rPr>
        <w:t xml:space="preserve">. Предстоящият </w:t>
      </w:r>
      <w:r>
        <w:rPr>
          <w:rFonts w:ascii="Times New Roman" w:hAnsi="Times New Roman"/>
          <w:b/>
          <w:noProof/>
          <w:sz w:val="24"/>
        </w:rPr>
        <w:t>план за действие на Комисията срещу кибертормоза</w:t>
      </w:r>
      <w:r>
        <w:rPr>
          <w:rFonts w:ascii="Times New Roman" w:hAnsi="Times New Roman"/>
          <w:noProof/>
          <w:sz w:val="24"/>
        </w:rPr>
        <w:t xml:space="preserve"> ще има за цел предотвратяване на обидното поведение онлайн, включително когато то е насочен към ЛГБТИК+ младежи. Комисията ще проведе и </w:t>
      </w:r>
      <w:r>
        <w:rPr>
          <w:rFonts w:ascii="Times New Roman" w:hAnsi="Times New Roman"/>
          <w:b/>
          <w:noProof/>
          <w:sz w:val="24"/>
        </w:rPr>
        <w:t>общоевропейско проучване на въздействието на социалните медии върху благосъстоянието</w:t>
      </w:r>
      <w:r>
        <w:rPr>
          <w:rFonts w:ascii="Times New Roman" w:hAnsi="Times New Roman"/>
          <w:noProof/>
          <w:sz w:val="24"/>
        </w:rPr>
        <w:t xml:space="preserve"> с акцент върху младите хора, включително тези от ЛГБТИК+ общността.</w:t>
      </w:r>
      <w:bookmarkStart w:id="8" w:name="_Hlk209621143"/>
    </w:p>
    <w:bookmarkEnd w:id="8"/>
    <w:p w14:paraId="48CD4C01" w14:textId="77777777" w:rsidR="00F90BBC" w:rsidRDefault="00F90BBC" w:rsidP="00821DE8">
      <w:pPr>
        <w:spacing w:line="276" w:lineRule="auto"/>
        <w:jc w:val="both"/>
        <w:rPr>
          <w:rFonts w:ascii="Times New Roman" w:hAnsi="Times New Roman"/>
          <w:noProof/>
          <w:sz w:val="24"/>
        </w:rPr>
      </w:pPr>
    </w:p>
    <w:p w14:paraId="53C8AE6C" w14:textId="265D8A15" w:rsidR="00620433" w:rsidRPr="00EF6AC5" w:rsidRDefault="00620433" w:rsidP="008732F4">
      <w:pPr>
        <w:pStyle w:val="Heading3"/>
        <w:numPr>
          <w:ilvl w:val="1"/>
          <w:numId w:val="4"/>
        </w:numPr>
        <w:ind w:left="567" w:hanging="425"/>
        <w:jc w:val="both"/>
        <w:rPr>
          <w:rFonts w:ascii="Times New Roman" w:hAnsi="Times New Roman" w:cs="Times New Roman"/>
          <w:b/>
          <w:bCs/>
          <w:noProof/>
          <w:color w:val="auto"/>
          <w:sz w:val="24"/>
          <w:szCs w:val="24"/>
        </w:rPr>
      </w:pPr>
      <w:r>
        <w:rPr>
          <w:rFonts w:ascii="Times New Roman" w:hAnsi="Times New Roman"/>
          <w:b/>
          <w:noProof/>
          <w:color w:val="auto"/>
          <w:sz w:val="24"/>
        </w:rPr>
        <w:t>Осигуряване на закрила за ЛГБТИК+ кандидати за международна закрила и мигранти</w:t>
      </w:r>
    </w:p>
    <w:p w14:paraId="1D21D67F" w14:textId="70F6EE79" w:rsidR="004340B5" w:rsidRPr="00D51260" w:rsidRDefault="3DBF46FE" w:rsidP="00821DE8">
      <w:pPr>
        <w:spacing w:line="276" w:lineRule="auto"/>
        <w:jc w:val="both"/>
        <w:rPr>
          <w:rFonts w:ascii="Times New Roman" w:hAnsi="Times New Roman"/>
          <w:noProof/>
          <w:sz w:val="24"/>
        </w:rPr>
      </w:pPr>
      <w:r>
        <w:rPr>
          <w:rFonts w:ascii="Times New Roman" w:hAnsi="Times New Roman"/>
          <w:noProof/>
          <w:sz w:val="24"/>
        </w:rPr>
        <w:t xml:space="preserve">ЛГБТИК+ лицата, търсещи убежище, се сблъскват с интерсекционални и допълнителни рискове по време на пътуването и/или при пристигането си в ЕС и може да имат различни нужди от другите кандидати. Според третото проучване на FRA относно ЛГБТИК, 54 % от ЛГБТИК лицата, които са се определили като </w:t>
      </w:r>
      <w:r>
        <w:rPr>
          <w:rFonts w:ascii="Times New Roman" w:hAnsi="Times New Roman"/>
          <w:b/>
          <w:noProof/>
          <w:sz w:val="24"/>
        </w:rPr>
        <w:t>търсещи убежище или бежанци</w:t>
      </w:r>
      <w:r>
        <w:rPr>
          <w:rFonts w:ascii="Times New Roman" w:hAnsi="Times New Roman"/>
          <w:noProof/>
          <w:sz w:val="24"/>
        </w:rPr>
        <w:t>, са се сблъскали с дискриминация през годината преди проучването (значително повече от средните 37 % сред всички ЛГБТИК респонденти). Те също така са изложени на особен риск от тормоз и насилие и могат да бъдат лишени от правна помощ или специфични здравни грижи, като например хормонално лечение</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30"/>
      </w:r>
      <w:r>
        <w:rPr>
          <w:rFonts w:ascii="Times New Roman" w:hAnsi="Times New Roman"/>
          <w:noProof/>
          <w:sz w:val="24"/>
          <w:vertAlign w:val="superscript"/>
        </w:rPr>
        <w:t>)</w:t>
      </w:r>
      <w:r>
        <w:rPr>
          <w:rFonts w:ascii="Times New Roman" w:hAnsi="Times New Roman"/>
          <w:noProof/>
          <w:sz w:val="24"/>
        </w:rPr>
        <w:t>.</w:t>
      </w:r>
    </w:p>
    <w:p w14:paraId="1C0ED3FD" w14:textId="266CA9FD" w:rsidR="00C97910" w:rsidRDefault="00FF12D6" w:rsidP="00821DE8">
      <w:pPr>
        <w:spacing w:line="276" w:lineRule="auto"/>
        <w:jc w:val="both"/>
        <w:rPr>
          <w:rFonts w:ascii="Times New Roman" w:hAnsi="Times New Roman" w:cs="Times New Roman"/>
          <w:noProof/>
          <w:sz w:val="24"/>
          <w:szCs w:val="24"/>
        </w:rPr>
      </w:pPr>
      <w:hyperlink r:id="rId50" w:history="1">
        <w:r w:rsidR="00725040">
          <w:rPr>
            <w:rStyle w:val="Hyperlink"/>
            <w:rFonts w:ascii="Times New Roman" w:hAnsi="Times New Roman"/>
            <w:b/>
            <w:noProof/>
            <w:sz w:val="24"/>
          </w:rPr>
          <w:t>Пактът за миграцията и убежището</w:t>
        </w:r>
      </w:hyperlink>
      <w:r w:rsidR="00725040">
        <w:rPr>
          <w:rFonts w:ascii="Times New Roman" w:hAnsi="Times New Roman"/>
          <w:noProof/>
          <w:sz w:val="24"/>
        </w:rPr>
        <w:t xml:space="preserve"> засили предпазните мерки и гаранциите за уязвимите кандидати за международна закрила, включително за ЛГБТИК+ лицата. Според </w:t>
      </w:r>
      <w:hyperlink r:id="rId51" w:anchor="publication-tab-1" w:history="1">
        <w:r w:rsidR="00725040">
          <w:rPr>
            <w:rStyle w:val="Hyperlink"/>
            <w:rFonts w:ascii="Times New Roman" w:hAnsi="Times New Roman"/>
            <w:noProof/>
            <w:sz w:val="24"/>
          </w:rPr>
          <w:t>проучването на FRA „Да си чернокож в ЕС“</w:t>
        </w:r>
      </w:hyperlink>
      <w:r w:rsidR="00725040">
        <w:rPr>
          <w:rFonts w:ascii="Times New Roman" w:hAnsi="Times New Roman"/>
          <w:noProof/>
          <w:sz w:val="24"/>
        </w:rPr>
        <w:t xml:space="preserve"> сред хората от африкански произход тези, които се самоопределят като малцинство — включително на базата на сексуална ориентация, джендър идентичност/експресия или полови характеристики — се сблъскват с повече дискриминация. Допълнителни източници на дискриминация, като например срещането на пречки във връзка с увреждане, могат да засилят уязвимостта на тези лица.</w:t>
      </w:r>
    </w:p>
    <w:p w14:paraId="3AEE984B" w14:textId="1D1DE714" w:rsidR="00DB6E0F" w:rsidRDefault="00620433" w:rsidP="00A36111">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ще продължи да изгражда полезни взаимодействия с </w:t>
      </w:r>
      <w:hyperlink r:id="rId52" w:history="1">
        <w:r>
          <w:rPr>
            <w:rStyle w:val="Hyperlink"/>
            <w:rFonts w:ascii="Times New Roman" w:hAnsi="Times New Roman"/>
            <w:b/>
            <w:noProof/>
            <w:sz w:val="24"/>
          </w:rPr>
          <w:t>плана за действие за интеграция и приобщаване</w:t>
        </w:r>
      </w:hyperlink>
      <w:r>
        <w:rPr>
          <w:rFonts w:ascii="Times New Roman" w:hAnsi="Times New Roman"/>
          <w:noProof/>
          <w:sz w:val="24"/>
        </w:rPr>
        <w:t xml:space="preserve"> за </w:t>
      </w:r>
      <w:r>
        <w:rPr>
          <w:rFonts w:ascii="Times New Roman" w:hAnsi="Times New Roman"/>
          <w:b/>
          <w:noProof/>
          <w:sz w:val="24"/>
        </w:rPr>
        <w:t>2021—2027 г.</w:t>
      </w:r>
      <w:r>
        <w:rPr>
          <w:rFonts w:ascii="Times New Roman" w:hAnsi="Times New Roman"/>
          <w:noProof/>
          <w:sz w:val="24"/>
        </w:rPr>
        <w:t xml:space="preserve">, в който се признават многобройните и пресичащи се предизвикателства, пред които са изправени ЛГБТИК мигрантите. Освен това в рамките на </w:t>
      </w:r>
      <w:r>
        <w:rPr>
          <w:rFonts w:ascii="Times New Roman" w:hAnsi="Times New Roman"/>
          <w:b/>
          <w:noProof/>
          <w:sz w:val="24"/>
        </w:rPr>
        <w:t>Стратегическата рамка на ЕС за равенство, приобщаване и участие на ромите</w:t>
      </w:r>
      <w:r>
        <w:rPr>
          <w:rFonts w:ascii="Times New Roman" w:hAnsi="Times New Roman"/>
          <w:noProof/>
          <w:sz w:val="24"/>
        </w:rPr>
        <w:t xml:space="preserve"> </w:t>
      </w:r>
      <w:r>
        <w:rPr>
          <w:rFonts w:ascii="Times New Roman" w:hAnsi="Times New Roman"/>
          <w:b/>
          <w:noProof/>
          <w:sz w:val="24"/>
        </w:rPr>
        <w:t>и</w:t>
      </w:r>
      <w:r>
        <w:rPr>
          <w:rFonts w:ascii="Times New Roman" w:hAnsi="Times New Roman"/>
          <w:noProof/>
          <w:sz w:val="24"/>
        </w:rPr>
        <w:t xml:space="preserve"> предстоящата </w:t>
      </w:r>
      <w:r>
        <w:rPr>
          <w:rFonts w:ascii="Times New Roman" w:hAnsi="Times New Roman"/>
          <w:b/>
          <w:noProof/>
          <w:sz w:val="24"/>
        </w:rPr>
        <w:t>стратегия за борба с расизма за периода 2026—2030 г.</w:t>
      </w:r>
      <w:r>
        <w:rPr>
          <w:rFonts w:ascii="Times New Roman" w:hAnsi="Times New Roman"/>
          <w:noProof/>
          <w:sz w:val="24"/>
        </w:rPr>
        <w:t xml:space="preserve"> Комисията ще продължи да разглежда предизвикателствата, пред които са изправени расовизираните ЛГБТИК+ лица.</w:t>
      </w:r>
    </w:p>
    <w:p w14:paraId="0EBC9D8C" w14:textId="77777777" w:rsidR="00D4783C" w:rsidRDefault="00D4783C">
      <w:pPr>
        <w:rPr>
          <w:rFonts w:ascii="Times New Roman" w:hAnsi="Times New Roman" w:cs="Times New Roman"/>
          <w:noProof/>
          <w:sz w:val="24"/>
          <w:szCs w:val="24"/>
        </w:rPr>
      </w:pPr>
      <w:r>
        <w:rPr>
          <w:noProof/>
        </w:rPr>
        <w:br w:type="page"/>
      </w:r>
    </w:p>
    <w:p w14:paraId="226F7BF7" w14:textId="738934C9" w:rsidR="008E4712" w:rsidRPr="00D51260" w:rsidRDefault="00165ECF" w:rsidP="00821DE8">
      <w:pPr>
        <w:spacing w:line="276" w:lineRule="auto"/>
        <w:jc w:val="both"/>
        <w:rPr>
          <w:rFonts w:ascii="Times New Roman" w:hAnsi="Times New Roman"/>
          <w:noProof/>
          <w:sz w:val="24"/>
        </w:rPr>
      </w:pPr>
      <w:r>
        <w:rPr>
          <w:rFonts w:ascii="Times New Roman" w:hAnsi="Times New Roman"/>
          <w:noProof/>
          <w:sz w:val="24"/>
        </w:rPr>
        <w:t xml:space="preserve">Комисията си сътрудничи с </w:t>
      </w:r>
      <w:r>
        <w:rPr>
          <w:rFonts w:ascii="Times New Roman" w:hAnsi="Times New Roman"/>
          <w:b/>
          <w:noProof/>
          <w:sz w:val="24"/>
        </w:rPr>
        <w:t>Агенцията на ЕС в областта на убежището (EUAA)</w:t>
      </w:r>
      <w:r>
        <w:rPr>
          <w:rFonts w:ascii="Times New Roman" w:hAnsi="Times New Roman"/>
          <w:noProof/>
          <w:sz w:val="24"/>
        </w:rPr>
        <w:t xml:space="preserve">, </w:t>
      </w:r>
      <w:r>
        <w:rPr>
          <w:rFonts w:ascii="Times New Roman" w:hAnsi="Times New Roman"/>
          <w:b/>
          <w:noProof/>
          <w:sz w:val="24"/>
        </w:rPr>
        <w:t>Европейската агенция за гранична и брегова охрана (Frontex)</w:t>
      </w:r>
      <w:r>
        <w:rPr>
          <w:rFonts w:ascii="Times New Roman" w:hAnsi="Times New Roman"/>
          <w:noProof/>
          <w:sz w:val="24"/>
        </w:rPr>
        <w:t xml:space="preserve"> и държавите членки за разработване на инструменти, които да помогнат за ранното идентифициране на уязвимите кандидати и за предоставянето на подкрепа за тях</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31"/>
      </w:r>
      <w:r>
        <w:rPr>
          <w:rFonts w:ascii="Times New Roman" w:hAnsi="Times New Roman"/>
          <w:noProof/>
          <w:sz w:val="24"/>
          <w:vertAlign w:val="superscript"/>
        </w:rPr>
        <w:t>)</w:t>
      </w:r>
      <w:r>
        <w:rPr>
          <w:rFonts w:ascii="Times New Roman" w:hAnsi="Times New Roman"/>
          <w:noProof/>
          <w:sz w:val="24"/>
        </w:rPr>
        <w:t xml:space="preserve">. Посредством </w:t>
      </w:r>
      <w:r>
        <w:rPr>
          <w:rFonts w:ascii="Times New Roman" w:hAnsi="Times New Roman"/>
          <w:b/>
          <w:noProof/>
          <w:sz w:val="24"/>
        </w:rPr>
        <w:t xml:space="preserve">Фонд „Убежище и миграция“ (ФУМИ) </w:t>
      </w:r>
      <w:r>
        <w:rPr>
          <w:rFonts w:ascii="Times New Roman" w:hAnsi="Times New Roman"/>
          <w:noProof/>
          <w:sz w:val="24"/>
        </w:rPr>
        <w:t>и</w:t>
      </w:r>
      <w:r>
        <w:rPr>
          <w:rFonts w:ascii="Times New Roman" w:hAnsi="Times New Roman"/>
          <w:b/>
          <w:noProof/>
          <w:sz w:val="24"/>
        </w:rPr>
        <w:t xml:space="preserve"> </w:t>
      </w:r>
      <w:r>
        <w:rPr>
          <w:rFonts w:ascii="Times New Roman" w:hAnsi="Times New Roman"/>
          <w:noProof/>
          <w:sz w:val="24"/>
        </w:rPr>
        <w:t xml:space="preserve">на </w:t>
      </w:r>
      <w:r>
        <w:rPr>
          <w:rFonts w:ascii="Times New Roman" w:hAnsi="Times New Roman"/>
          <w:b/>
          <w:noProof/>
          <w:sz w:val="24"/>
        </w:rPr>
        <w:t>Инструмента за съседство, сътрудничество за развитие и международно сътрудничество (ИССРМС)</w:t>
      </w:r>
      <w:r>
        <w:rPr>
          <w:rFonts w:ascii="Times New Roman" w:hAnsi="Times New Roman"/>
          <w:noProof/>
          <w:sz w:val="24"/>
        </w:rPr>
        <w:t xml:space="preserve">, или евентуален инструмент приемник, Комисията възнамерява да продължи да финансира инициативи за осигуряване на гаранции за кандидатите и уязвимите кандидати, включително достатъчна подкрепа за ЛГБТИК+ кандидатите. </w:t>
      </w:r>
    </w:p>
    <w:tbl>
      <w:tblPr>
        <w:tblStyle w:val="TableGrid"/>
        <w:tblW w:w="0" w:type="auto"/>
        <w:tblLook w:val="04A0" w:firstRow="1" w:lastRow="0" w:firstColumn="1" w:lastColumn="0" w:noHBand="0" w:noVBand="1"/>
      </w:tblPr>
      <w:tblGrid>
        <w:gridCol w:w="9016"/>
      </w:tblGrid>
      <w:tr w:rsidR="00BB7D7E" w:rsidRPr="00EB7285" w14:paraId="0445DABD" w14:textId="77777777" w:rsidTr="00D54628">
        <w:tc>
          <w:tcPr>
            <w:tcW w:w="9016" w:type="dxa"/>
            <w:shd w:val="clear" w:color="auto" w:fill="E8E8E8" w:themeFill="background2"/>
          </w:tcPr>
          <w:p w14:paraId="57CA6035" w14:textId="6AAD4513" w:rsidR="00BB7D7E" w:rsidRPr="00E83524" w:rsidRDefault="00BB7D7E" w:rsidP="00EF6AC5">
            <w:pPr>
              <w:pStyle w:val="NoSpacing"/>
              <w:spacing w:after="120"/>
              <w:jc w:val="both"/>
              <w:rPr>
                <w:rFonts w:ascii="Times New Roman" w:hAnsi="Times New Roman"/>
                <w:b/>
                <w:noProof/>
              </w:rPr>
            </w:pPr>
            <w:r>
              <w:rPr>
                <w:rFonts w:ascii="Times New Roman" w:hAnsi="Times New Roman"/>
                <w:b/>
                <w:noProof/>
              </w:rPr>
              <w:t xml:space="preserve">Ключови действия от страна на Европейската комисия:  </w:t>
            </w:r>
          </w:p>
          <w:p w14:paraId="51258A37" w14:textId="035A4F80" w:rsidR="00BB7D7E" w:rsidRPr="00C5582A" w:rsidRDefault="00165ECF" w:rsidP="008732F4">
            <w:pPr>
              <w:pStyle w:val="ListParagraph"/>
              <w:numPr>
                <w:ilvl w:val="0"/>
                <w:numId w:val="2"/>
              </w:numPr>
              <w:spacing w:after="120"/>
              <w:contextualSpacing w:val="0"/>
              <w:jc w:val="both"/>
              <w:rPr>
                <w:rFonts w:ascii="Times New Roman" w:eastAsia="Times New Roman" w:hAnsi="Times New Roman" w:cs="Times New Roman"/>
                <w:noProof/>
              </w:rPr>
            </w:pPr>
            <w:r>
              <w:rPr>
                <w:rFonts w:ascii="Times New Roman" w:hAnsi="Times New Roman"/>
                <w:noProof/>
              </w:rPr>
              <w:t>Борба с конверсионните практики въз основа на констатациите от специално проучване и с оглед на съответната европейска гражданска инициатива по тази тема.</w:t>
            </w:r>
          </w:p>
          <w:p w14:paraId="19E7807F" w14:textId="2A0246DF" w:rsidR="005F37DC" w:rsidRDefault="00165ECF"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Проучване на правните възможности за укрепване на наказателноправната рамка за борба с речта на омразата и престъпленията от омраза в рамките на съществуващите разпоредби на Договора.</w:t>
            </w:r>
          </w:p>
          <w:p w14:paraId="773A09CF" w14:textId="538F3FB0" w:rsidR="00BD5F02" w:rsidRDefault="00165ECF"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Мониторинг на прилагането на Кодекса за поведение+ във връзка с незаконните изказвания онлайн, пораждащи омраза, и създаване на онлайн център за знания, в който са събрани съответните ресурси относно незаконните изказвания онлайн, пораждащи омраза.</w:t>
            </w:r>
          </w:p>
          <w:p w14:paraId="44657BA9" w14:textId="544AEB2A" w:rsidR="00186402" w:rsidRPr="006B2A6E" w:rsidRDefault="00165ECF" w:rsidP="008732F4">
            <w:pPr>
              <w:pStyle w:val="ListParagraph"/>
              <w:numPr>
                <w:ilvl w:val="0"/>
                <w:numId w:val="2"/>
              </w:numPr>
              <w:spacing w:after="120"/>
              <w:contextualSpacing w:val="0"/>
              <w:jc w:val="both"/>
              <w:rPr>
                <w:noProof/>
              </w:rPr>
            </w:pPr>
            <w:r>
              <w:rPr>
                <w:rFonts w:ascii="Times New Roman" w:hAnsi="Times New Roman"/>
                <w:noProof/>
              </w:rPr>
              <w:t>Приемане на план за действие относно кибертормоза до 2026 г.</w:t>
            </w:r>
          </w:p>
        </w:tc>
      </w:tr>
    </w:tbl>
    <w:p w14:paraId="1B9265C1" w14:textId="77777777" w:rsidR="00D23D7F" w:rsidRPr="00DA53FF" w:rsidRDefault="00D23D7F" w:rsidP="00EF6AC5">
      <w:pPr>
        <w:jc w:val="both"/>
        <w:rPr>
          <w:rFonts w:ascii="Times New Roman" w:hAnsi="Times New Roman" w:cs="Times New Roman"/>
          <w:i/>
          <w:iCs/>
          <w:noProof/>
          <w:sz w:val="24"/>
          <w:szCs w:val="24"/>
        </w:rPr>
      </w:pPr>
    </w:p>
    <w:p w14:paraId="3A835EAC" w14:textId="3AF14A0E" w:rsidR="00EC7C59" w:rsidRPr="0085083E" w:rsidRDefault="004C55C6" w:rsidP="008732F4">
      <w:pPr>
        <w:pStyle w:val="Heading2"/>
        <w:numPr>
          <w:ilvl w:val="0"/>
          <w:numId w:val="3"/>
        </w:numPr>
        <w:jc w:val="both"/>
        <w:rPr>
          <w:rFonts w:ascii="Times New Roman" w:hAnsi="Times New Roman" w:cs="Times New Roman"/>
          <w:b/>
          <w:smallCaps/>
          <w:noProof/>
          <w:color w:val="auto"/>
          <w:sz w:val="28"/>
          <w:szCs w:val="28"/>
          <w:u w:val="single"/>
        </w:rPr>
      </w:pPr>
      <w:r>
        <w:rPr>
          <w:rFonts w:ascii="Times New Roman" w:hAnsi="Times New Roman"/>
          <w:b/>
          <w:smallCaps/>
          <w:noProof/>
          <w:color w:val="auto"/>
          <w:sz w:val="28"/>
          <w:u w:val="single"/>
        </w:rPr>
        <w:t>Овластяване</w:t>
      </w:r>
    </w:p>
    <w:p w14:paraId="3A8FDB8C" w14:textId="77777777" w:rsidR="00C97910" w:rsidRDefault="00EC7C59" w:rsidP="009B7A72">
      <w:pPr>
        <w:jc w:val="both"/>
        <w:rPr>
          <w:rFonts w:ascii="Times New Roman" w:hAnsi="Times New Roman" w:cs="Times New Roman"/>
          <w:noProof/>
          <w:sz w:val="24"/>
          <w:szCs w:val="24"/>
        </w:rPr>
      </w:pPr>
      <w:r>
        <w:rPr>
          <w:rFonts w:ascii="Times New Roman" w:hAnsi="Times New Roman"/>
          <w:noProof/>
          <w:sz w:val="24"/>
        </w:rPr>
        <w:t xml:space="preserve">През последните десетилетия законодателният напредък и напредъкът в областта на политиката спомогнаха за създаването на по-приобщаващи общества, включително за ЛГБТИК+ лицата. Третото проучване на FRA за ЛГБТИК сочи, че </w:t>
      </w:r>
      <w:r>
        <w:rPr>
          <w:rFonts w:ascii="Times New Roman" w:hAnsi="Times New Roman"/>
          <w:b/>
          <w:noProof/>
          <w:sz w:val="24"/>
        </w:rPr>
        <w:t>ЛГБТИК+ лицата са по-открити</w:t>
      </w:r>
      <w:r>
        <w:rPr>
          <w:rFonts w:ascii="Times New Roman" w:hAnsi="Times New Roman"/>
          <w:noProof/>
          <w:sz w:val="24"/>
        </w:rPr>
        <w:t xml:space="preserve"> по отношение на своята сексуална ориентация, джендър идентичност или полови характеристики в социалната си среда (52 %, с 6 процентни пункта повече от 2019 г.), като тази тенденция е по-ярко откроена при транс и интерсексуалните лица.</w:t>
      </w:r>
    </w:p>
    <w:p w14:paraId="28368725" w14:textId="4E036C0E" w:rsidR="00EC7C59" w:rsidRDefault="00C528D3" w:rsidP="009B7A72">
      <w:pPr>
        <w:jc w:val="both"/>
        <w:rPr>
          <w:rFonts w:ascii="Times New Roman" w:hAnsi="Times New Roman" w:cs="Times New Roman"/>
          <w:noProof/>
          <w:sz w:val="24"/>
          <w:szCs w:val="24"/>
        </w:rPr>
      </w:pPr>
      <w:r>
        <w:rPr>
          <w:rFonts w:ascii="Times New Roman" w:hAnsi="Times New Roman"/>
          <w:noProof/>
          <w:sz w:val="24"/>
        </w:rPr>
        <w:t xml:space="preserve">Осигуряването на достъп до заетост, здравеопазване, образование и други обществени услуги за ЛГБТИК+ лицата, включително в селските и отдалечените райони, отключва техния потенциал и им позволява да допринасят пълноценно за своите общности и икономиката. Насърчаването на приобщаването укрепва социалното сближаване и стимулира иновациите, производителността и глобалната конкурентоспособност на ЕС. Настоящата стратегия потвърждава ангажимента на Комисията за овластяване на </w:t>
      </w:r>
      <w:r>
        <w:rPr>
          <w:rFonts w:ascii="Times New Roman" w:hAnsi="Times New Roman"/>
          <w:b/>
          <w:noProof/>
          <w:sz w:val="24"/>
        </w:rPr>
        <w:t>ЛГБТИК+ лицата да живеят свободно и равноправно</w:t>
      </w:r>
      <w:r>
        <w:rPr>
          <w:rFonts w:ascii="Times New Roman" w:hAnsi="Times New Roman"/>
          <w:noProof/>
          <w:sz w:val="24"/>
        </w:rPr>
        <w:t xml:space="preserve"> във всички области на живота и при движението си от една в друга държава членка.</w:t>
      </w:r>
    </w:p>
    <w:p w14:paraId="1B1959F3" w14:textId="77777777" w:rsidR="00DB6E0F" w:rsidRDefault="00DB6E0F" w:rsidP="009B7A72">
      <w:pPr>
        <w:jc w:val="both"/>
        <w:rPr>
          <w:rFonts w:ascii="Times New Roman" w:hAnsi="Times New Roman" w:cs="Times New Roman"/>
          <w:noProof/>
          <w:sz w:val="24"/>
          <w:szCs w:val="24"/>
        </w:rPr>
      </w:pPr>
    </w:p>
    <w:p w14:paraId="09C58A41" w14:textId="465B6B4D" w:rsidR="00BF5C2F" w:rsidRPr="00EF6AC5" w:rsidRDefault="00FB6C9B" w:rsidP="008732F4">
      <w:pPr>
        <w:pStyle w:val="Heading3"/>
        <w:numPr>
          <w:ilvl w:val="1"/>
          <w:numId w:val="5"/>
        </w:numPr>
        <w:ind w:left="567" w:hanging="425"/>
        <w:jc w:val="both"/>
        <w:rPr>
          <w:rFonts w:ascii="Times New Roman" w:hAnsi="Times New Roman" w:cs="Times New Roman"/>
          <w:b/>
          <w:bCs/>
          <w:noProof/>
          <w:color w:val="auto"/>
          <w:sz w:val="24"/>
          <w:szCs w:val="24"/>
        </w:rPr>
      </w:pPr>
      <w:r>
        <w:rPr>
          <w:rFonts w:ascii="Times New Roman" w:hAnsi="Times New Roman"/>
          <w:b/>
          <w:noProof/>
          <w:color w:val="auto"/>
          <w:sz w:val="24"/>
        </w:rPr>
        <w:t>Полагане на основите за овластяване на ЛГБТИК+</w:t>
      </w:r>
    </w:p>
    <w:p w14:paraId="76540497" w14:textId="4A3F93CB" w:rsidR="00DB6E0F" w:rsidRDefault="0076008D" w:rsidP="00A36111">
      <w:pPr>
        <w:spacing w:line="276" w:lineRule="auto"/>
        <w:jc w:val="both"/>
        <w:rPr>
          <w:rFonts w:ascii="Times New Roman" w:hAnsi="Times New Roman"/>
          <w:noProof/>
          <w:sz w:val="24"/>
        </w:rPr>
      </w:pPr>
      <w:r>
        <w:rPr>
          <w:rFonts w:ascii="Times New Roman" w:hAnsi="Times New Roman"/>
          <w:noProof/>
          <w:sz w:val="24"/>
        </w:rPr>
        <w:t xml:space="preserve">Насърчаването на </w:t>
      </w:r>
      <w:r>
        <w:rPr>
          <w:rFonts w:ascii="Times New Roman" w:hAnsi="Times New Roman"/>
          <w:b/>
          <w:noProof/>
          <w:sz w:val="24"/>
        </w:rPr>
        <w:t>приобщаването от ранна възраст</w:t>
      </w:r>
      <w:r>
        <w:rPr>
          <w:rFonts w:ascii="Times New Roman" w:hAnsi="Times New Roman"/>
          <w:noProof/>
          <w:sz w:val="24"/>
        </w:rPr>
        <w:t xml:space="preserve"> е от решаващо значение за благосъстоянието и развитието на ЛГБТИК+ лицата. Приобщаващата и подкрепяща среда помага на младите хора да изградят увереност, устойчивост и положително чувство за идентичност, като същевременно насърчава съпричастността и уважението между всички. Когато децата растат в среда, в която се зачита многообразието, е по-вероятно те да процъфтяват в академично, социално и емоционално отношение и да пренесат тези приобщаващи ценности в зрялата си възраст, предавайки ги на бъдещите поколения.</w:t>
      </w:r>
    </w:p>
    <w:p w14:paraId="5EE7B199" w14:textId="77777777" w:rsidR="00D4783C" w:rsidRDefault="00D4783C">
      <w:pPr>
        <w:rPr>
          <w:rFonts w:ascii="Times New Roman" w:hAnsi="Times New Roman"/>
          <w:noProof/>
          <w:sz w:val="24"/>
        </w:rPr>
      </w:pPr>
      <w:r>
        <w:rPr>
          <w:noProof/>
        </w:rPr>
        <w:br w:type="page"/>
      </w:r>
    </w:p>
    <w:p w14:paraId="07472E6A" w14:textId="1DB25EB3" w:rsidR="00790D57" w:rsidRPr="00EF6AC5" w:rsidRDefault="00E664F0" w:rsidP="001B26C2">
      <w:pPr>
        <w:spacing w:line="276" w:lineRule="auto"/>
        <w:jc w:val="both"/>
        <w:rPr>
          <w:rFonts w:ascii="Times New Roman" w:hAnsi="Times New Roman" w:cs="Times New Roman"/>
          <w:noProof/>
          <w:sz w:val="24"/>
          <w:szCs w:val="24"/>
        </w:rPr>
      </w:pPr>
      <w:r>
        <w:rPr>
          <w:rFonts w:ascii="Times New Roman" w:hAnsi="Times New Roman"/>
          <w:noProof/>
          <w:sz w:val="24"/>
        </w:rPr>
        <w:t xml:space="preserve">Въпреки това, както вече е посочено в </w:t>
      </w:r>
      <w:hyperlink r:id="rId53" w:history="1">
        <w:r>
          <w:rPr>
            <w:rStyle w:val="Hyperlink"/>
            <w:rFonts w:ascii="Times New Roman" w:hAnsi="Times New Roman"/>
            <w:b/>
            <w:noProof/>
            <w:sz w:val="24"/>
          </w:rPr>
          <w:t>Стратегията за равнопоставеност на ЛГБТИК за 2020—2025 г.</w:t>
        </w:r>
      </w:hyperlink>
      <w:r>
        <w:rPr>
          <w:noProof/>
        </w:rPr>
        <w:t>,</w:t>
      </w:r>
      <w:r>
        <w:rPr>
          <w:rFonts w:ascii="Times New Roman" w:hAnsi="Times New Roman"/>
          <w:noProof/>
          <w:sz w:val="24"/>
        </w:rPr>
        <w:t xml:space="preserve"> децата от семейства на дъгата и ЛГБТИК+ младежите често се сблъскват със стигма и дискриминация от ранна възраст. Освен това според третото проучване на FRA за ЛГБТИК две трети от ЛГБТИК лицата (67 %) съобщават, че по време на обучението си в училище са били подложени на тормоз, подигравки, дразнене, обиди или заплахи. Тези инциденти могат да имат дългосрочни последици.</w:t>
      </w:r>
    </w:p>
    <w:p w14:paraId="2BC22B7E" w14:textId="5E433441" w:rsidR="00A80D72" w:rsidRPr="00E83524" w:rsidRDefault="00344AF9" w:rsidP="00821DE8">
      <w:pPr>
        <w:spacing w:line="276" w:lineRule="auto"/>
        <w:jc w:val="both"/>
        <w:rPr>
          <w:rFonts w:ascii="Times New Roman" w:hAnsi="Times New Roman"/>
          <w:noProof/>
          <w:sz w:val="24"/>
        </w:rPr>
      </w:pPr>
      <w:r>
        <w:rPr>
          <w:rFonts w:ascii="Times New Roman" w:hAnsi="Times New Roman"/>
          <w:noProof/>
          <w:sz w:val="24"/>
        </w:rPr>
        <w:t xml:space="preserve">Комисията ще продължи да улеснява обмена на най-добри практики в областта на безопасното и приобщаващо образование за всички между държавите членки и експертите в рамките на </w:t>
      </w:r>
      <w:r>
        <w:rPr>
          <w:rFonts w:ascii="Times New Roman" w:hAnsi="Times New Roman"/>
          <w:b/>
          <w:noProof/>
          <w:sz w:val="24"/>
        </w:rPr>
        <w:t>работните групи по стратегическата рамка на европейското пространство за образование</w:t>
      </w:r>
      <w:r>
        <w:rPr>
          <w:rFonts w:ascii="Times New Roman" w:hAnsi="Times New Roman"/>
          <w:noProof/>
          <w:sz w:val="24"/>
        </w:rPr>
        <w:t>. Това действие отразява силния акцент, който заинтересованите страни поставиха върху образованието по време на консултациите за стратегията.</w:t>
      </w:r>
    </w:p>
    <w:p w14:paraId="79440B08" w14:textId="01945D89" w:rsidR="00A129E2" w:rsidRDefault="00F94288"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Тези усилия са допълнително подсилени от </w:t>
      </w:r>
      <w:hyperlink r:id="rId54" w:history="1">
        <w:r>
          <w:rPr>
            <w:rStyle w:val="Hyperlink"/>
            <w:rFonts w:ascii="Times New Roman" w:hAnsi="Times New Roman"/>
            <w:b/>
            <w:noProof/>
            <w:sz w:val="24"/>
          </w:rPr>
          <w:t>Стратегията на ЕС за правата на детето</w:t>
        </w:r>
      </w:hyperlink>
      <w:r>
        <w:rPr>
          <w:rFonts w:ascii="Times New Roman" w:hAnsi="Times New Roman"/>
          <w:b/>
          <w:noProof/>
          <w:sz w:val="24"/>
        </w:rPr>
        <w:t xml:space="preserve"> </w:t>
      </w:r>
      <w:r>
        <w:rPr>
          <w:rFonts w:ascii="Times New Roman" w:hAnsi="Times New Roman"/>
          <w:noProof/>
          <w:sz w:val="24"/>
        </w:rPr>
        <w:t xml:space="preserve">и Мрежата на ЕС за правата на детето. Препоръката от 2024 г. относно разработването и укрепването на интегрирани системи за закрила на детето във висшия интерес на детето насърчава мултидисциплинарния подход към закрилата на детето. Тя подкрепя държавите членки да развиват и укрепват своите системи за закрила на детето в съответствие с нуждите на децата и в техния висш интерес. Освен това </w:t>
      </w:r>
      <w:r>
        <w:rPr>
          <w:rFonts w:ascii="Times New Roman" w:hAnsi="Times New Roman"/>
          <w:b/>
          <w:noProof/>
          <w:sz w:val="24"/>
        </w:rPr>
        <w:t xml:space="preserve">Платформата на ЕС за участие на децата </w:t>
      </w:r>
      <w:r>
        <w:rPr>
          <w:rFonts w:ascii="Times New Roman" w:hAnsi="Times New Roman"/>
          <w:noProof/>
          <w:sz w:val="24"/>
        </w:rPr>
        <w:t xml:space="preserve">предоставя на децата от ЕС приобщаващо пространство, в което те могат да обсъждат важни за тях теми с отговарящите за изработването на политики. </w:t>
      </w:r>
    </w:p>
    <w:p w14:paraId="0BAD78A9" w14:textId="4BC5AE76" w:rsidR="00711CEE" w:rsidRDefault="00711CEE" w:rsidP="00711CEE">
      <w:pPr>
        <w:jc w:val="both"/>
        <w:rPr>
          <w:rFonts w:ascii="Times New Roman" w:hAnsi="Times New Roman" w:cs="Times New Roman"/>
          <w:noProof/>
          <w:sz w:val="24"/>
          <w:szCs w:val="24"/>
        </w:rPr>
      </w:pPr>
      <w:r>
        <w:rPr>
          <w:rFonts w:ascii="Times New Roman" w:hAnsi="Times New Roman"/>
          <w:noProof/>
          <w:sz w:val="24"/>
        </w:rPr>
        <w:t xml:space="preserve">Комисията ще се опира и на инициативата </w:t>
      </w:r>
      <w:hyperlink r:id="rId55" w:history="1">
        <w:r>
          <w:rPr>
            <w:rStyle w:val="Hyperlink"/>
            <w:rFonts w:ascii="Times New Roman" w:hAnsi="Times New Roman"/>
            <w:noProof/>
            <w:sz w:val="24"/>
          </w:rPr>
          <w:t>„Нов европейски Баухаус“</w:t>
        </w:r>
      </w:hyperlink>
      <w:r>
        <w:rPr>
          <w:rFonts w:ascii="Times New Roman" w:hAnsi="Times New Roman"/>
          <w:noProof/>
          <w:sz w:val="24"/>
        </w:rPr>
        <w:t>, която свързва устойчивостта, приобщаването и естетиката, за да насърчава безопасни и приветливи пространства за всички. Като насърчава приобщаващия дизайн в обществените пространства, училищата и общностите, „Новият европейски Баухаус“ може да допринесе за намаляване на стигмата, повишаване на видимостта и създаване на среда, в която ЛГБТИК+ лицата са включени и могат да се чувстват сигурни и ценени.</w:t>
      </w:r>
    </w:p>
    <w:p w14:paraId="539EB826" w14:textId="1B5E8357" w:rsidR="00BF5C2F" w:rsidRPr="00E83524" w:rsidRDefault="004F302C" w:rsidP="00821DE8">
      <w:pPr>
        <w:spacing w:line="276" w:lineRule="auto"/>
        <w:jc w:val="both"/>
        <w:rPr>
          <w:rFonts w:ascii="Times New Roman" w:hAnsi="Times New Roman"/>
          <w:noProof/>
          <w:sz w:val="24"/>
        </w:rPr>
      </w:pPr>
      <w:r>
        <w:rPr>
          <w:rFonts w:ascii="Times New Roman" w:hAnsi="Times New Roman"/>
          <w:noProof/>
          <w:sz w:val="24"/>
        </w:rPr>
        <w:t xml:space="preserve">Комисията ще продължи да си сътрудничи с младежки организации, които се стремят да се застъпват за правата на ЛГБТИК+ младежите, чрез </w:t>
      </w:r>
      <w:hyperlink r:id="rId56" w:history="1">
        <w:r>
          <w:rPr>
            <w:rStyle w:val="Hyperlink"/>
            <w:rFonts w:ascii="Times New Roman" w:hAnsi="Times New Roman"/>
            <w:b/>
            <w:noProof/>
            <w:sz w:val="24"/>
          </w:rPr>
          <w:t>Групата на заинтересованите страни по въпросите на младежта в ЕС</w:t>
        </w:r>
      </w:hyperlink>
      <w:r>
        <w:rPr>
          <w:rFonts w:ascii="Times New Roman" w:hAnsi="Times New Roman"/>
          <w:noProof/>
          <w:sz w:val="24"/>
        </w:rPr>
        <w:t xml:space="preserve">. Приоритет остава осигуряването на приобщаващи възможности за професионално и личностно развитие на младите хора. Комисията ще продължи да се бори с пречките, свързани с дискриминацията в образованието, обучението, младежта и спорта, като използва съответните разходни инструменти на ЕС, като например програмите </w:t>
      </w:r>
      <w:r>
        <w:rPr>
          <w:rFonts w:ascii="Times New Roman" w:hAnsi="Times New Roman"/>
          <w:b/>
          <w:noProof/>
          <w:sz w:val="24"/>
        </w:rPr>
        <w:t xml:space="preserve">„Еразъм+“ </w:t>
      </w:r>
      <w:r>
        <w:rPr>
          <w:rFonts w:ascii="Times New Roman" w:hAnsi="Times New Roman"/>
          <w:noProof/>
          <w:sz w:val="24"/>
        </w:rPr>
        <w:t xml:space="preserve">и </w:t>
      </w:r>
      <w:r>
        <w:rPr>
          <w:rFonts w:ascii="Times New Roman" w:hAnsi="Times New Roman"/>
          <w:b/>
          <w:noProof/>
          <w:sz w:val="24"/>
        </w:rPr>
        <w:t>„Европейски корпус за солидарност“</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32"/>
      </w:r>
      <w:r>
        <w:rPr>
          <w:rFonts w:ascii="Times New Roman" w:hAnsi="Times New Roman"/>
          <w:noProof/>
          <w:sz w:val="24"/>
          <w:vertAlign w:val="superscript"/>
        </w:rPr>
        <w:t>)</w:t>
      </w:r>
      <w:r>
        <w:rPr>
          <w:rFonts w:ascii="Times New Roman" w:hAnsi="Times New Roman"/>
          <w:noProof/>
          <w:sz w:val="24"/>
        </w:rPr>
        <w:t>.</w:t>
      </w:r>
    </w:p>
    <w:p w14:paraId="7E5D956E" w14:textId="0A9108AE" w:rsidR="001D3E0A" w:rsidRPr="00EF6AC5" w:rsidRDefault="005B59A6"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По отношение на здравеопазването 14 % от ЛГБТИК лицата съобщават за дискриминация от страна на здравните специалисти, според третото проучване на FRA за ЛГБТИК. Това може да доведе до неравнопоставеност в превенцията, диагностиката и лечението, тъй като много хора избягват да търсят медицинска помощ поради страх от враждебна реакция. За да се справи с тези неравенства в здравеопазването, Комисията ще продължи да повишава осведомеността, да споделя информация и да улеснява обмена на знания, включително чрез </w:t>
      </w:r>
      <w:hyperlink r:id="rId57" w:history="1">
        <w:r>
          <w:rPr>
            <w:rStyle w:val="Hyperlink"/>
            <w:rFonts w:ascii="Times New Roman" w:hAnsi="Times New Roman"/>
            <w:b/>
            <w:noProof/>
            <w:sz w:val="24"/>
          </w:rPr>
          <w:t>платформата на ЕС за здравна политика</w:t>
        </w:r>
      </w:hyperlink>
      <w:r>
        <w:rPr>
          <w:rFonts w:ascii="Times New Roman" w:hAnsi="Times New Roman"/>
          <w:noProof/>
          <w:sz w:val="24"/>
        </w:rPr>
        <w:t xml:space="preserve">, </w:t>
      </w:r>
      <w:hyperlink r:id="rId58" w:history="1">
        <w:r>
          <w:rPr>
            <w:rStyle w:val="Hyperlink"/>
            <w:rFonts w:ascii="Times New Roman" w:hAnsi="Times New Roman"/>
            <w:b/>
            <w:noProof/>
            <w:sz w:val="24"/>
          </w:rPr>
          <w:t>портала за най-добри практики в областта на общественото здраве</w:t>
        </w:r>
      </w:hyperlink>
      <w:r>
        <w:rPr>
          <w:rFonts w:ascii="Times New Roman" w:hAnsi="Times New Roman"/>
          <w:b/>
          <w:noProof/>
          <w:sz w:val="24"/>
        </w:rPr>
        <w:t xml:space="preserve"> </w:t>
      </w:r>
      <w:r>
        <w:rPr>
          <w:rFonts w:ascii="Times New Roman" w:hAnsi="Times New Roman"/>
          <w:noProof/>
          <w:sz w:val="24"/>
        </w:rPr>
        <w:t xml:space="preserve">и чрез подкрепа за изследователски проекти за по-добър достъп до услуги в областта на здравеопазването и грижите чрез </w:t>
      </w:r>
      <w:r>
        <w:rPr>
          <w:rFonts w:ascii="Times New Roman" w:hAnsi="Times New Roman"/>
          <w:b/>
          <w:noProof/>
          <w:sz w:val="24"/>
        </w:rPr>
        <w:t>„Хоризонт Европа“</w:t>
      </w:r>
      <w:r>
        <w:rPr>
          <w:rFonts w:ascii="Times New Roman" w:hAnsi="Times New Roman"/>
          <w:noProof/>
          <w:sz w:val="24"/>
        </w:rPr>
        <w:t xml:space="preserve">. За да повиши осведомеността на здравните специалисти по въпросите на ЛГБТИК+, Комисията предостави на държавите членки учебни материали от </w:t>
      </w:r>
      <w:hyperlink r:id="rId59" w:anchor="fragment2" w:history="1">
        <w:r>
          <w:rPr>
            <w:rStyle w:val="Hyperlink"/>
            <w:rFonts w:ascii="Times New Roman" w:hAnsi="Times New Roman"/>
            <w:b/>
            <w:noProof/>
            <w:sz w:val="24"/>
          </w:rPr>
          <w:t>проекта HEALTH4LGBTI</w:t>
        </w:r>
      </w:hyperlink>
      <w:r>
        <w:rPr>
          <w:rFonts w:ascii="Times New Roman" w:hAnsi="Times New Roman"/>
          <w:noProof/>
          <w:sz w:val="24"/>
        </w:rPr>
        <w:t xml:space="preserve">. </w:t>
      </w:r>
    </w:p>
    <w:p w14:paraId="017AC901" w14:textId="77777777" w:rsidR="00D4783C" w:rsidRDefault="00D4783C">
      <w:pPr>
        <w:rPr>
          <w:rFonts w:ascii="Times New Roman" w:hAnsi="Times New Roman" w:cs="Times New Roman"/>
          <w:noProof/>
          <w:sz w:val="24"/>
          <w:szCs w:val="24"/>
        </w:rPr>
      </w:pPr>
      <w:r>
        <w:rPr>
          <w:noProof/>
        </w:rPr>
        <w:br w:type="page"/>
      </w:r>
    </w:p>
    <w:p w14:paraId="0EFC645B" w14:textId="4C700BA0" w:rsidR="00F666FF" w:rsidRDefault="68C274C0"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В областта на превантивните грижи Комисията ще продължи да се фокусира върху онези, които са изправени пред застъпващи се уязвимости и неравнопоставеност в здравеопазването. В областта на контрола на рака нуждите на хората в уязвимо положение, включително на ЛГБТИК+ лицата, ще продължат да бъдат задоволявани чрез изпълнението на </w:t>
      </w:r>
      <w:hyperlink r:id="rId60" w:history="1">
        <w:r>
          <w:rPr>
            <w:rStyle w:val="Hyperlink"/>
            <w:rFonts w:ascii="Times New Roman" w:hAnsi="Times New Roman"/>
            <w:b/>
            <w:noProof/>
            <w:sz w:val="24"/>
          </w:rPr>
          <w:t>Европейския план за борба с рака</w:t>
        </w:r>
      </w:hyperlink>
      <w:r>
        <w:rPr>
          <w:rFonts w:ascii="Times New Roman" w:hAnsi="Times New Roman"/>
          <w:noProof/>
          <w:sz w:val="24"/>
        </w:rPr>
        <w:t xml:space="preserve">, а </w:t>
      </w:r>
      <w:hyperlink r:id="rId61" w:history="1">
        <w:r>
          <w:rPr>
            <w:rStyle w:val="Hyperlink"/>
            <w:rFonts w:ascii="Times New Roman" w:hAnsi="Times New Roman"/>
            <w:noProof/>
            <w:sz w:val="24"/>
          </w:rPr>
          <w:t>Европейският регистър на неравенствата по отношение на рака</w:t>
        </w:r>
      </w:hyperlink>
      <w:r>
        <w:rPr>
          <w:rFonts w:ascii="Times New Roman" w:hAnsi="Times New Roman"/>
          <w:noProof/>
          <w:sz w:val="24"/>
        </w:rPr>
        <w:t xml:space="preserve"> ще идентифицира тенденциите и неравнопоставеността в профилактиката на рака и грижите за болните от рак. Например честотата на раковите заболявания, свързани с човешкия папиломавирус (HPV) и хепатит В (HBV), е особено висока сред ЛГБТИК+ лицата</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33"/>
      </w:r>
      <w:r>
        <w:rPr>
          <w:rFonts w:ascii="Times New Roman" w:hAnsi="Times New Roman"/>
          <w:noProof/>
          <w:sz w:val="24"/>
          <w:vertAlign w:val="superscript"/>
        </w:rPr>
        <w:t>)</w:t>
      </w:r>
      <w:r>
        <w:rPr>
          <w:rFonts w:ascii="Times New Roman" w:hAnsi="Times New Roman"/>
          <w:noProof/>
          <w:sz w:val="24"/>
        </w:rPr>
        <w:t xml:space="preserve">. Комисията ще подкрепи укрепването и провеждането на </w:t>
      </w:r>
      <w:r>
        <w:rPr>
          <w:rFonts w:ascii="Times New Roman" w:hAnsi="Times New Roman"/>
          <w:b/>
          <w:noProof/>
          <w:sz w:val="24"/>
        </w:rPr>
        <w:t>основани на доказателства кампании за повишаване на осведомеността относно значението на ваксинацията срещу HPV и HBV като ефективни средства за профилактика на рака</w:t>
      </w:r>
      <w:r>
        <w:rPr>
          <w:rFonts w:ascii="Times New Roman" w:hAnsi="Times New Roman"/>
          <w:noProof/>
          <w:sz w:val="24"/>
        </w:rPr>
        <w:t>. Тези кампании ще приобщават ЛГБТИК+ и ще отчитат джендър особеностите, когато това е уместно.</w:t>
      </w:r>
    </w:p>
    <w:p w14:paraId="0B639BB8" w14:textId="797F0472" w:rsidR="00864CFD" w:rsidRDefault="52D4FFF6"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Освен това Комисията ще продължи да подкрепя </w:t>
      </w:r>
      <w:r>
        <w:rPr>
          <w:rFonts w:ascii="Times New Roman" w:hAnsi="Times New Roman"/>
          <w:b/>
          <w:bCs/>
          <w:noProof/>
          <w:sz w:val="24"/>
        </w:rPr>
        <w:t>глобалните стратегии на</w:t>
      </w:r>
      <w:r>
        <w:rPr>
          <w:rFonts w:ascii="Times New Roman" w:hAnsi="Times New Roman"/>
          <w:noProof/>
          <w:sz w:val="24"/>
        </w:rPr>
        <w:t xml:space="preserve"> </w:t>
      </w:r>
      <w:r>
        <w:rPr>
          <w:rFonts w:ascii="Times New Roman" w:hAnsi="Times New Roman"/>
          <w:b/>
          <w:noProof/>
          <w:sz w:val="24"/>
        </w:rPr>
        <w:t>Световната здравна организация</w:t>
      </w:r>
      <w:r>
        <w:rPr>
          <w:rFonts w:ascii="Times New Roman" w:hAnsi="Times New Roman"/>
          <w:noProof/>
          <w:sz w:val="24"/>
        </w:rPr>
        <w:t xml:space="preserve"> (</w:t>
      </w:r>
      <w:r>
        <w:rPr>
          <w:rFonts w:ascii="Times New Roman" w:hAnsi="Times New Roman"/>
          <w:b/>
          <w:noProof/>
          <w:sz w:val="24"/>
        </w:rPr>
        <w:t>СЗО) в областта на здравеопазването по отношение на ХИВ и свързаните с него съпътстващи инфекции</w:t>
      </w:r>
      <w:r>
        <w:rPr>
          <w:rFonts w:ascii="Times New Roman" w:hAnsi="Times New Roman"/>
          <w:noProof/>
          <w:sz w:val="24"/>
        </w:rPr>
        <w:t xml:space="preserve">, вирусния хепатит и полово предаваните инфекции. Тя ще работи и с Форума на гражданското общество на HERA, създаден в рамките на Органа за готовност и реакция при извънредни здравни ситуации (HERA), за да идентифицира системните бариери пред хората в уязвимо положение, включително ЛГБТИК+ лицата, при достъпа до ваксини, терапии и диагностика, като част от </w:t>
      </w:r>
      <w:hyperlink r:id="rId62" w:history="1">
        <w:r>
          <w:rPr>
            <w:rStyle w:val="Hyperlink"/>
            <w:rFonts w:ascii="Times New Roman" w:hAnsi="Times New Roman"/>
            <w:b/>
            <w:noProof/>
            <w:sz w:val="24"/>
          </w:rPr>
          <w:t>стратегията на ЕС за медицинските мерки за противодействие</w:t>
        </w:r>
      </w:hyperlink>
      <w:r>
        <w:rPr>
          <w:rFonts w:ascii="Times New Roman" w:hAnsi="Times New Roman"/>
          <w:noProof/>
          <w:sz w:val="24"/>
        </w:rPr>
        <w:t xml:space="preserve">. </w:t>
      </w:r>
    </w:p>
    <w:p w14:paraId="66F43919" w14:textId="43CE99FD" w:rsidR="0019144C" w:rsidRDefault="23276A3A" w:rsidP="00821DE8">
      <w:pPr>
        <w:spacing w:line="276" w:lineRule="auto"/>
        <w:jc w:val="both"/>
        <w:rPr>
          <w:rFonts w:ascii="Times New Roman" w:hAnsi="Times New Roman"/>
          <w:noProof/>
          <w:sz w:val="24"/>
          <w:szCs w:val="24"/>
        </w:rPr>
      </w:pPr>
      <w:r>
        <w:rPr>
          <w:rFonts w:ascii="Times New Roman" w:hAnsi="Times New Roman"/>
          <w:b/>
          <w:noProof/>
          <w:sz w:val="24"/>
        </w:rPr>
        <w:t>Психичното здраве</w:t>
      </w:r>
      <w:r>
        <w:rPr>
          <w:rFonts w:ascii="Times New Roman" w:hAnsi="Times New Roman"/>
          <w:noProof/>
          <w:sz w:val="24"/>
        </w:rPr>
        <w:t xml:space="preserve"> е друга критична област, в която ЛГБТИК+ лицата са изправени пред повишени рискове. По-специално ЛГБТИК+ лицата с увреждания са изложени на повишен риск от насилие, тормоз и последващи проблеми с психичното здраве: според третото проучване на FRA относно ЛГБТИК, 66 % от ЛГБТИК лицата с увреждания съобщават, че са обмисляли самоубийство през годината, предхождаща проучването. </w:t>
      </w:r>
    </w:p>
    <w:p w14:paraId="29FD0AC9" w14:textId="3F00C446" w:rsidR="0033463B" w:rsidRPr="00EF6AC5" w:rsidRDefault="23276A3A"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ще продължи да се фокусира върху всички лица в уязвимо положение чрез </w:t>
      </w:r>
      <w:hyperlink r:id="rId63">
        <w:r>
          <w:rPr>
            <w:rStyle w:val="Hyperlink"/>
            <w:rFonts w:ascii="Times New Roman" w:hAnsi="Times New Roman"/>
            <w:b/>
            <w:noProof/>
            <w:sz w:val="24"/>
          </w:rPr>
          <w:t>Съобщението относно всеобхватен подход към психичното здраве</w:t>
        </w:r>
      </w:hyperlink>
      <w:r>
        <w:rPr>
          <w:rStyle w:val="Hyperlink"/>
          <w:rFonts w:ascii="Times New Roman" w:hAnsi="Times New Roman"/>
          <w:noProof/>
          <w:sz w:val="24"/>
        </w:rPr>
        <w:t>,</w:t>
      </w:r>
      <w:r>
        <w:rPr>
          <w:rFonts w:ascii="Times New Roman" w:hAnsi="Times New Roman"/>
          <w:noProof/>
          <w:sz w:val="24"/>
        </w:rPr>
        <w:t xml:space="preserve"> включително пакета на ЕС за подкрепа във връзка със стигматизирането и дискриминацията</w:t>
      </w:r>
      <w:r>
        <w:rPr>
          <w:rFonts w:ascii="Times New Roman" w:hAnsi="Times New Roman"/>
          <w:noProof/>
          <w:sz w:val="24"/>
          <w:vertAlign w:val="superscript"/>
        </w:rPr>
        <w:t>(</w:t>
      </w:r>
      <w:r>
        <w:rPr>
          <w:rFonts w:ascii="Times New Roman" w:hAnsi="Times New Roman" w:cs="Times New Roman"/>
          <w:noProof/>
          <w:sz w:val="24"/>
          <w:szCs w:val="24"/>
          <w:vertAlign w:val="superscript"/>
        </w:rPr>
        <w:footnoteReference w:id="34"/>
      </w:r>
      <w:r>
        <w:rPr>
          <w:rFonts w:ascii="Times New Roman" w:hAnsi="Times New Roman"/>
          <w:noProof/>
          <w:sz w:val="24"/>
          <w:vertAlign w:val="superscript"/>
        </w:rPr>
        <w:t>)</w:t>
      </w:r>
      <w:r>
        <w:rPr>
          <w:rFonts w:ascii="Times New Roman" w:hAnsi="Times New Roman"/>
          <w:noProof/>
          <w:sz w:val="24"/>
        </w:rPr>
        <w:t xml:space="preserve">. Тя също така ще изгради синергии със </w:t>
      </w:r>
      <w:hyperlink r:id="rId64" w:history="1">
        <w:r>
          <w:rPr>
            <w:rStyle w:val="Hyperlink"/>
            <w:rFonts w:ascii="Times New Roman" w:hAnsi="Times New Roman"/>
            <w:b/>
            <w:noProof/>
            <w:sz w:val="24"/>
          </w:rPr>
          <w:t>стратегията за правата на хората с увреждания за периода 2021—2030 г.</w:t>
        </w:r>
      </w:hyperlink>
      <w:r>
        <w:rPr>
          <w:rFonts w:ascii="Times New Roman" w:hAnsi="Times New Roman"/>
          <w:noProof/>
          <w:sz w:val="24"/>
        </w:rPr>
        <w:t xml:space="preserve"> и ще насърчи обмена на най-добри практики по тази тема чрез Платформата за хората с увреждания.</w:t>
      </w:r>
    </w:p>
    <w:p w14:paraId="0FC08A94" w14:textId="77777777" w:rsidR="00D86FC1" w:rsidRDefault="00703015"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ще продължи да насърчава многообразието и приобщаването чрез </w:t>
      </w:r>
      <w:hyperlink r:id="rId65" w:history="1">
        <w:r>
          <w:rPr>
            <w:rStyle w:val="Hyperlink"/>
            <w:rFonts w:ascii="Times New Roman" w:hAnsi="Times New Roman"/>
            <w:b/>
            <w:noProof/>
            <w:sz w:val="24"/>
          </w:rPr>
          <w:t>програмата „Творческа Европа“</w:t>
        </w:r>
      </w:hyperlink>
      <w:r>
        <w:rPr>
          <w:rFonts w:ascii="Times New Roman" w:hAnsi="Times New Roman"/>
          <w:noProof/>
          <w:sz w:val="24"/>
        </w:rPr>
        <w:t xml:space="preserve"> (която следва да бъде последвана от предложената за периода 2028—2034 г. програма „АгораЕС“, за която понастоящем е в ход законодателен процес).</w:t>
      </w:r>
    </w:p>
    <w:p w14:paraId="05A3D28E" w14:textId="1B76789D" w:rsidR="00703015" w:rsidRPr="00D51260" w:rsidRDefault="00703015" w:rsidP="00821DE8">
      <w:pPr>
        <w:spacing w:line="276" w:lineRule="auto"/>
        <w:jc w:val="both"/>
        <w:rPr>
          <w:rFonts w:ascii="Times New Roman" w:hAnsi="Times New Roman"/>
          <w:noProof/>
          <w:sz w:val="24"/>
        </w:rPr>
      </w:pPr>
      <w:r>
        <w:rPr>
          <w:rFonts w:ascii="Times New Roman" w:hAnsi="Times New Roman"/>
          <w:noProof/>
          <w:sz w:val="24"/>
        </w:rPr>
        <w:t xml:space="preserve">Комисията ще продължи да отбелязва инициативите, които показват ролята на спорта за насърчаване на равенството и разнообразието, чрез </w:t>
      </w:r>
      <w:hyperlink r:id="rId66" w:history="1">
        <w:r>
          <w:rPr>
            <w:rStyle w:val="Hyperlink"/>
            <w:rFonts w:ascii="Times New Roman" w:hAnsi="Times New Roman"/>
            <w:b/>
            <w:noProof/>
            <w:sz w:val="24"/>
          </w:rPr>
          <w:t>спортните награди на ЕС #BeActive</w:t>
        </w:r>
      </w:hyperlink>
      <w:r>
        <w:rPr>
          <w:rFonts w:ascii="Times New Roman" w:hAnsi="Times New Roman"/>
          <w:noProof/>
          <w:sz w:val="24"/>
        </w:rPr>
        <w:t xml:space="preserve"> и да повишава осведомеността по време на </w:t>
      </w:r>
      <w:hyperlink r:id="rId67" w:history="1">
        <w:r>
          <w:rPr>
            <w:rStyle w:val="Hyperlink"/>
            <w:rFonts w:ascii="Times New Roman" w:hAnsi="Times New Roman"/>
            <w:noProof/>
            <w:sz w:val="24"/>
          </w:rPr>
          <w:t>Европейската седмица на спорта</w:t>
        </w:r>
      </w:hyperlink>
      <w:r>
        <w:rPr>
          <w:rFonts w:ascii="Times New Roman" w:hAnsi="Times New Roman"/>
          <w:noProof/>
          <w:sz w:val="24"/>
        </w:rPr>
        <w:t xml:space="preserve"> и чрез годишния спортен форум на ЕС. Тя също така ще насърчава обмена на добри практики между държавите членки относно начините за осигуряване на равен достъп до спорт.</w:t>
      </w:r>
    </w:p>
    <w:p w14:paraId="78D149EE" w14:textId="152F806F" w:rsidR="00703015" w:rsidRPr="00EB7285" w:rsidRDefault="00CB27E5" w:rsidP="00821DE8">
      <w:pPr>
        <w:spacing w:line="276" w:lineRule="auto"/>
        <w:jc w:val="both"/>
        <w:rPr>
          <w:rFonts w:ascii="Times New Roman" w:hAnsi="Times New Roman"/>
          <w:noProof/>
          <w:sz w:val="24"/>
        </w:rPr>
      </w:pPr>
      <w:r>
        <w:rPr>
          <w:rFonts w:ascii="Times New Roman" w:hAnsi="Times New Roman"/>
          <w:noProof/>
          <w:sz w:val="24"/>
        </w:rPr>
        <w:t xml:space="preserve">Чрез </w:t>
      </w:r>
      <w:r>
        <w:rPr>
          <w:rFonts w:ascii="Times New Roman" w:hAnsi="Times New Roman"/>
          <w:b/>
          <w:noProof/>
          <w:sz w:val="24"/>
        </w:rPr>
        <w:t>група по отворения метод на координация (ОМК) „Борба с речта на омразата в спорта“</w:t>
      </w:r>
      <w:r>
        <w:rPr>
          <w:rFonts w:ascii="Times New Roman" w:hAnsi="Times New Roman"/>
          <w:noProof/>
          <w:sz w:val="24"/>
        </w:rPr>
        <w:t xml:space="preserve">, създадена в рамките на </w:t>
      </w:r>
      <w:hyperlink r:id="rId68" w:history="1">
        <w:r>
          <w:rPr>
            <w:rStyle w:val="Hyperlink"/>
            <w:rFonts w:ascii="Times New Roman" w:hAnsi="Times New Roman"/>
            <w:noProof/>
            <w:sz w:val="24"/>
          </w:rPr>
          <w:t>Работния план на ЕС за спорта за периода 2024—2027 г.</w:t>
        </w:r>
      </w:hyperlink>
      <w:r>
        <w:rPr>
          <w:noProof/>
        </w:rPr>
        <w:t>,</w:t>
      </w:r>
      <w:r>
        <w:rPr>
          <w:rFonts w:ascii="Times New Roman" w:hAnsi="Times New Roman"/>
          <w:noProof/>
          <w:sz w:val="24"/>
        </w:rPr>
        <w:t xml:space="preserve"> Комисията ще предостави форум на държавите членки и заинтересованите страни за обмен на практики и разработване на препоръки за това как да се гарантира, че спортът е безопасно и приобщаващо пространство за всички, и как да се води борба с речта на омразата в спорта, включително насочената към ЛГБТИК+ лицата.</w:t>
      </w:r>
    </w:p>
    <w:p w14:paraId="1CDEC57A" w14:textId="4B38CB86" w:rsidR="00BF5C2F" w:rsidRPr="00E83524" w:rsidRDefault="005B7C30" w:rsidP="00821DE8">
      <w:pPr>
        <w:spacing w:line="276" w:lineRule="auto"/>
        <w:jc w:val="both"/>
        <w:rPr>
          <w:rFonts w:ascii="Times New Roman" w:hAnsi="Times New Roman"/>
          <w:noProof/>
          <w:sz w:val="24"/>
        </w:rPr>
      </w:pPr>
      <w:r>
        <w:rPr>
          <w:rFonts w:ascii="Times New Roman" w:hAnsi="Times New Roman"/>
          <w:noProof/>
          <w:sz w:val="24"/>
        </w:rPr>
        <w:t xml:space="preserve">В областта на транспорта Комисията ще продължи да подобрява многообразието, равенството и приобщаването чрез мрежата от </w:t>
      </w:r>
      <w:bookmarkStart w:id="9" w:name="_Hlk199259780"/>
      <w:r>
        <w:rPr>
          <w:rFonts w:ascii="Times New Roman" w:hAnsi="Times New Roman"/>
          <w:noProof/>
          <w:sz w:val="24"/>
        </w:rPr>
        <w:fldChar w:fldCharType="begin" w:fldLock="1"/>
      </w:r>
      <w:r>
        <w:rPr>
          <w:rFonts w:ascii="Times New Roman" w:hAnsi="Times New Roman" w:cs="Times New Roman"/>
          <w:noProof/>
          <w:sz w:val="24"/>
        </w:rPr>
        <w:instrText>HYPERLINK "https://transport.ec.europa.eu/transport-themes/social-issues-equality-and-attractiveness-transport-sector/equality/diversity-ambassadors-transport_bg"</w:instrText>
      </w:r>
      <w:r>
        <w:rPr>
          <w:rFonts w:ascii="Times New Roman" w:hAnsi="Times New Roman"/>
          <w:noProof/>
          <w:sz w:val="24"/>
        </w:rPr>
        <w:fldChar w:fldCharType="separate"/>
      </w:r>
      <w:r>
        <w:rPr>
          <w:rStyle w:val="Hyperlink"/>
          <w:rFonts w:ascii="Times New Roman" w:hAnsi="Times New Roman"/>
          <w:noProof/>
          <w:sz w:val="24"/>
        </w:rPr>
        <w:t xml:space="preserve">Посланици на </w:t>
      </w:r>
      <w:r>
        <w:rPr>
          <w:rStyle w:val="Hyperlink"/>
          <w:rFonts w:ascii="Times New Roman" w:hAnsi="Times New Roman"/>
          <w:b/>
          <w:noProof/>
          <w:sz w:val="24"/>
        </w:rPr>
        <w:t>#DiversityInTransport</w:t>
      </w:r>
      <w:bookmarkEnd w:id="9"/>
      <w:r>
        <w:rPr>
          <w:rFonts w:ascii="Times New Roman" w:hAnsi="Times New Roman"/>
          <w:noProof/>
          <w:sz w:val="24"/>
        </w:rPr>
        <w:fldChar w:fldCharType="end"/>
      </w:r>
      <w:r>
        <w:rPr>
          <w:rFonts w:ascii="Times New Roman" w:hAnsi="Times New Roman"/>
          <w:noProof/>
          <w:sz w:val="24"/>
        </w:rPr>
        <w:t xml:space="preserve"> и ще гарантира, че политиките са приобщаващи.</w:t>
      </w:r>
    </w:p>
    <w:p w14:paraId="305AB483" w14:textId="77777777" w:rsidR="00DB6E0F" w:rsidRDefault="00926DAD" w:rsidP="00821DE8">
      <w:pPr>
        <w:spacing w:line="276" w:lineRule="auto"/>
        <w:jc w:val="both"/>
        <w:rPr>
          <w:rFonts w:ascii="Times New Roman" w:hAnsi="Times New Roman"/>
          <w:noProof/>
          <w:sz w:val="24"/>
        </w:rPr>
      </w:pPr>
      <w:r>
        <w:rPr>
          <w:rFonts w:ascii="Times New Roman" w:hAnsi="Times New Roman"/>
          <w:noProof/>
          <w:sz w:val="24"/>
        </w:rPr>
        <w:t>Изкуственият интелект (ИИ) бързо трансформира технологичния пейзаж и притежава огромен потенциал за подобряване на живота и революционизиране на индустриите. Този потенциал обаче е свързан и с предизвикателства, особено с риска от засилване на съществуващите предразсъдъци</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35"/>
      </w:r>
      <w:r>
        <w:rPr>
          <w:rFonts w:ascii="Times New Roman" w:hAnsi="Times New Roman"/>
          <w:noProof/>
          <w:sz w:val="24"/>
          <w:vertAlign w:val="superscript"/>
        </w:rPr>
        <w:t>)</w:t>
      </w:r>
      <w:r>
        <w:rPr>
          <w:rFonts w:ascii="Times New Roman" w:hAnsi="Times New Roman"/>
          <w:noProof/>
          <w:sz w:val="24"/>
        </w:rPr>
        <w:t xml:space="preserve">. За да се справи с това, </w:t>
      </w:r>
      <w:hyperlink r:id="rId69" w:history="1">
        <w:r>
          <w:rPr>
            <w:rStyle w:val="Hyperlink"/>
            <w:rFonts w:ascii="Times New Roman" w:hAnsi="Times New Roman"/>
            <w:b/>
            <w:noProof/>
            <w:sz w:val="24"/>
          </w:rPr>
          <w:t>Законодателният акт за изкуствения интелект</w:t>
        </w:r>
      </w:hyperlink>
      <w:r>
        <w:rPr>
          <w:rFonts w:ascii="Times New Roman" w:hAnsi="Times New Roman"/>
          <w:b/>
          <w:noProof/>
          <w:sz w:val="24"/>
        </w:rPr>
        <w:t xml:space="preserve"> </w:t>
      </w:r>
      <w:r>
        <w:rPr>
          <w:rFonts w:ascii="Times New Roman" w:hAnsi="Times New Roman"/>
          <w:noProof/>
          <w:sz w:val="24"/>
        </w:rPr>
        <w:t xml:space="preserve">забранява системите с изкуствен интелект, които категоризират лицата въз основа на техните биометрични данни, за да направят извод за сексуалната им ориентация, или които вредят на потребителите, като ги манипулират, заблуждават или използват техните уязвимости. </w:t>
      </w:r>
    </w:p>
    <w:p w14:paraId="364B03D4" w14:textId="74554314" w:rsidR="00A80D72" w:rsidRPr="00E83524" w:rsidRDefault="00A21C7D" w:rsidP="00821DE8">
      <w:pPr>
        <w:spacing w:line="276" w:lineRule="auto"/>
        <w:jc w:val="both"/>
        <w:rPr>
          <w:rFonts w:ascii="Times New Roman" w:hAnsi="Times New Roman"/>
          <w:noProof/>
          <w:sz w:val="24"/>
        </w:rPr>
      </w:pPr>
      <w:r>
        <w:rPr>
          <w:rFonts w:ascii="Times New Roman" w:hAnsi="Times New Roman"/>
          <w:noProof/>
          <w:sz w:val="24"/>
        </w:rPr>
        <w:t xml:space="preserve">Освен това доставчиците на високорискови системи с изкуствен интелект трябва да вземат предвид рисковете за основните права, включително недискриминацията, преди да внедрят своите системи или да ги използват. При прилагането на тези правила Комисията ще се съсредоточи върху дискриминацията по различни признаци, включително сексуална ориентация, джендър идентичност/експресия или полови характеристики. За да насърчи информираното изготвяне на политики, Комисията ще предостави на държавите членки и други заинтересовани страни </w:t>
      </w:r>
      <w:r>
        <w:rPr>
          <w:rFonts w:ascii="Times New Roman" w:hAnsi="Times New Roman"/>
          <w:b/>
          <w:noProof/>
          <w:sz w:val="24"/>
        </w:rPr>
        <w:t>платформа за обсъждане на данни за равенство и изкуствен интелект</w:t>
      </w:r>
      <w:r>
        <w:rPr>
          <w:rFonts w:ascii="Times New Roman" w:hAnsi="Times New Roman"/>
          <w:noProof/>
          <w:sz w:val="24"/>
        </w:rPr>
        <w:t>.</w:t>
      </w:r>
    </w:p>
    <w:p w14:paraId="7E13AF53" w14:textId="035B9F93" w:rsidR="004143ED" w:rsidRDefault="00CB27E5"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също така планира да представи </w:t>
      </w:r>
      <w:r>
        <w:rPr>
          <w:rFonts w:ascii="Times New Roman" w:hAnsi="Times New Roman"/>
          <w:b/>
          <w:noProof/>
          <w:sz w:val="24"/>
        </w:rPr>
        <w:t>пътна карта за бъдещето на цифровото образование и умения до 2030 г.</w:t>
      </w:r>
      <w:r>
        <w:rPr>
          <w:rFonts w:ascii="Times New Roman" w:hAnsi="Times New Roman"/>
          <w:noProof/>
          <w:sz w:val="24"/>
        </w:rPr>
        <w:t xml:space="preserve"> като част от </w:t>
      </w:r>
      <w:hyperlink r:id="rId70">
        <w:r>
          <w:rPr>
            <w:rStyle w:val="Hyperlink"/>
            <w:rFonts w:ascii="Times New Roman" w:hAnsi="Times New Roman"/>
            <w:noProof/>
            <w:sz w:val="24"/>
          </w:rPr>
          <w:t>съюза на уменията</w:t>
        </w:r>
      </w:hyperlink>
      <w:r>
        <w:rPr>
          <w:rFonts w:ascii="Times New Roman" w:hAnsi="Times New Roman"/>
          <w:noProof/>
          <w:sz w:val="24"/>
        </w:rPr>
        <w:t>. Предвижда се пътната карта да въведе рамка за грамотност по отношение на изкуствения интелект за началното и средното образование, като засили усилията за борба с дезинформацията и невярната информация чрез обучение по цифрова грамотност, разгледа необходимостта от онлайн безопасност и цифрово благополучие и се бори със стереотипите от ранна възраст.</w:t>
      </w:r>
    </w:p>
    <w:p w14:paraId="3587112B" w14:textId="33322587" w:rsidR="00543FA6" w:rsidRDefault="000405D0" w:rsidP="00821DE8">
      <w:pPr>
        <w:spacing w:line="276"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Според третото проучване на FRA за ЛГБТИК лесбийките (42 %) и трансжените (64 %) съобщават за най-високи нива на дискриминация съответно по отношение на сексуалната ориентация и джендър идентичността. ЛБТИК+ жените могат да се сблъскат с дискриминация както като жени, така и като ЛБТИК+ лица. Новата стратегия за ЛГБТИК+ ще вземе предвид тази интерсекционална перспектива. Действията и мерките, предложени в предстоящата </w:t>
      </w:r>
      <w:r>
        <w:rPr>
          <w:rFonts w:ascii="Times New Roman" w:hAnsi="Times New Roman"/>
          <w:b/>
          <w:noProof/>
          <w:color w:val="000000" w:themeColor="text1"/>
          <w:sz w:val="24"/>
        </w:rPr>
        <w:t>Стратегия за равенство между половете за периода 2026—2030 г.</w:t>
      </w:r>
      <w:r>
        <w:rPr>
          <w:rFonts w:ascii="Times New Roman" w:hAnsi="Times New Roman"/>
          <w:noProof/>
          <w:color w:val="000000" w:themeColor="text1"/>
          <w:sz w:val="24"/>
        </w:rPr>
        <w:t>, ще се отнасят за жените и момичетата в цялото им многообразие.</w:t>
      </w:r>
    </w:p>
    <w:p w14:paraId="406FDE0C" w14:textId="77777777" w:rsidR="00C93FF6" w:rsidRPr="00DA53FF" w:rsidRDefault="00C93FF6" w:rsidP="004143ED">
      <w:pPr>
        <w:jc w:val="both"/>
        <w:rPr>
          <w:rFonts w:ascii="Times New Roman" w:hAnsi="Times New Roman" w:cs="Times New Roman"/>
          <w:noProof/>
          <w:color w:val="000000" w:themeColor="text1"/>
          <w:sz w:val="24"/>
          <w:szCs w:val="24"/>
        </w:rPr>
      </w:pPr>
    </w:p>
    <w:p w14:paraId="2BCEC25F" w14:textId="21242C8C" w:rsidR="00BF5C2F" w:rsidRPr="00EF6AC5" w:rsidRDefault="00BF5C2F" w:rsidP="008732F4">
      <w:pPr>
        <w:pStyle w:val="Heading3"/>
        <w:numPr>
          <w:ilvl w:val="1"/>
          <w:numId w:val="5"/>
        </w:numPr>
        <w:ind w:left="567" w:hanging="425"/>
        <w:jc w:val="both"/>
        <w:rPr>
          <w:rFonts w:ascii="Times New Roman" w:hAnsi="Times New Roman" w:cs="Times New Roman"/>
          <w:b/>
          <w:bCs/>
          <w:noProof/>
          <w:color w:val="auto"/>
          <w:sz w:val="24"/>
          <w:szCs w:val="24"/>
        </w:rPr>
      </w:pPr>
      <w:bookmarkStart w:id="10" w:name="_Hlk196473778"/>
      <w:r>
        <w:rPr>
          <w:rFonts w:ascii="Times New Roman" w:hAnsi="Times New Roman"/>
          <w:b/>
          <w:noProof/>
          <w:color w:val="auto"/>
          <w:sz w:val="24"/>
        </w:rPr>
        <w:t>Овластяване на ЛГБТИК+ чрез заетост и социално приобщаване</w:t>
      </w:r>
    </w:p>
    <w:p w14:paraId="185C659B" w14:textId="641C45BC" w:rsidR="004B32E2" w:rsidRDefault="004B3607" w:rsidP="00A36111">
      <w:pPr>
        <w:spacing w:line="276" w:lineRule="auto"/>
        <w:jc w:val="both"/>
        <w:rPr>
          <w:rFonts w:ascii="Times New Roman" w:hAnsi="Times New Roman" w:cs="Times New Roman"/>
          <w:noProof/>
          <w:sz w:val="24"/>
          <w:szCs w:val="24"/>
        </w:rPr>
      </w:pPr>
      <w:r>
        <w:rPr>
          <w:rFonts w:ascii="Times New Roman" w:hAnsi="Times New Roman"/>
          <w:noProof/>
          <w:sz w:val="24"/>
        </w:rPr>
        <w:t xml:space="preserve">Многообразието и приобщаването стимулират иновациите и </w:t>
      </w:r>
      <w:r>
        <w:rPr>
          <w:rFonts w:ascii="Times New Roman" w:hAnsi="Times New Roman"/>
          <w:b/>
          <w:noProof/>
          <w:sz w:val="24"/>
        </w:rPr>
        <w:t>укрепват конкурентоспособността на Европа</w:t>
      </w:r>
      <w:r>
        <w:rPr>
          <w:rFonts w:ascii="Times New Roman" w:hAnsi="Times New Roman"/>
          <w:noProof/>
          <w:sz w:val="24"/>
        </w:rPr>
        <w:t>. Приобщаващите работни места, които подкрепят ЛГБТИК+ лицата, се ползват от по-широки перспективи, креативност и решаване на проблеми. Третото проучване на FRA за ЛГБТИК показва намаляване на общата трудова дискриминация (18 %, с 3 процентни пункта по-малко от 2019 г.), включително при търсене на работа (9 %, с 1 процентен пункт по-малко). Освен това данните сочат, че търсещите работа ценят политиките за многообразие и приобщаване, когато си търсят работа, което подчертава значението на тези политики за привличане и задържане на таланти</w:t>
      </w:r>
      <w:r>
        <w:rPr>
          <w:rFonts w:ascii="Times New Roman" w:hAnsi="Times New Roman"/>
          <w:noProof/>
          <w:sz w:val="24"/>
          <w:vertAlign w:val="superscript"/>
        </w:rPr>
        <w:t>(</w:t>
      </w:r>
      <w:r>
        <w:rPr>
          <w:rStyle w:val="FootnoteReference"/>
          <w:rFonts w:ascii="Times New Roman" w:hAnsi="Times New Roman" w:cs="Times New Roman"/>
          <w:noProof/>
          <w:sz w:val="24"/>
          <w:szCs w:val="24"/>
        </w:rPr>
        <w:footnoteReference w:id="36"/>
      </w:r>
      <w:r>
        <w:rPr>
          <w:rFonts w:ascii="Times New Roman" w:hAnsi="Times New Roman"/>
          <w:noProof/>
          <w:sz w:val="24"/>
          <w:vertAlign w:val="superscript"/>
        </w:rPr>
        <w:t>)</w:t>
      </w:r>
      <w:r>
        <w:rPr>
          <w:rFonts w:ascii="Times New Roman" w:hAnsi="Times New Roman"/>
          <w:noProof/>
          <w:sz w:val="24"/>
        </w:rPr>
        <w:t>.</w:t>
      </w:r>
    </w:p>
    <w:p w14:paraId="73E7D261" w14:textId="05FB48FC" w:rsidR="00131826" w:rsidRPr="0021215C" w:rsidRDefault="00FF12D6" w:rsidP="00821DE8">
      <w:pPr>
        <w:spacing w:line="276" w:lineRule="auto"/>
        <w:jc w:val="both"/>
        <w:rPr>
          <w:rFonts w:ascii="Times New Roman" w:hAnsi="Times New Roman" w:cs="Times New Roman"/>
          <w:noProof/>
          <w:sz w:val="24"/>
          <w:szCs w:val="24"/>
        </w:rPr>
      </w:pPr>
      <w:hyperlink r:id="rId71" w:history="1">
        <w:r w:rsidR="00A33634">
          <w:rPr>
            <w:rStyle w:val="Hyperlink"/>
            <w:rFonts w:ascii="Times New Roman" w:hAnsi="Times New Roman"/>
            <w:b/>
            <w:noProof/>
            <w:sz w:val="24"/>
          </w:rPr>
          <w:t>Директива за равно третиране в областта на заетостта</w:t>
        </w:r>
      </w:hyperlink>
      <w:r w:rsidR="00A33634">
        <w:rPr>
          <w:rFonts w:ascii="Times New Roman" w:hAnsi="Times New Roman"/>
          <w:noProof/>
          <w:sz w:val="24"/>
        </w:rPr>
        <w:t xml:space="preserve"> закрепи в законодателството на ЕС правото на труд без дискриминация и тормоз, основани на сексуална ориентация, наред с други основания. Комисията ще продължи да следи за стриктното прилагане на тази директива и през 2026 г. ще публикува доклад за нейното прилагане. Въз основа на </w:t>
      </w:r>
      <w:hyperlink r:id="rId72" w:history="1">
        <w:r w:rsidR="00A33634">
          <w:rPr>
            <w:rStyle w:val="Hyperlink"/>
            <w:rFonts w:ascii="Times New Roman" w:hAnsi="Times New Roman"/>
            <w:noProof/>
            <w:sz w:val="24"/>
          </w:rPr>
          <w:t>Проучването относно санкциите за дискриминация</w:t>
        </w:r>
      </w:hyperlink>
      <w:r w:rsidR="00A33634">
        <w:rPr>
          <w:rFonts w:ascii="Times New Roman" w:hAnsi="Times New Roman"/>
          <w:noProof/>
          <w:sz w:val="24"/>
        </w:rPr>
        <w:t xml:space="preserve"> Комисията обмисля да предприеме допълнителни стъпки, за да помогне на държавите членки да гарантират, че санкциите, приети в националното законодателство съгласно Директива за равно третиране в областта на заетостта, са ефективни, пропорционални и възпиращи. Пояснението в </w:t>
      </w:r>
      <w:hyperlink r:id="rId73" w:history="1">
        <w:r w:rsidR="00A33634">
          <w:rPr>
            <w:rStyle w:val="Hyperlink"/>
            <w:rFonts w:ascii="Times New Roman" w:hAnsi="Times New Roman"/>
            <w:noProof/>
            <w:sz w:val="24"/>
          </w:rPr>
          <w:t>Директивата относно прозрачността в заплащането</w:t>
        </w:r>
      </w:hyperlink>
      <w:r w:rsidR="00A33634">
        <w:rPr>
          <w:rFonts w:ascii="Times New Roman" w:hAnsi="Times New Roman"/>
          <w:noProof/>
          <w:sz w:val="24"/>
        </w:rPr>
        <w:t>, че понятието за дискриминация включва комбинирана дискриминация, ще укрепи правото на равно заплащане, когато основаната на пола дискриминация е утежнена например от дискриминация, основана на сексуална ориентация.</w:t>
      </w:r>
    </w:p>
    <w:p w14:paraId="1EB15D44" w14:textId="4CBC0F29" w:rsidR="0016424E" w:rsidRPr="00397CD2" w:rsidRDefault="00FF12D6" w:rsidP="0016424E">
      <w:pPr>
        <w:spacing w:line="276" w:lineRule="auto"/>
        <w:jc w:val="both"/>
        <w:rPr>
          <w:rFonts w:ascii="Times New Roman" w:hAnsi="Times New Roman" w:cs="Times New Roman"/>
          <w:noProof/>
          <w:sz w:val="24"/>
          <w:szCs w:val="24"/>
        </w:rPr>
      </w:pPr>
      <w:hyperlink r:id="rId74" w:history="1">
        <w:r w:rsidR="0016424E">
          <w:rPr>
            <w:rStyle w:val="Hyperlink"/>
            <w:rFonts w:ascii="Times New Roman" w:hAnsi="Times New Roman"/>
            <w:noProof/>
            <w:sz w:val="24"/>
          </w:rPr>
          <w:t>Европейската мрежа от правни експерти в областта на равенството между половете и недискриминацията</w:t>
        </w:r>
      </w:hyperlink>
      <w:r w:rsidR="0016424E">
        <w:rPr>
          <w:rFonts w:ascii="Times New Roman" w:hAnsi="Times New Roman"/>
          <w:noProof/>
          <w:sz w:val="24"/>
        </w:rPr>
        <w:t xml:space="preserve"> възнамерява да публикува и </w:t>
      </w:r>
      <w:r w:rsidR="0016424E">
        <w:rPr>
          <w:rFonts w:ascii="Times New Roman" w:hAnsi="Times New Roman"/>
          <w:b/>
          <w:noProof/>
          <w:sz w:val="24"/>
        </w:rPr>
        <w:t>академичен доклад за съдебната практика на Съда на ЕС, свързана с правата на ЛГБТИК лицата</w:t>
      </w:r>
      <w:r w:rsidR="0016424E">
        <w:rPr>
          <w:rFonts w:ascii="Times New Roman" w:hAnsi="Times New Roman"/>
          <w:noProof/>
          <w:sz w:val="24"/>
        </w:rPr>
        <w:t>. В този доклад ще бъде направен анализ на развитието в тази област през последните три десетилетия.</w:t>
      </w:r>
    </w:p>
    <w:p w14:paraId="1D147ED2" w14:textId="2F13D7A5" w:rsidR="0019144C" w:rsidRPr="00BF0050" w:rsidRDefault="003075B4"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също така ще продължи да подкрепя председателствата на Съвета и държавите членки с всички възможни средства за постигане на необходимото единодушие по </w:t>
      </w:r>
      <w:hyperlink r:id="rId75" w:history="1">
        <w:r>
          <w:rPr>
            <w:rStyle w:val="Hyperlink"/>
            <w:rFonts w:ascii="Times New Roman" w:hAnsi="Times New Roman"/>
            <w:b/>
            <w:noProof/>
            <w:sz w:val="24"/>
          </w:rPr>
          <w:t>предложението за Директива за равното третиране</w:t>
        </w:r>
      </w:hyperlink>
      <w:r>
        <w:rPr>
          <w:rFonts w:ascii="Times New Roman" w:hAnsi="Times New Roman"/>
          <w:noProof/>
          <w:sz w:val="24"/>
        </w:rPr>
        <w:t>. Това предложение е градивен елемент за постигане на приоритета на Комисията за изграждане на Съюз на равенство и има за цел да запълни голяма празнина в законодателството на ЕС в областта на недискриминацията. Той ще разшири защитата срещу дискриминация на основата на сексуална ориентация, наред с другото, отвъд сферата на заетостта до области като социалната закрила, образованието и жилищното настаняване.</w:t>
      </w:r>
    </w:p>
    <w:bookmarkEnd w:id="10"/>
    <w:p w14:paraId="242E3108" w14:textId="142BA29F" w:rsidR="00BF4E88" w:rsidRDefault="1DA09982" w:rsidP="00821DE8">
      <w:pPr>
        <w:spacing w:line="276" w:lineRule="auto"/>
        <w:jc w:val="both"/>
        <w:rPr>
          <w:rFonts w:ascii="Times New Roman" w:hAnsi="Times New Roman"/>
          <w:noProof/>
          <w:sz w:val="24"/>
        </w:rPr>
      </w:pPr>
      <w:r>
        <w:rPr>
          <w:rFonts w:ascii="Times New Roman" w:hAnsi="Times New Roman"/>
          <w:noProof/>
          <w:sz w:val="24"/>
        </w:rPr>
        <w:t xml:space="preserve">За да се гарантира, че </w:t>
      </w:r>
      <w:r>
        <w:rPr>
          <w:rFonts w:ascii="Times New Roman" w:hAnsi="Times New Roman"/>
          <w:b/>
          <w:noProof/>
          <w:sz w:val="24"/>
        </w:rPr>
        <w:t>органите по въпросите на равенството</w:t>
      </w:r>
      <w:r>
        <w:rPr>
          <w:rFonts w:ascii="Times New Roman" w:hAnsi="Times New Roman"/>
          <w:noProof/>
          <w:sz w:val="24"/>
        </w:rPr>
        <w:t xml:space="preserve"> могат да допринасят ефективно за прилагането на директивите на ЕС за равенството, Комисията ще осигури правилното и пълно транспониране на директиви </w:t>
      </w:r>
      <w:hyperlink r:id="rId76" w:history="1">
        <w:r>
          <w:rPr>
            <w:rStyle w:val="Hyperlink"/>
            <w:rFonts w:ascii="Times New Roman" w:hAnsi="Times New Roman"/>
            <w:noProof/>
            <w:sz w:val="24"/>
          </w:rPr>
          <w:t>2024/1500</w:t>
        </w:r>
      </w:hyperlink>
      <w:r>
        <w:rPr>
          <w:rFonts w:ascii="Times New Roman" w:hAnsi="Times New Roman"/>
          <w:noProof/>
          <w:sz w:val="24"/>
          <w:vertAlign w:val="superscript"/>
        </w:rPr>
        <w:t xml:space="preserve"> </w:t>
      </w:r>
      <w:r>
        <w:rPr>
          <w:rFonts w:ascii="Times New Roman" w:hAnsi="Times New Roman"/>
          <w:noProof/>
          <w:sz w:val="24"/>
        </w:rPr>
        <w:t xml:space="preserve">и </w:t>
      </w:r>
      <w:hyperlink r:id="rId77" w:history="1">
        <w:r>
          <w:rPr>
            <w:rStyle w:val="Hyperlink"/>
            <w:rFonts w:ascii="Times New Roman" w:hAnsi="Times New Roman"/>
            <w:noProof/>
            <w:sz w:val="24"/>
          </w:rPr>
          <w:t>2024/1499</w:t>
        </w:r>
      </w:hyperlink>
      <w:r>
        <w:rPr>
          <w:rFonts w:ascii="Times New Roman" w:hAnsi="Times New Roman"/>
          <w:noProof/>
          <w:sz w:val="24"/>
        </w:rPr>
        <w:t>. Директивите имат за цел да гарантират независимостта, правомощията и ресурсите на органите по въпросите на равенството, като задължават държавите членки да гарантират, че органите по въпросите на равенството могат да помогнат на жертвите, и да разширят мандата на органите по въпросите на равнопоставеността, като включат в него и дискриминацията, основана на сексуална ориентация в областта на заетостта. Те също така засилват защитата на жертвите на дискриминация, основана на промяна на пола</w:t>
      </w:r>
      <w:r>
        <w:rPr>
          <w:rFonts w:ascii="Times New Roman" w:hAnsi="Times New Roman"/>
          <w:noProof/>
          <w:sz w:val="24"/>
          <w:vertAlign w:val="superscript"/>
        </w:rPr>
        <w:t>(</w:t>
      </w:r>
      <w:r>
        <w:rPr>
          <w:rStyle w:val="FootnoteReference"/>
          <w:rFonts w:ascii="Times New Roman" w:hAnsi="Times New Roman"/>
          <w:noProof/>
          <w:sz w:val="24"/>
        </w:rPr>
        <w:footnoteReference w:id="37"/>
      </w:r>
      <w:r>
        <w:rPr>
          <w:rFonts w:ascii="Times New Roman" w:hAnsi="Times New Roman"/>
          <w:noProof/>
          <w:sz w:val="24"/>
          <w:vertAlign w:val="superscript"/>
        </w:rPr>
        <w:t>)</w:t>
      </w:r>
      <w:r>
        <w:rPr>
          <w:rFonts w:ascii="Times New Roman" w:hAnsi="Times New Roman"/>
          <w:noProof/>
          <w:sz w:val="24"/>
        </w:rPr>
        <w:t>, когато такава дискриминация е призната от правото на ЕС. През 2026 г. Комисията ще приеме акт за изпълнение за установяване на показатели за функционирането на органите по въпросите на равенството, включително в борбата с дискриминацията.</w:t>
      </w:r>
    </w:p>
    <w:p w14:paraId="2241AE66" w14:textId="1C73C5A0" w:rsidR="00BF0050" w:rsidRPr="00BF0050" w:rsidRDefault="00BF0050" w:rsidP="00821DE8">
      <w:pPr>
        <w:spacing w:line="276" w:lineRule="auto"/>
        <w:jc w:val="both"/>
        <w:rPr>
          <w:rFonts w:ascii="Times New Roman" w:hAnsi="Times New Roman"/>
          <w:noProof/>
          <w:sz w:val="24"/>
        </w:rPr>
      </w:pPr>
      <w:r>
        <w:rPr>
          <w:rFonts w:ascii="Times New Roman" w:hAnsi="Times New Roman"/>
          <w:noProof/>
          <w:sz w:val="24"/>
        </w:rPr>
        <w:t>В качеството си на „</w:t>
      </w:r>
      <w:r>
        <w:rPr>
          <w:rFonts w:ascii="Times New Roman" w:hAnsi="Times New Roman"/>
          <w:b/>
          <w:noProof/>
          <w:sz w:val="24"/>
        </w:rPr>
        <w:t>пазител на Договорите</w:t>
      </w:r>
      <w:r>
        <w:rPr>
          <w:rFonts w:ascii="Times New Roman" w:hAnsi="Times New Roman"/>
          <w:noProof/>
          <w:sz w:val="24"/>
        </w:rPr>
        <w:t>“ Комисията ще следи за спазването на правото на ЕС от страна на държавите членки, ще използва всички инструменти, с които разполага, за да защити ценностите на ЕС, и няма да се поколебае да предприеме действия, когато е необходимо, както е правила в миналото. Например през юли 2022 г. Комисията заведе дело срещу Унгария пред Съда на ЕС във връзка с национални правила, които дискриминират лица въз основа на тяхната сексуална ориентация и полова идентичност</w:t>
      </w:r>
      <w:r>
        <w:rPr>
          <w:rFonts w:ascii="Times New Roman" w:hAnsi="Times New Roman"/>
          <w:noProof/>
          <w:sz w:val="24"/>
          <w:vertAlign w:val="superscript"/>
        </w:rPr>
        <w:t>(</w:t>
      </w:r>
      <w:r>
        <w:rPr>
          <w:rStyle w:val="FootnoteReference"/>
          <w:rFonts w:ascii="Times New Roman" w:hAnsi="Times New Roman"/>
          <w:noProof/>
          <w:sz w:val="24"/>
        </w:rPr>
        <w:footnoteReference w:id="38"/>
      </w:r>
      <w:r>
        <w:rPr>
          <w:rFonts w:ascii="Times New Roman" w:hAnsi="Times New Roman"/>
          <w:noProof/>
          <w:sz w:val="24"/>
          <w:vertAlign w:val="superscript"/>
        </w:rPr>
        <w:t>)</w:t>
      </w:r>
      <w:r>
        <w:rPr>
          <w:rFonts w:ascii="Times New Roman" w:hAnsi="Times New Roman"/>
          <w:noProof/>
          <w:sz w:val="24"/>
        </w:rPr>
        <w:t xml:space="preserve">. Комисията счете, че тези правила нарушават редица законодателни актове на ЕС, включително правилата на единния пазар, основните права на индивиди, по-специално на ЛГБТИК, и общите ценности, които са в основата на ЕС (член 2 от ДЕС). Шестнадесет държави членки и Европейският парламент встъпиха в производството в подкрепа на Комисията. Генералният адвокат представи </w:t>
      </w:r>
      <w:hyperlink r:id="rId78" w:history="1">
        <w:r>
          <w:rPr>
            <w:rStyle w:val="Hyperlink"/>
            <w:rFonts w:ascii="Times New Roman" w:hAnsi="Times New Roman"/>
            <w:noProof/>
            <w:sz w:val="24"/>
          </w:rPr>
          <w:t>заключение</w:t>
        </w:r>
      </w:hyperlink>
      <w:r>
        <w:rPr>
          <w:rFonts w:ascii="Times New Roman" w:hAnsi="Times New Roman"/>
          <w:noProof/>
          <w:sz w:val="24"/>
        </w:rPr>
        <w:t xml:space="preserve"> на 5 юни 2025 г. Към момента на приемане на настоящата стратегия решението на Съда на ЕС все още не е постановено.</w:t>
      </w:r>
    </w:p>
    <w:p w14:paraId="35636E24" w14:textId="01B6AF55" w:rsidR="00EC43C1" w:rsidRDefault="031D0C56" w:rsidP="00637BFD">
      <w:pPr>
        <w:spacing w:line="276" w:lineRule="auto"/>
        <w:jc w:val="both"/>
        <w:rPr>
          <w:rFonts w:ascii="Times New Roman" w:hAnsi="Times New Roman" w:cs="Times New Roman"/>
          <w:noProof/>
          <w:sz w:val="24"/>
          <w:szCs w:val="24"/>
        </w:rPr>
      </w:pPr>
      <w:r>
        <w:rPr>
          <w:rFonts w:ascii="Times New Roman" w:hAnsi="Times New Roman"/>
          <w:noProof/>
          <w:sz w:val="24"/>
        </w:rPr>
        <w:t xml:space="preserve">В областта на </w:t>
      </w:r>
      <w:r>
        <w:rPr>
          <w:rFonts w:ascii="Times New Roman" w:hAnsi="Times New Roman"/>
          <w:b/>
          <w:noProof/>
          <w:sz w:val="24"/>
        </w:rPr>
        <w:t>управлението на многообразието</w:t>
      </w:r>
      <w:r>
        <w:rPr>
          <w:rFonts w:ascii="Times New Roman" w:hAnsi="Times New Roman"/>
          <w:noProof/>
          <w:sz w:val="24"/>
        </w:rPr>
        <w:t xml:space="preserve"> Комисията потвърждава своя непоколебим ангажимент за насърчаване на многообразието и приобщаването на работното място, особено в момент, когато напредъкът в тази област среща все по-голям отпор. </w:t>
      </w:r>
      <w:hyperlink r:id="rId79" w:history="1">
        <w:r>
          <w:rPr>
            <w:rStyle w:val="Hyperlink"/>
            <w:rFonts w:ascii="Times New Roman" w:hAnsi="Times New Roman"/>
            <w:noProof/>
            <w:sz w:val="24"/>
          </w:rPr>
          <w:t>Данни на ОИСР</w:t>
        </w:r>
      </w:hyperlink>
      <w:r>
        <w:rPr>
          <w:rFonts w:ascii="Times New Roman" w:hAnsi="Times New Roman"/>
          <w:noProof/>
          <w:sz w:val="24"/>
        </w:rPr>
        <w:t xml:space="preserve"> показват, че компаниите, които активно насърчават многообразието и приобщаването, е по-вероятно да привлекат и задържат таланти, да насърчат иновациите и да постигнат по-добри финансови резултати.</w:t>
      </w:r>
    </w:p>
    <w:p w14:paraId="6FC681DD" w14:textId="24D3E299" w:rsidR="00BF5C2F" w:rsidRPr="004143ED" w:rsidRDefault="3B9D2B12" w:rsidP="00821DE8">
      <w:pPr>
        <w:spacing w:line="276" w:lineRule="auto"/>
        <w:jc w:val="both"/>
        <w:rPr>
          <w:rFonts w:ascii="Times New Roman" w:hAnsi="Times New Roman"/>
          <w:noProof/>
          <w:sz w:val="24"/>
          <w:szCs w:val="24"/>
        </w:rPr>
      </w:pPr>
      <w:r>
        <w:rPr>
          <w:rFonts w:ascii="Times New Roman" w:hAnsi="Times New Roman"/>
          <w:noProof/>
          <w:sz w:val="24"/>
        </w:rPr>
        <w:t xml:space="preserve">Комисията ще продължи да укрепва усилията, насочени към ЛГБТИК+, в рамките на </w:t>
      </w:r>
      <w:hyperlink r:id="rId80" w:history="1">
        <w:r>
          <w:rPr>
            <w:rStyle w:val="Hyperlink"/>
            <w:rFonts w:ascii="Times New Roman" w:hAnsi="Times New Roman"/>
            <w:b/>
            <w:noProof/>
            <w:sz w:val="24"/>
          </w:rPr>
          <w:t>Платформата на ЕС</w:t>
        </w:r>
        <w:r>
          <w:rPr>
            <w:rStyle w:val="Hyperlink"/>
            <w:rFonts w:ascii="Times New Roman" w:hAnsi="Times New Roman"/>
            <w:noProof/>
            <w:sz w:val="24"/>
          </w:rPr>
          <w:t xml:space="preserve"> </w:t>
        </w:r>
        <w:r>
          <w:rPr>
            <w:rStyle w:val="Hyperlink"/>
            <w:rFonts w:ascii="Times New Roman" w:hAnsi="Times New Roman"/>
            <w:b/>
            <w:noProof/>
            <w:sz w:val="24"/>
          </w:rPr>
          <w:t>хартите на многообразието</w:t>
        </w:r>
      </w:hyperlink>
      <w:r>
        <w:rPr>
          <w:rFonts w:ascii="Times New Roman" w:hAnsi="Times New Roman"/>
          <w:noProof/>
          <w:sz w:val="24"/>
        </w:rPr>
        <w:t xml:space="preserve">. Платформата ще работи в тясно сътрудничество с експертната група по въпросите на равнопоставеността на ЛГБТИК+, за да улесни диалога и да предостави насоки, например относно </w:t>
      </w:r>
      <w:r>
        <w:rPr>
          <w:rFonts w:ascii="Times New Roman" w:hAnsi="Times New Roman"/>
          <w:b/>
          <w:noProof/>
          <w:sz w:val="24"/>
        </w:rPr>
        <w:t>приобщаващи практики за наемане на работа</w:t>
      </w:r>
      <w:r>
        <w:rPr>
          <w:rFonts w:ascii="Times New Roman" w:hAnsi="Times New Roman"/>
          <w:noProof/>
          <w:sz w:val="24"/>
        </w:rPr>
        <w:t xml:space="preserve">. Добрите практики, възникнали в контекста на инициативите за приобщаваща заетост, като например </w:t>
      </w:r>
      <w:hyperlink r:id="rId81" w:history="1">
        <w:r>
          <w:rPr>
            <w:rStyle w:val="Hyperlink"/>
            <w:rFonts w:ascii="Times New Roman" w:hAnsi="Times New Roman"/>
            <w:noProof/>
            <w:sz w:val="24"/>
          </w:rPr>
          <w:t>Пакетът за заетостта на хората с увреждания</w:t>
        </w:r>
      </w:hyperlink>
      <w:r>
        <w:rPr>
          <w:rFonts w:ascii="Times New Roman" w:hAnsi="Times New Roman"/>
          <w:noProof/>
          <w:sz w:val="24"/>
        </w:rPr>
        <w:t xml:space="preserve">, ще бъдат взети под внимание, включително с оглед насърчаване на интерсекционалните подходи. Комисията приветства </w:t>
      </w:r>
      <w:hyperlink r:id="rId82" w:history="1">
        <w:r>
          <w:rPr>
            <w:rStyle w:val="Hyperlink"/>
            <w:rFonts w:ascii="Times New Roman" w:hAnsi="Times New Roman"/>
            <w:noProof/>
            <w:sz w:val="24"/>
          </w:rPr>
          <w:t>ангажимента</w:t>
        </w:r>
      </w:hyperlink>
      <w:r>
        <w:rPr>
          <w:rFonts w:ascii="Times New Roman" w:hAnsi="Times New Roman"/>
          <w:noProof/>
          <w:sz w:val="24"/>
        </w:rPr>
        <w:t xml:space="preserve"> за насърчаване на по-приобщаващи работни места, представено от хартите на многообразието</w:t>
      </w:r>
      <w:r>
        <w:rPr>
          <w:rFonts w:ascii="Times New Roman" w:hAnsi="Times New Roman"/>
          <w:noProof/>
          <w:sz w:val="24"/>
          <w:vertAlign w:val="superscript"/>
        </w:rPr>
        <w:t>(</w:t>
      </w:r>
      <w:r>
        <w:rPr>
          <w:rStyle w:val="FootnoteReference"/>
          <w:rFonts w:ascii="Times New Roman" w:hAnsi="Times New Roman"/>
          <w:noProof/>
          <w:sz w:val="24"/>
          <w:szCs w:val="24"/>
        </w:rPr>
        <w:footnoteReference w:id="39"/>
      </w:r>
      <w:r>
        <w:rPr>
          <w:rFonts w:ascii="Times New Roman" w:hAnsi="Times New Roman"/>
          <w:noProof/>
          <w:sz w:val="24"/>
          <w:vertAlign w:val="superscript"/>
        </w:rPr>
        <w:t>)</w:t>
      </w:r>
      <w:r>
        <w:rPr>
          <w:rFonts w:ascii="Times New Roman" w:hAnsi="Times New Roman"/>
          <w:noProof/>
          <w:sz w:val="24"/>
        </w:rPr>
        <w:t xml:space="preserve"> на Комисията на 29 април 2025 г.</w:t>
      </w:r>
    </w:p>
    <w:p w14:paraId="4F3E3D75" w14:textId="2679DD8A" w:rsidR="00AB437D" w:rsidRPr="00482D1A" w:rsidRDefault="007270AB" w:rsidP="00821DE8">
      <w:pPr>
        <w:spacing w:line="276" w:lineRule="auto"/>
        <w:jc w:val="both"/>
        <w:rPr>
          <w:rFonts w:ascii="Times New Roman" w:hAnsi="Times New Roman"/>
          <w:noProof/>
          <w:sz w:val="24"/>
        </w:rPr>
      </w:pPr>
      <w:r>
        <w:rPr>
          <w:rFonts w:ascii="Times New Roman" w:hAnsi="Times New Roman"/>
          <w:noProof/>
          <w:sz w:val="24"/>
        </w:rPr>
        <w:t xml:space="preserve">Като дава пример, Комисията ще засили вътрешните усилия за многообразие и приобщаване. За тази цел </w:t>
      </w:r>
      <w:r>
        <w:rPr>
          <w:rFonts w:ascii="Times New Roman" w:hAnsi="Times New Roman"/>
          <w:b/>
          <w:noProof/>
          <w:sz w:val="24"/>
        </w:rPr>
        <w:t>Службата за многообразие и приобщаване</w:t>
      </w:r>
      <w:r>
        <w:rPr>
          <w:rFonts w:ascii="Times New Roman" w:hAnsi="Times New Roman"/>
          <w:noProof/>
          <w:sz w:val="24"/>
        </w:rPr>
        <w:t xml:space="preserve"> ще поддържа редовен диалог със съответните сдружения на персонала и ще свързва ЛГБТИК+ служителите със служби, които предоставят консултации и правна помощ. Тя също така ще насърчава мерки за опростяване на административните процедури за ЛГБТИК+ персонала и ще работи за хармонизиране на признаването на семействата на дъгата във всички институции. Главният доверен съветник ще отговаря за борбата с тормоза. И накрая, Комисията ще продължи да събира данни за равенството чрез редовни проучвания на персонала, за да наблюдава напредъка.</w:t>
      </w:r>
    </w:p>
    <w:p w14:paraId="57DCCD03" w14:textId="690A74A4" w:rsidR="008B72D3" w:rsidRPr="00E83524" w:rsidRDefault="000911DA" w:rsidP="00821DE8">
      <w:pPr>
        <w:spacing w:line="276" w:lineRule="auto"/>
        <w:jc w:val="both"/>
        <w:rPr>
          <w:rFonts w:ascii="Times New Roman" w:hAnsi="Times New Roman"/>
          <w:noProof/>
          <w:sz w:val="24"/>
        </w:rPr>
      </w:pPr>
      <w:r>
        <w:rPr>
          <w:rFonts w:ascii="Times New Roman" w:hAnsi="Times New Roman"/>
          <w:noProof/>
          <w:sz w:val="24"/>
        </w:rPr>
        <w:t xml:space="preserve">Дискриминацията и липсата на социално приемане допринасят за високите нива на бедност и бездомничество сред ЛГБТИК+ лицата. Според </w:t>
      </w:r>
      <w:bookmarkStart w:id="12" w:name="_Hlk209686560"/>
      <w:r>
        <w:rPr>
          <w:rFonts w:ascii="Times New Roman" w:hAnsi="Times New Roman"/>
          <w:noProof/>
          <w:sz w:val="24"/>
        </w:rPr>
        <w:t>третото проучване на FRA за ЛГБТИК</w:t>
      </w:r>
      <w:bookmarkEnd w:id="12"/>
      <w:r>
        <w:rPr>
          <w:rFonts w:ascii="Times New Roman" w:hAnsi="Times New Roman"/>
          <w:noProof/>
          <w:sz w:val="24"/>
        </w:rPr>
        <w:t xml:space="preserve">, 38 % от респондентите съобщават, че свързват двата края „с големи трудности“ (в сравнение с 22 % от общото население въз основа на </w:t>
      </w:r>
      <w:hyperlink r:id="rId83" w:anchor="Data-explorer" w:history="1">
        <w:r>
          <w:rPr>
            <w:rStyle w:val="Hyperlink"/>
            <w:rFonts w:ascii="Times New Roman" w:hAnsi="Times New Roman"/>
            <w:noProof/>
            <w:sz w:val="24"/>
          </w:rPr>
          <w:t>Европейското проучване на качеството на живот за 2023 г.</w:t>
        </w:r>
      </w:hyperlink>
      <w:r>
        <w:rPr>
          <w:rFonts w:ascii="Times New Roman" w:hAnsi="Times New Roman"/>
          <w:noProof/>
          <w:sz w:val="24"/>
        </w:rPr>
        <w:t xml:space="preserve">), а 13 % е трябвало да живеят временно при приятели и роднини. </w:t>
      </w:r>
      <w:r>
        <w:rPr>
          <w:rStyle w:val="normaltextrun"/>
          <w:rFonts w:ascii="Times New Roman" w:hAnsi="Times New Roman"/>
          <w:noProof/>
          <w:sz w:val="24"/>
        </w:rPr>
        <w:t xml:space="preserve">За да разбере по-добре тези предизвикателства, до началото на 2027 г. Комисията ще публикува </w:t>
      </w:r>
      <w:r>
        <w:rPr>
          <w:rStyle w:val="normaltextrun"/>
          <w:rFonts w:ascii="Times New Roman" w:hAnsi="Times New Roman"/>
          <w:b/>
          <w:noProof/>
          <w:sz w:val="24"/>
        </w:rPr>
        <w:t>проучване на неравенството и дискриминацията в областта на жилищното настаняване</w:t>
      </w:r>
      <w:r>
        <w:rPr>
          <w:rStyle w:val="normaltextrun"/>
          <w:rFonts w:ascii="Times New Roman" w:hAnsi="Times New Roman"/>
          <w:noProof/>
          <w:sz w:val="24"/>
        </w:rPr>
        <w:t xml:space="preserve"> с интерсекционален подход. Констатациите от него ще допринесат за изпълнението на </w:t>
      </w:r>
      <w:r>
        <w:rPr>
          <w:rStyle w:val="normaltextrun"/>
          <w:rFonts w:ascii="Times New Roman" w:hAnsi="Times New Roman"/>
          <w:b/>
          <w:noProof/>
          <w:sz w:val="24"/>
        </w:rPr>
        <w:t>Европейския план за жилища на достъпни цени</w:t>
      </w:r>
      <w:r>
        <w:rPr>
          <w:rStyle w:val="normaltextrun"/>
          <w:rFonts w:ascii="Times New Roman" w:hAnsi="Times New Roman"/>
          <w:noProof/>
          <w:sz w:val="24"/>
        </w:rPr>
        <w:t xml:space="preserve"> и ще позволят на Комисията да предприеме подходящи действия за насърчаване на безопасни и достъпни </w:t>
      </w:r>
      <w:r>
        <w:rPr>
          <w:rFonts w:ascii="Times New Roman" w:hAnsi="Times New Roman"/>
          <w:noProof/>
          <w:sz w:val="24"/>
        </w:rPr>
        <w:t>жилища без дискриминация, включително в сътрудничество с държавите членки.</w:t>
      </w:r>
    </w:p>
    <w:p w14:paraId="26D597C6" w14:textId="33FBABBC" w:rsidR="00CA4ABF" w:rsidRDefault="26FBA7C3" w:rsidP="00A36111">
      <w:pPr>
        <w:spacing w:line="276" w:lineRule="auto"/>
        <w:jc w:val="both"/>
        <w:rPr>
          <w:rFonts w:ascii="Times New Roman" w:hAnsi="Times New Roman"/>
          <w:noProof/>
          <w:sz w:val="24"/>
        </w:rPr>
      </w:pPr>
      <w:r>
        <w:rPr>
          <w:rFonts w:ascii="Times New Roman" w:hAnsi="Times New Roman"/>
          <w:noProof/>
          <w:sz w:val="24"/>
        </w:rPr>
        <w:t xml:space="preserve">За да осигури достъп до основна защита и услуги и да се справи с първопричините за бедността, в началото на 2026 г. Комисията ще стартира първата по рода си </w:t>
      </w:r>
      <w:r>
        <w:rPr>
          <w:rFonts w:ascii="Times New Roman" w:hAnsi="Times New Roman"/>
          <w:b/>
          <w:noProof/>
          <w:sz w:val="24"/>
        </w:rPr>
        <w:t>Стратегия на ЕС за борба с бедността</w:t>
      </w:r>
      <w:r>
        <w:rPr>
          <w:rFonts w:ascii="Times New Roman" w:hAnsi="Times New Roman"/>
          <w:noProof/>
          <w:sz w:val="24"/>
        </w:rPr>
        <w:t>, която има за цел да се справи с многоизмерния характер на бедността и структурните неравенства.</w:t>
      </w:r>
    </w:p>
    <w:p w14:paraId="0B141970" w14:textId="0BFA9292" w:rsidR="00242B56" w:rsidRDefault="3F4B4C6D" w:rsidP="00CA4ABF">
      <w:pPr>
        <w:spacing w:line="276" w:lineRule="auto"/>
        <w:jc w:val="both"/>
        <w:rPr>
          <w:rFonts w:ascii="Times New Roman" w:hAnsi="Times New Roman"/>
          <w:noProof/>
          <w:sz w:val="24"/>
        </w:rPr>
      </w:pPr>
      <w:r>
        <w:rPr>
          <w:rFonts w:ascii="Times New Roman" w:hAnsi="Times New Roman"/>
          <w:noProof/>
          <w:sz w:val="24"/>
        </w:rPr>
        <w:t xml:space="preserve">Освен това Комисията ще насърчава социално-икономическата интеграция на маргинализираните общности чрез разходните инструменти на ЕС, като например </w:t>
      </w:r>
      <w:r>
        <w:rPr>
          <w:rFonts w:ascii="Times New Roman" w:hAnsi="Times New Roman"/>
          <w:b/>
          <w:noProof/>
          <w:sz w:val="24"/>
        </w:rPr>
        <w:t xml:space="preserve">Европейския социален фонд плюс </w:t>
      </w:r>
      <w:r>
        <w:rPr>
          <w:rFonts w:ascii="Times New Roman" w:hAnsi="Times New Roman"/>
          <w:noProof/>
          <w:sz w:val="24"/>
        </w:rPr>
        <w:t>през настоящия програмен период</w:t>
      </w:r>
      <w:r>
        <w:rPr>
          <w:rFonts w:ascii="Times New Roman" w:hAnsi="Times New Roman"/>
          <w:b/>
          <w:noProof/>
          <w:sz w:val="24"/>
        </w:rPr>
        <w:t xml:space="preserve"> </w:t>
      </w:r>
      <w:r>
        <w:rPr>
          <w:rFonts w:ascii="Times New Roman" w:hAnsi="Times New Roman"/>
          <w:noProof/>
          <w:sz w:val="24"/>
        </w:rPr>
        <w:t>и предложените</w:t>
      </w:r>
      <w:r>
        <w:rPr>
          <w:rFonts w:ascii="Times New Roman" w:hAnsi="Times New Roman"/>
          <w:b/>
          <w:noProof/>
          <w:sz w:val="24"/>
        </w:rPr>
        <w:t xml:space="preserve"> </w:t>
      </w:r>
      <w:hyperlink r:id="rId84">
        <w:r>
          <w:rPr>
            <w:rStyle w:val="Hyperlink"/>
            <w:rFonts w:ascii="Times New Roman" w:hAnsi="Times New Roman"/>
            <w:b/>
            <w:noProof/>
            <w:sz w:val="24"/>
          </w:rPr>
          <w:t>планове за национално и регионално партньорство (НПРП)</w:t>
        </w:r>
      </w:hyperlink>
      <w:r>
        <w:rPr>
          <w:rFonts w:ascii="Times New Roman" w:hAnsi="Times New Roman"/>
          <w:noProof/>
          <w:sz w:val="24"/>
        </w:rPr>
        <w:t xml:space="preserve"> след 2028 г. Като част от </w:t>
      </w:r>
      <w:r>
        <w:rPr>
          <w:rFonts w:ascii="Times New Roman" w:hAnsi="Times New Roman"/>
          <w:b/>
          <w:noProof/>
          <w:sz w:val="24"/>
        </w:rPr>
        <w:t>Европейската платформа за борба с бездомничеството</w:t>
      </w:r>
      <w:r>
        <w:rPr>
          <w:rFonts w:ascii="Times New Roman" w:hAnsi="Times New Roman"/>
          <w:noProof/>
          <w:sz w:val="24"/>
        </w:rPr>
        <w:t xml:space="preserve"> Комисията също така ще увеличи усилията си за интегриране на нуждите на уязвимите групи и ще подкрепи основаните на доказателства, интегрирани и ориентирани към личността подходи за борба с бездомничеството.</w:t>
      </w:r>
    </w:p>
    <w:p w14:paraId="247360DF" w14:textId="77777777" w:rsidR="00CA4ABF" w:rsidRDefault="00CA4ABF" w:rsidP="00CA4ABF">
      <w:pPr>
        <w:spacing w:line="276" w:lineRule="auto"/>
        <w:jc w:val="both"/>
        <w:rPr>
          <w:rFonts w:ascii="Times New Roman" w:eastAsiaTheme="majorEastAsia" w:hAnsi="Times New Roman" w:cs="Times New Roman"/>
          <w:b/>
          <w:bCs/>
          <w:noProof/>
          <w:sz w:val="24"/>
          <w:szCs w:val="24"/>
        </w:rPr>
      </w:pPr>
    </w:p>
    <w:p w14:paraId="68F0508B" w14:textId="34B47C5F" w:rsidR="00BF5C2F" w:rsidRPr="00EF6AC5" w:rsidRDefault="00DD50FB" w:rsidP="008732F4">
      <w:pPr>
        <w:pStyle w:val="Heading3"/>
        <w:numPr>
          <w:ilvl w:val="1"/>
          <w:numId w:val="5"/>
        </w:numPr>
        <w:ind w:left="567" w:hanging="425"/>
        <w:jc w:val="both"/>
        <w:rPr>
          <w:rFonts w:ascii="Times New Roman" w:hAnsi="Times New Roman" w:cs="Times New Roman"/>
          <w:b/>
          <w:bCs/>
          <w:noProof/>
          <w:color w:val="auto"/>
          <w:sz w:val="24"/>
          <w:szCs w:val="24"/>
        </w:rPr>
      </w:pPr>
      <w:r>
        <w:rPr>
          <w:rFonts w:ascii="Times New Roman" w:hAnsi="Times New Roman"/>
          <w:b/>
          <w:noProof/>
          <w:color w:val="auto"/>
          <w:sz w:val="24"/>
        </w:rPr>
        <w:t>Осигуряване на равни права през границите</w:t>
      </w:r>
    </w:p>
    <w:p w14:paraId="147943A0" w14:textId="5B64A65B" w:rsidR="00DD50FB" w:rsidRPr="00E83524" w:rsidRDefault="00B8170D" w:rsidP="00821DE8">
      <w:pPr>
        <w:spacing w:line="276" w:lineRule="auto"/>
        <w:jc w:val="both"/>
        <w:rPr>
          <w:rFonts w:ascii="Times New Roman" w:hAnsi="Times New Roman"/>
          <w:noProof/>
          <w:sz w:val="24"/>
        </w:rPr>
      </w:pPr>
      <w:r>
        <w:rPr>
          <w:rFonts w:ascii="Times New Roman" w:hAnsi="Times New Roman"/>
          <w:noProof/>
          <w:sz w:val="24"/>
        </w:rPr>
        <w:t xml:space="preserve">В ЕС ЛГБТИК+ лицата се ползват от равенство по отношение на брака и/или гражданските партньорства в 22 държави членки. Осигуряването на </w:t>
      </w:r>
      <w:r>
        <w:rPr>
          <w:rFonts w:ascii="Times New Roman" w:hAnsi="Times New Roman"/>
          <w:b/>
          <w:noProof/>
          <w:sz w:val="24"/>
        </w:rPr>
        <w:t>равностойно признаване на семейните отношения в целия ЕС</w:t>
      </w:r>
      <w:r>
        <w:rPr>
          <w:rFonts w:ascii="Times New Roman" w:hAnsi="Times New Roman"/>
          <w:noProof/>
          <w:sz w:val="24"/>
        </w:rPr>
        <w:t xml:space="preserve"> укрепва правата, сигурността и благосъстоянието на ЛГБТИК+ семействата, като им позволява да се наслаждават пълноценно на семейния си живот и да участват равноправно в обществото, независимо къде живеят. Въпреки това, поради различията в семейното право на държавите членки, семейните връзки може вече да не се признават в трансгранични ситуации. Според третото проучване на FRA относно ЛГБТИК, 14 % от ЛГБТИК родителите са срещнали трудности при юридическото признаване на родителските им права в друга държава членка.</w:t>
      </w:r>
      <w:r>
        <w:rPr>
          <w:noProof/>
        </w:rPr>
        <w:t xml:space="preserve"> </w:t>
      </w:r>
    </w:p>
    <w:p w14:paraId="6DC34D53" w14:textId="61FFBD65" w:rsidR="00242B56" w:rsidRDefault="002F09C6" w:rsidP="00821DE8">
      <w:pPr>
        <w:spacing w:line="276" w:lineRule="auto"/>
        <w:jc w:val="both"/>
        <w:rPr>
          <w:rFonts w:ascii="Times New Roman" w:hAnsi="Times New Roman"/>
          <w:noProof/>
          <w:sz w:val="24"/>
        </w:rPr>
      </w:pPr>
      <w:r>
        <w:rPr>
          <w:rFonts w:ascii="Times New Roman" w:hAnsi="Times New Roman"/>
          <w:noProof/>
          <w:sz w:val="24"/>
        </w:rPr>
        <w:t xml:space="preserve">Законодателството на ЕС за свободното движение, по-специално </w:t>
      </w:r>
      <w:hyperlink r:id="rId85" w:history="1">
        <w:r>
          <w:rPr>
            <w:rStyle w:val="Hyperlink"/>
            <w:rFonts w:ascii="Times New Roman" w:hAnsi="Times New Roman"/>
            <w:b/>
            <w:noProof/>
            <w:sz w:val="24"/>
          </w:rPr>
          <w:t>Директивата за свободното движение</w:t>
        </w:r>
      </w:hyperlink>
      <w:r>
        <w:rPr>
          <w:rFonts w:ascii="Times New Roman" w:hAnsi="Times New Roman"/>
          <w:noProof/>
          <w:sz w:val="24"/>
        </w:rPr>
        <w:t>, заедно с основните права съгласно Хартата на основните права, защитава правото на всички граждани на ЕС и членовете на техните семейства, включително еднополовите съпрузи и партньори и техните деца, да се движат и пребивават свободно в рамките на ЕС. Комисията се ангажира да гарантира правилното прилагане на правилата на ЕС за свободно движение, основните права и съответните решения на Съда на Европейския съюз (СЕС)</w:t>
      </w:r>
      <w:r>
        <w:rPr>
          <w:rFonts w:ascii="Times New Roman" w:hAnsi="Times New Roman"/>
          <w:noProof/>
          <w:sz w:val="24"/>
          <w:vertAlign w:val="superscript"/>
        </w:rPr>
        <w:t>(</w:t>
      </w:r>
      <w:r>
        <w:rPr>
          <w:rStyle w:val="FootnoteReference"/>
          <w:rFonts w:ascii="Times New Roman" w:hAnsi="Times New Roman"/>
          <w:noProof/>
          <w:sz w:val="24"/>
        </w:rPr>
        <w:footnoteReference w:id="40"/>
      </w:r>
      <w:r>
        <w:rPr>
          <w:rFonts w:ascii="Times New Roman" w:hAnsi="Times New Roman"/>
          <w:noProof/>
          <w:sz w:val="24"/>
          <w:vertAlign w:val="superscript"/>
        </w:rPr>
        <w:t xml:space="preserve">) </w:t>
      </w:r>
      <w:r>
        <w:rPr>
          <w:rFonts w:ascii="Times New Roman" w:hAnsi="Times New Roman"/>
          <w:noProof/>
          <w:sz w:val="24"/>
        </w:rPr>
        <w:t xml:space="preserve">. За тази цел през декември 2023 г. Комисията публикува </w:t>
      </w:r>
      <w:hyperlink r:id="rId86" w:history="1">
        <w:r>
          <w:rPr>
            <w:rStyle w:val="Hyperlink"/>
            <w:rFonts w:ascii="Times New Roman" w:hAnsi="Times New Roman"/>
            <w:noProof/>
            <w:sz w:val="24"/>
          </w:rPr>
          <w:t>Насоки относно правото на свободно движение на гражданите на ЕС и техните семейства</w:t>
        </w:r>
      </w:hyperlink>
      <w:r>
        <w:rPr>
          <w:rFonts w:ascii="Times New Roman" w:hAnsi="Times New Roman"/>
          <w:noProof/>
          <w:sz w:val="24"/>
        </w:rPr>
        <w:t>, които предоставят необходимите разяснения по конкретни въпроси, установени при прилагането на достиженията на правото на ЕС, включително по отношение на семействата на дъгата.</w:t>
      </w:r>
    </w:p>
    <w:p w14:paraId="4ECE196F" w14:textId="663DD939" w:rsidR="00552E29" w:rsidRPr="00E83524" w:rsidRDefault="58C251D0" w:rsidP="00821DE8">
      <w:pPr>
        <w:spacing w:line="276" w:lineRule="auto"/>
        <w:jc w:val="both"/>
        <w:rPr>
          <w:rFonts w:ascii="Times New Roman" w:hAnsi="Times New Roman"/>
          <w:noProof/>
          <w:sz w:val="24"/>
          <w:highlight w:val="cyan"/>
        </w:rPr>
      </w:pPr>
      <w:r>
        <w:rPr>
          <w:rFonts w:ascii="Times New Roman" w:hAnsi="Times New Roman"/>
          <w:noProof/>
          <w:sz w:val="24"/>
        </w:rPr>
        <w:t xml:space="preserve">Едновременно с това Комисията ще продължи да повишава осведомеността за тези права, включително чрез </w:t>
      </w:r>
      <w:r>
        <w:rPr>
          <w:rFonts w:ascii="Times New Roman" w:hAnsi="Times New Roman"/>
          <w:b/>
          <w:bCs/>
          <w:noProof/>
          <w:sz w:val="24"/>
        </w:rPr>
        <w:t>подкрепа за обучението на практикуващите юристи</w:t>
      </w:r>
      <w:r>
        <w:rPr>
          <w:rFonts w:ascii="Times New Roman" w:hAnsi="Times New Roman"/>
          <w:noProof/>
          <w:sz w:val="24"/>
        </w:rPr>
        <w:t xml:space="preserve">, особено на съдиите и прокурорите, както и чрез своите комуникационни канали (например </w:t>
      </w:r>
      <w:hyperlink r:id="rId87" w:history="1">
        <w:r>
          <w:rPr>
            <w:rStyle w:val="Hyperlink"/>
            <w:rFonts w:ascii="Times New Roman" w:hAnsi="Times New Roman"/>
            <w:noProof/>
            <w:sz w:val="24"/>
          </w:rPr>
          <w:t>Your Europe</w:t>
        </w:r>
      </w:hyperlink>
      <w:r>
        <w:rPr>
          <w:rFonts w:ascii="Times New Roman" w:hAnsi="Times New Roman"/>
          <w:noProof/>
          <w:sz w:val="24"/>
        </w:rPr>
        <w:t>). Ако е необходимо, Комисията няма да се поколебае да предприеме съответни допълнителни действия, за да защити тези права.</w:t>
      </w:r>
    </w:p>
    <w:p w14:paraId="4356239B" w14:textId="155DE4B6" w:rsidR="00165DA9" w:rsidRPr="00D51260" w:rsidRDefault="00DD50FB" w:rsidP="00D51260">
      <w:pPr>
        <w:jc w:val="both"/>
        <w:rPr>
          <w:noProof/>
        </w:rPr>
      </w:pPr>
      <w:r>
        <w:rPr>
          <w:rFonts w:ascii="Times New Roman" w:hAnsi="Times New Roman"/>
          <w:noProof/>
          <w:sz w:val="24"/>
        </w:rPr>
        <w:t>Макар че материалното семейно право е от компетентността на държавите членки, ЕС може да приема мерки, които имат трансгранични последици. Редица инструменти</w:t>
      </w:r>
      <w:r>
        <w:rPr>
          <w:rFonts w:ascii="Times New Roman" w:hAnsi="Times New Roman"/>
          <w:noProof/>
          <w:sz w:val="24"/>
          <w:vertAlign w:val="superscript"/>
        </w:rPr>
        <w:t>(</w:t>
      </w:r>
      <w:r>
        <w:rPr>
          <w:rStyle w:val="FootnoteReference"/>
          <w:rFonts w:ascii="Times New Roman" w:hAnsi="Times New Roman"/>
          <w:noProof/>
          <w:sz w:val="24"/>
        </w:rPr>
        <w:footnoteReference w:id="41"/>
      </w:r>
      <w:r>
        <w:rPr>
          <w:rFonts w:ascii="Times New Roman" w:hAnsi="Times New Roman"/>
          <w:noProof/>
          <w:sz w:val="24"/>
          <w:vertAlign w:val="superscript"/>
        </w:rPr>
        <w:t>)</w:t>
      </w:r>
      <w:r>
        <w:rPr>
          <w:rFonts w:ascii="Times New Roman" w:hAnsi="Times New Roman"/>
          <w:noProof/>
          <w:sz w:val="24"/>
        </w:rPr>
        <w:t xml:space="preserve"> вече предвиждат взаимно признаване на съдебни решения относно развод, родителски задължения, издръжка, имуществени режими и наследяване. Тези инструменти се прилагат за всички, независимо от тяхната сексуална ориентация или джендър идентичност, и следователно са напълно приложими за ЛГБТИК+ лицата. </w:t>
      </w:r>
      <w:bookmarkStart w:id="13" w:name="_Hlk208233973"/>
      <w:r>
        <w:rPr>
          <w:rFonts w:ascii="Times New Roman" w:hAnsi="Times New Roman"/>
          <w:noProof/>
          <w:sz w:val="24"/>
        </w:rPr>
        <w:t xml:space="preserve">Комисията </w:t>
      </w:r>
      <w:r>
        <w:rPr>
          <w:rFonts w:ascii="Times New Roman" w:hAnsi="Times New Roman"/>
          <w:b/>
          <w:bCs/>
          <w:noProof/>
          <w:sz w:val="24"/>
        </w:rPr>
        <w:t>ще</w:t>
      </w:r>
      <w:r>
        <w:rPr>
          <w:rFonts w:ascii="Times New Roman" w:hAnsi="Times New Roman"/>
          <w:noProof/>
          <w:sz w:val="24"/>
        </w:rPr>
        <w:t xml:space="preserve"> </w:t>
      </w:r>
      <w:r>
        <w:rPr>
          <w:rFonts w:ascii="Times New Roman" w:hAnsi="Times New Roman"/>
          <w:b/>
          <w:noProof/>
          <w:sz w:val="24"/>
        </w:rPr>
        <w:t>следи и ще налага</w:t>
      </w:r>
      <w:r>
        <w:rPr>
          <w:rFonts w:ascii="Times New Roman" w:hAnsi="Times New Roman"/>
          <w:noProof/>
          <w:sz w:val="24"/>
        </w:rPr>
        <w:t xml:space="preserve">, когато е необходимо, прилагането на тези инструменти от страна на държавите членки по отношение на семействата на дъгата в трансгранични ситуации. </w:t>
      </w:r>
      <w:bookmarkEnd w:id="13"/>
      <w:r>
        <w:rPr>
          <w:rFonts w:ascii="Times New Roman" w:hAnsi="Times New Roman"/>
          <w:noProof/>
          <w:sz w:val="24"/>
        </w:rPr>
        <w:t xml:space="preserve">Комисията също така ще </w:t>
      </w:r>
      <w:r>
        <w:rPr>
          <w:rFonts w:ascii="Times New Roman" w:hAnsi="Times New Roman"/>
          <w:b/>
          <w:noProof/>
          <w:sz w:val="24"/>
        </w:rPr>
        <w:t xml:space="preserve">участва в дискусии с държавите членки, </w:t>
      </w:r>
      <w:r>
        <w:rPr>
          <w:rFonts w:ascii="Times New Roman" w:hAnsi="Times New Roman"/>
          <w:noProof/>
          <w:sz w:val="24"/>
        </w:rPr>
        <w:t>за да идентифицира всички практически предизвикателства, с които се сблъскват семействата на дъгата в трансгранични ситуации.</w:t>
      </w:r>
    </w:p>
    <w:p w14:paraId="24176791" w14:textId="340002FE" w:rsidR="00277EA0" w:rsidRPr="00E83524" w:rsidRDefault="0065051C" w:rsidP="00821DE8">
      <w:pPr>
        <w:spacing w:line="276" w:lineRule="auto"/>
        <w:jc w:val="both"/>
        <w:rPr>
          <w:rFonts w:ascii="Times New Roman" w:hAnsi="Times New Roman"/>
          <w:noProof/>
          <w:sz w:val="24"/>
        </w:rPr>
      </w:pPr>
      <w:r>
        <w:rPr>
          <w:rFonts w:ascii="Times New Roman" w:hAnsi="Times New Roman"/>
          <w:noProof/>
          <w:sz w:val="24"/>
        </w:rPr>
        <w:t xml:space="preserve">Правото на ЕС в областта на свободното движение вече изисква от държавите членки да признаят произхода на дете, установен в друга държава членка, за да могат децата да упражняват правата, произтичащи от правото на ЕС. Комисията ще продължи да подкрепя държавите членки при приемането на предложения </w:t>
      </w:r>
      <w:hyperlink r:id="rId88" w:history="1">
        <w:r>
          <w:rPr>
            <w:rStyle w:val="Hyperlink"/>
            <w:rFonts w:ascii="Times New Roman" w:hAnsi="Times New Roman"/>
            <w:b/>
            <w:noProof/>
            <w:sz w:val="24"/>
          </w:rPr>
          <w:t>регламент</w:t>
        </w:r>
      </w:hyperlink>
      <w:r>
        <w:rPr>
          <w:rFonts w:ascii="Times New Roman" w:hAnsi="Times New Roman"/>
          <w:b/>
          <w:noProof/>
          <w:sz w:val="24"/>
        </w:rPr>
        <w:t xml:space="preserve"> </w:t>
      </w:r>
      <w:r>
        <w:rPr>
          <w:rFonts w:ascii="Times New Roman" w:hAnsi="Times New Roman"/>
          <w:noProof/>
          <w:sz w:val="24"/>
        </w:rPr>
        <w:t xml:space="preserve">за засилване на защитата на правата на децата в трансгранични ситуации чрез </w:t>
      </w:r>
      <w:r>
        <w:rPr>
          <w:rFonts w:ascii="Times New Roman" w:hAnsi="Times New Roman"/>
          <w:b/>
          <w:noProof/>
          <w:sz w:val="24"/>
        </w:rPr>
        <w:t>хармонизиране на правилата на държавите членки в областта на международното частно право относно произхода</w:t>
      </w:r>
      <w:r>
        <w:rPr>
          <w:rFonts w:ascii="Times New Roman" w:hAnsi="Times New Roman"/>
          <w:noProof/>
          <w:sz w:val="24"/>
        </w:rPr>
        <w:t>. Предложението ще гарантира, че произходът на дете, установен в дадена държава членка, ще бъде признат във всички други държави членки за всички цели, отвъд това, което вече е гарантирано от правото на ЕС относно свободното движение. Преговорите в Съвета по това предложение, за чието приемане се изисква единодушие, продължават.</w:t>
      </w:r>
    </w:p>
    <w:p w14:paraId="5791AFA2" w14:textId="38080ACD" w:rsidR="00BF12FD" w:rsidRPr="00E83524" w:rsidRDefault="575050CA" w:rsidP="00821DE8">
      <w:pPr>
        <w:spacing w:line="276" w:lineRule="auto"/>
        <w:jc w:val="both"/>
        <w:rPr>
          <w:rFonts w:ascii="Times New Roman" w:hAnsi="Times New Roman"/>
          <w:noProof/>
          <w:sz w:val="24"/>
        </w:rPr>
      </w:pPr>
      <w:r>
        <w:rPr>
          <w:rFonts w:ascii="Times New Roman" w:hAnsi="Times New Roman"/>
          <w:noProof/>
          <w:sz w:val="24"/>
        </w:rPr>
        <w:t xml:space="preserve">Изискванията за юридическо признаване на пола се различават значително в отделните държави членки. В редица държави членки са възприети модели на самоопределение, </w:t>
      </w:r>
      <w:bookmarkStart w:id="14" w:name="_Hlk193984627"/>
      <w:r>
        <w:rPr>
          <w:rFonts w:ascii="Times New Roman" w:hAnsi="Times New Roman"/>
          <w:noProof/>
          <w:sz w:val="24"/>
        </w:rPr>
        <w:t>в други се налагат медицински процедури, за които Европейският съд по правата на човека е установил, че могат да нарушават правата на човека</w:t>
      </w:r>
      <w:bookmarkEnd w:id="14"/>
      <w:r>
        <w:rPr>
          <w:rFonts w:ascii="Times New Roman" w:hAnsi="Times New Roman"/>
          <w:noProof/>
          <w:sz w:val="24"/>
          <w:vertAlign w:val="superscript"/>
        </w:rPr>
        <w:t>(</w:t>
      </w:r>
      <w:r>
        <w:rPr>
          <w:rStyle w:val="FootnoteReference"/>
          <w:rFonts w:ascii="Times New Roman" w:hAnsi="Times New Roman"/>
          <w:noProof/>
          <w:sz w:val="24"/>
        </w:rPr>
        <w:footnoteReference w:id="42"/>
      </w:r>
      <w:r>
        <w:rPr>
          <w:rFonts w:ascii="Times New Roman" w:hAnsi="Times New Roman"/>
          <w:noProof/>
          <w:sz w:val="24"/>
          <w:vertAlign w:val="superscript"/>
        </w:rPr>
        <w:t>)</w:t>
      </w:r>
      <w:r>
        <w:rPr>
          <w:rFonts w:ascii="Times New Roman" w:hAnsi="Times New Roman"/>
          <w:noProof/>
          <w:sz w:val="24"/>
        </w:rPr>
        <w:t xml:space="preserve">. Комисията ще </w:t>
      </w:r>
      <w:r>
        <w:rPr>
          <w:rFonts w:ascii="Times New Roman" w:hAnsi="Times New Roman"/>
          <w:b/>
          <w:noProof/>
          <w:sz w:val="24"/>
        </w:rPr>
        <w:t>улесни обмена на най-добри практики между държавите членки</w:t>
      </w:r>
      <w:r>
        <w:rPr>
          <w:rFonts w:ascii="Times New Roman" w:hAnsi="Times New Roman"/>
          <w:noProof/>
          <w:sz w:val="24"/>
        </w:rPr>
        <w:t>, за да подкрепи разработването на процедури за юридическо признаване на пола, основани на самоопределението, които не съдържат възрастови ограничения.</w:t>
      </w:r>
    </w:p>
    <w:tbl>
      <w:tblPr>
        <w:tblStyle w:val="TableGrid"/>
        <w:tblW w:w="0" w:type="auto"/>
        <w:tblLook w:val="04A0" w:firstRow="1" w:lastRow="0" w:firstColumn="1" w:lastColumn="0" w:noHBand="0" w:noVBand="1"/>
      </w:tblPr>
      <w:tblGrid>
        <w:gridCol w:w="9016"/>
      </w:tblGrid>
      <w:tr w:rsidR="00BF12FD" w:rsidRPr="00EB7285" w14:paraId="6CD7427C" w14:textId="77777777" w:rsidTr="00D54628">
        <w:tc>
          <w:tcPr>
            <w:tcW w:w="9016" w:type="dxa"/>
            <w:shd w:val="clear" w:color="auto" w:fill="E8E8E8" w:themeFill="background2"/>
          </w:tcPr>
          <w:p w14:paraId="0B0BC873" w14:textId="1ECAE629" w:rsidR="00BF12FD" w:rsidRPr="00E83524" w:rsidRDefault="00BF12FD" w:rsidP="00EF6AC5">
            <w:pPr>
              <w:pStyle w:val="NoSpacing"/>
              <w:spacing w:after="120"/>
              <w:jc w:val="both"/>
              <w:rPr>
                <w:rFonts w:ascii="Times New Roman" w:hAnsi="Times New Roman"/>
                <w:b/>
                <w:noProof/>
              </w:rPr>
            </w:pPr>
            <w:r>
              <w:rPr>
                <w:rFonts w:ascii="Times New Roman" w:hAnsi="Times New Roman"/>
                <w:b/>
                <w:noProof/>
              </w:rPr>
              <w:t xml:space="preserve">Ключови действия от страна на Европейската комисия:  </w:t>
            </w:r>
          </w:p>
          <w:p w14:paraId="73E8B0D3" w14:textId="23369D22" w:rsidR="00DD1ED8" w:rsidRPr="00DD1ED8" w:rsidRDefault="00DD1ED8"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По-нататъшна подкрепа за председателствата на Съвета и държавите членки с всички възможни средства за постигане на необходимото единодушие по предложението от 2008 г. за Директива за равното третиране.</w:t>
            </w:r>
          </w:p>
          <w:p w14:paraId="758F64AA" w14:textId="5129B156" w:rsidR="00B17AF9" w:rsidRPr="00DD1ED8" w:rsidRDefault="00E302A7" w:rsidP="008732F4">
            <w:pPr>
              <w:pStyle w:val="ListParagraph"/>
              <w:numPr>
                <w:ilvl w:val="0"/>
                <w:numId w:val="2"/>
              </w:numPr>
              <w:spacing w:after="120"/>
              <w:contextualSpacing w:val="0"/>
              <w:jc w:val="both"/>
              <w:rPr>
                <w:noProof/>
              </w:rPr>
            </w:pPr>
            <w:r>
              <w:rPr>
                <w:rFonts w:ascii="Times New Roman" w:hAnsi="Times New Roman"/>
                <w:noProof/>
              </w:rPr>
              <w:t>Публикуване на доклад относно прилагането на Директивата за равно третиране в областта на заетостта и предоставяне на насоки за приобщаващи практики за наемане на работа в сътрудничество с платформата на ЕС за хартите на многообразието и експертната група по въпросите на равнопоставеността на ЛГБТИК+.</w:t>
            </w:r>
          </w:p>
          <w:p w14:paraId="38993666" w14:textId="1B7C93C5" w:rsidR="00954720" w:rsidRPr="00096A58" w:rsidRDefault="00DD1ED8"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Повишаване на осведомеността и насърчаване на обмена на знания за равенството в здравеопазването чрез Платформата за здравна политика на ЕС и Портала за най-добри практики в областта на общественото здравеопазване, като същевременно се използва информация от съответните изследователски проекти по програма „Хоризонт Европа“.</w:t>
            </w:r>
          </w:p>
          <w:p w14:paraId="3CABE17A" w14:textId="5C3CBBA2" w:rsidR="00E16DEF" w:rsidRPr="00D74CCF" w:rsidRDefault="00E302A7" w:rsidP="008732F4">
            <w:pPr>
              <w:pStyle w:val="ListParagraph"/>
              <w:numPr>
                <w:ilvl w:val="0"/>
                <w:numId w:val="2"/>
              </w:numPr>
              <w:spacing w:after="120"/>
              <w:contextualSpacing w:val="0"/>
              <w:jc w:val="both"/>
              <w:rPr>
                <w:noProof/>
              </w:rPr>
            </w:pPr>
            <w:r>
              <w:rPr>
                <w:rFonts w:ascii="Times New Roman" w:hAnsi="Times New Roman"/>
                <w:noProof/>
              </w:rPr>
              <w:t>Провеждане на проучване относно неравенството и дискриминацията в областта на жилищното настаняване, което да бъде публикувано до началото на 2027 г., и използване на констатациите от него при изпълнението на европейския план за достъпни жилища.</w:t>
            </w:r>
          </w:p>
          <w:p w14:paraId="3D339C8C" w14:textId="4AA3C3FA" w:rsidR="00FF4A19" w:rsidRPr="00D74CCF" w:rsidRDefault="007E48A8"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Изготвяне на пътна карта до 2030 г. за бъдещето на цифровото образование и умения.</w:t>
            </w:r>
          </w:p>
          <w:p w14:paraId="2A3FCE3A" w14:textId="450FDDB5" w:rsidR="0029057D" w:rsidRPr="0021215C" w:rsidRDefault="0029057D" w:rsidP="008732F4">
            <w:pPr>
              <w:pStyle w:val="NoSpacing"/>
              <w:numPr>
                <w:ilvl w:val="0"/>
                <w:numId w:val="2"/>
              </w:numPr>
              <w:spacing w:after="120"/>
              <w:jc w:val="both"/>
              <w:rPr>
                <w:rFonts w:ascii="Times New Roman" w:hAnsi="Times New Roman" w:cs="Times New Roman"/>
                <w:noProof/>
              </w:rPr>
            </w:pPr>
            <w:r>
              <w:rPr>
                <w:rFonts w:ascii="Times New Roman" w:hAnsi="Times New Roman"/>
                <w:noProof/>
              </w:rPr>
              <w:t>По-нататъшна подкрепа за държавите членки при приемането на предложения регламент относно взаимното признаване на произхода между държавите членки.</w:t>
            </w:r>
          </w:p>
        </w:tc>
      </w:tr>
    </w:tbl>
    <w:p w14:paraId="61999559" w14:textId="77777777" w:rsidR="00D4783C" w:rsidRDefault="00D4783C">
      <w:pPr>
        <w:rPr>
          <w:rFonts w:ascii="Times New Roman" w:eastAsiaTheme="majorEastAsia" w:hAnsi="Times New Roman" w:cs="Times New Roman"/>
          <w:b/>
          <w:bCs/>
          <w:smallCaps/>
          <w:noProof/>
          <w:sz w:val="28"/>
          <w:szCs w:val="28"/>
          <w:u w:val="single"/>
        </w:rPr>
      </w:pPr>
      <w:r>
        <w:rPr>
          <w:noProof/>
        </w:rPr>
        <w:br w:type="page"/>
      </w:r>
    </w:p>
    <w:p w14:paraId="4011A532" w14:textId="11616CDA" w:rsidR="00610402" w:rsidRPr="00D51260" w:rsidRDefault="004C55C6" w:rsidP="008732F4">
      <w:pPr>
        <w:pStyle w:val="Heading2"/>
        <w:numPr>
          <w:ilvl w:val="0"/>
          <w:numId w:val="3"/>
        </w:numPr>
        <w:jc w:val="both"/>
        <w:rPr>
          <w:rFonts w:ascii="Times New Roman" w:hAnsi="Times New Roman"/>
          <w:b/>
          <w:smallCaps/>
          <w:noProof/>
          <w:color w:val="auto"/>
          <w:sz w:val="28"/>
          <w:u w:val="single"/>
        </w:rPr>
      </w:pPr>
      <w:r>
        <w:rPr>
          <w:rFonts w:ascii="Times New Roman" w:hAnsi="Times New Roman"/>
          <w:b/>
          <w:smallCaps/>
          <w:noProof/>
          <w:color w:val="auto"/>
          <w:sz w:val="28"/>
          <w:u w:val="single"/>
        </w:rPr>
        <w:t>Ангажиране</w:t>
      </w:r>
    </w:p>
    <w:p w14:paraId="46C3D6F3" w14:textId="1A071698" w:rsidR="004C55C6" w:rsidRDefault="00B17AF9"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В съответствие с член 21 от ДЕС и чрез </w:t>
      </w:r>
      <w:hyperlink r:id="rId89" w:history="1">
        <w:r>
          <w:rPr>
            <w:rStyle w:val="Hyperlink"/>
            <w:rFonts w:ascii="Times New Roman" w:hAnsi="Times New Roman"/>
            <w:noProof/>
            <w:sz w:val="24"/>
          </w:rPr>
          <w:t>Плана за действие на ЕС в областта на правата на човека и демокрацията</w:t>
        </w:r>
      </w:hyperlink>
      <w:r>
        <w:rPr>
          <w:rFonts w:ascii="Times New Roman" w:hAnsi="Times New Roman"/>
          <w:noProof/>
          <w:sz w:val="24"/>
        </w:rPr>
        <w:t xml:space="preserve"> и </w:t>
      </w:r>
      <w:bookmarkStart w:id="15" w:name="_Hlk209200055"/>
      <w:r>
        <w:rPr>
          <w:rFonts w:ascii="Times New Roman" w:hAnsi="Times New Roman" w:cs="Times New Roman"/>
          <w:noProof/>
          <w:sz w:val="24"/>
        </w:rPr>
        <w:fldChar w:fldCharType="begin" w:fldLock="1"/>
      </w:r>
      <w:r>
        <w:rPr>
          <w:rFonts w:ascii="Times New Roman" w:hAnsi="Times New Roman" w:cs="Times New Roman"/>
          <w:noProof/>
          <w:sz w:val="24"/>
        </w:rPr>
        <w:instrText>HYPERLINK "https://www.eeas.europa.eu/sites/default/files/07_hr_guidelines_lgbti_en.pdf"</w:instrText>
      </w:r>
      <w:r>
        <w:rPr>
          <w:rFonts w:ascii="Times New Roman" w:hAnsi="Times New Roman" w:cs="Times New Roman"/>
          <w:noProof/>
          <w:sz w:val="24"/>
        </w:rPr>
        <w:fldChar w:fldCharType="separate"/>
      </w:r>
      <w:r>
        <w:rPr>
          <w:rStyle w:val="Hyperlink"/>
          <w:rFonts w:ascii="Times New Roman" w:hAnsi="Times New Roman"/>
          <w:noProof/>
          <w:sz w:val="24"/>
        </w:rPr>
        <w:t>Насоките на ЕС за насърчаване и защита на упражняването на всички права на човека от ЛГБТИ лицата</w:t>
      </w:r>
      <w:r>
        <w:rPr>
          <w:rFonts w:ascii="Times New Roman" w:hAnsi="Times New Roman" w:cs="Times New Roman"/>
          <w:noProof/>
          <w:sz w:val="24"/>
        </w:rPr>
        <w:fldChar w:fldCharType="end"/>
      </w:r>
      <w:bookmarkEnd w:id="15"/>
      <w:r>
        <w:rPr>
          <w:rFonts w:ascii="Times New Roman" w:hAnsi="Times New Roman"/>
          <w:noProof/>
          <w:sz w:val="24"/>
        </w:rPr>
        <w:t xml:space="preserve"> ЕС вече е световен лидер в насърчаването и защитата на правата на ЛГБТИК+ лицата. Постигането на пълно равенство изисква трайна ангажираност и активно участие</w:t>
      </w:r>
      <w:r>
        <w:rPr>
          <w:rFonts w:ascii="Times New Roman" w:hAnsi="Times New Roman"/>
          <w:i/>
          <w:noProof/>
          <w:sz w:val="24"/>
        </w:rPr>
        <w:t xml:space="preserve"> </w:t>
      </w:r>
      <w:r>
        <w:rPr>
          <w:rFonts w:ascii="Times New Roman" w:hAnsi="Times New Roman"/>
          <w:noProof/>
          <w:sz w:val="24"/>
        </w:rPr>
        <w:t xml:space="preserve">на всички нива. Тази стратегия отразява решимостта на Комисията да съдейства за </w:t>
      </w:r>
      <w:r>
        <w:rPr>
          <w:rFonts w:ascii="Times New Roman" w:hAnsi="Times New Roman"/>
          <w:b/>
          <w:noProof/>
          <w:sz w:val="24"/>
        </w:rPr>
        <w:t>пълното и равноправно упражняване на всички права на човека</w:t>
      </w:r>
      <w:r>
        <w:rPr>
          <w:rFonts w:ascii="Times New Roman" w:hAnsi="Times New Roman"/>
          <w:noProof/>
          <w:sz w:val="24"/>
        </w:rPr>
        <w:t xml:space="preserve"> от всички в ЕС и по света.</w:t>
      </w:r>
    </w:p>
    <w:p w14:paraId="686C4AFA" w14:textId="77777777" w:rsidR="00821DE8" w:rsidRPr="00D51260" w:rsidRDefault="00821DE8" w:rsidP="00D51260">
      <w:pPr>
        <w:spacing w:line="276" w:lineRule="auto"/>
        <w:jc w:val="both"/>
        <w:rPr>
          <w:noProof/>
        </w:rPr>
      </w:pPr>
    </w:p>
    <w:p w14:paraId="24395D1C" w14:textId="1DC11857" w:rsidR="00D11593" w:rsidRPr="00EF6AC5" w:rsidRDefault="00D11593" w:rsidP="008732F4">
      <w:pPr>
        <w:pStyle w:val="Heading3"/>
        <w:numPr>
          <w:ilvl w:val="1"/>
          <w:numId w:val="6"/>
        </w:numPr>
        <w:ind w:left="567" w:hanging="425"/>
        <w:jc w:val="both"/>
        <w:rPr>
          <w:rFonts w:ascii="Times New Roman" w:hAnsi="Times New Roman" w:cs="Times New Roman"/>
          <w:b/>
          <w:bCs/>
          <w:noProof/>
          <w:color w:val="auto"/>
          <w:sz w:val="24"/>
          <w:szCs w:val="24"/>
        </w:rPr>
      </w:pPr>
      <w:r>
        <w:rPr>
          <w:rFonts w:ascii="Times New Roman" w:hAnsi="Times New Roman"/>
          <w:b/>
          <w:noProof/>
          <w:color w:val="auto"/>
          <w:sz w:val="24"/>
        </w:rPr>
        <w:t>Засилване на ангажираността в рамките на ЕС</w:t>
      </w:r>
    </w:p>
    <w:p w14:paraId="3A0615F2" w14:textId="41C72112" w:rsidR="002F3F75" w:rsidRPr="007A621A" w:rsidRDefault="003514E0" w:rsidP="00821DE8">
      <w:pPr>
        <w:spacing w:line="276" w:lineRule="auto"/>
        <w:jc w:val="both"/>
        <w:rPr>
          <w:rFonts w:ascii="Times New Roman" w:hAnsi="Times New Roman"/>
          <w:noProof/>
          <w:sz w:val="24"/>
        </w:rPr>
      </w:pPr>
      <w:r>
        <w:rPr>
          <w:rFonts w:ascii="Times New Roman" w:hAnsi="Times New Roman"/>
          <w:noProof/>
          <w:sz w:val="24"/>
        </w:rPr>
        <w:t>Държавите членки играят жизненоважна роля в утвърждаването на равенството на ЛГБТИК+ по места. Благодарение на стимула от първата стратегия на ЕС за равнопоставеност на ЛГБТИК много държави членки вече предприеха стъпки за насърчаване на равенството на ЛГБТИК+ на национално равнище. Комисията</w:t>
      </w:r>
      <w:r>
        <w:rPr>
          <w:rFonts w:ascii="Times New Roman" w:hAnsi="Times New Roman"/>
          <w:b/>
          <w:noProof/>
          <w:sz w:val="24"/>
        </w:rPr>
        <w:t xml:space="preserve"> </w:t>
      </w:r>
      <w:r>
        <w:rPr>
          <w:rFonts w:ascii="Times New Roman" w:hAnsi="Times New Roman"/>
          <w:noProof/>
          <w:sz w:val="24"/>
        </w:rPr>
        <w:t>сега призовава всички държави членки да приемат</w:t>
      </w:r>
      <w:r>
        <w:rPr>
          <w:rFonts w:ascii="Times New Roman" w:hAnsi="Times New Roman"/>
          <w:b/>
          <w:noProof/>
          <w:sz w:val="24"/>
        </w:rPr>
        <w:t xml:space="preserve"> национални планове за действие за равнопоставеност на ЛГБТИК+ до 2027 г.</w:t>
      </w:r>
      <w:r>
        <w:rPr>
          <w:rFonts w:ascii="Times New Roman" w:hAnsi="Times New Roman"/>
          <w:noProof/>
          <w:sz w:val="24"/>
        </w:rPr>
        <w:t>, в съответствие с</w:t>
      </w:r>
      <w:r>
        <w:rPr>
          <w:rFonts w:ascii="Times New Roman" w:hAnsi="Times New Roman"/>
          <w:b/>
          <w:noProof/>
          <w:sz w:val="24"/>
        </w:rPr>
        <w:t xml:space="preserve"> </w:t>
      </w:r>
      <w:hyperlink r:id="rId90" w:history="1">
        <w:r>
          <w:rPr>
            <w:rStyle w:val="Hyperlink"/>
            <w:rFonts w:ascii="Times New Roman" w:hAnsi="Times New Roman"/>
            <w:noProof/>
            <w:sz w:val="24"/>
          </w:rPr>
          <w:t>Насоките за стратегии и планове за действие за подобряване на равнопоставеността на ЛГБТИК</w:t>
        </w:r>
      </w:hyperlink>
      <w:r>
        <w:rPr>
          <w:rFonts w:ascii="Times New Roman" w:hAnsi="Times New Roman"/>
          <w:noProof/>
          <w:sz w:val="24"/>
        </w:rPr>
        <w:t xml:space="preserve"> </w:t>
      </w:r>
      <w:r>
        <w:rPr>
          <w:rFonts w:ascii="Times New Roman" w:hAnsi="Times New Roman"/>
          <w:noProof/>
          <w:color w:val="00002E"/>
          <w:sz w:val="24"/>
        </w:rPr>
        <w:t>и придружаващия ги</w:t>
      </w:r>
      <w:hyperlink r:id="rId91" w:history="1">
        <w:r>
          <w:rPr>
            <w:rFonts w:ascii="Times New Roman" w:hAnsi="Times New Roman"/>
            <w:noProof/>
            <w:color w:val="00002E"/>
            <w:sz w:val="24"/>
          </w:rPr>
          <w:t xml:space="preserve"> </w:t>
        </w:r>
        <w:r>
          <w:rPr>
            <w:rFonts w:ascii="Times New Roman" w:hAnsi="Times New Roman"/>
            <w:noProof/>
            <w:color w:val="0000FF"/>
            <w:sz w:val="24"/>
            <w:u w:val="single"/>
          </w:rPr>
          <w:t>контролен списък за мониторинг</w:t>
        </w:r>
      </w:hyperlink>
      <w:r>
        <w:rPr>
          <w:rFonts w:ascii="Times New Roman" w:hAnsi="Times New Roman"/>
          <w:noProof/>
          <w:sz w:val="24"/>
          <w:vertAlign w:val="superscript"/>
        </w:rPr>
        <w:t>(</w:t>
      </w:r>
      <w:r>
        <w:rPr>
          <w:rStyle w:val="FootnoteReference"/>
          <w:rFonts w:ascii="Times New Roman" w:hAnsi="Times New Roman"/>
          <w:noProof/>
          <w:sz w:val="24"/>
        </w:rPr>
        <w:footnoteReference w:id="43"/>
      </w:r>
      <w:r>
        <w:rPr>
          <w:rFonts w:ascii="Times New Roman" w:hAnsi="Times New Roman"/>
          <w:noProof/>
          <w:sz w:val="24"/>
          <w:vertAlign w:val="superscript"/>
        </w:rPr>
        <w:t>)</w:t>
      </w:r>
      <w:r>
        <w:rPr>
          <w:rFonts w:ascii="Times New Roman" w:hAnsi="Times New Roman"/>
          <w:noProof/>
          <w:sz w:val="24"/>
        </w:rPr>
        <w:t xml:space="preserve">. За да се насърчат националните мерки за равнопоставеност на ЛГБТИК+ и тяхното прилагане, държавите членки се насърчават също така да назначат </w:t>
      </w:r>
      <w:r>
        <w:rPr>
          <w:rFonts w:ascii="Times New Roman" w:hAnsi="Times New Roman"/>
          <w:b/>
          <w:noProof/>
          <w:sz w:val="24"/>
        </w:rPr>
        <w:t xml:space="preserve">национални координатори </w:t>
      </w:r>
      <w:r>
        <w:rPr>
          <w:rFonts w:ascii="Times New Roman" w:hAnsi="Times New Roman"/>
          <w:noProof/>
          <w:sz w:val="24"/>
        </w:rPr>
        <w:t>за равнопоставеност на ЛГБТИК+ или да стъпят на основата на съществуващи структури за тази цел.</w:t>
      </w:r>
    </w:p>
    <w:p w14:paraId="20F26EE5" w14:textId="122163AF" w:rsidR="004756A0" w:rsidRPr="00E83524" w:rsidRDefault="007A621A" w:rsidP="00821DE8">
      <w:pPr>
        <w:spacing w:line="276" w:lineRule="auto"/>
        <w:jc w:val="both"/>
        <w:rPr>
          <w:rFonts w:ascii="Times New Roman" w:hAnsi="Times New Roman"/>
          <w:noProof/>
          <w:sz w:val="24"/>
        </w:rPr>
      </w:pPr>
      <w:r>
        <w:rPr>
          <w:rFonts w:ascii="Times New Roman" w:hAnsi="Times New Roman"/>
          <w:noProof/>
          <w:sz w:val="24"/>
        </w:rPr>
        <w:t xml:space="preserve">Комисията ще продължи да подкрепя и наблюдава тези усилия чрез Групата на високо равнище по въпросите на недискриминацията, равенството и многообразието, и по-специално чрез нейната </w:t>
      </w:r>
      <w:r>
        <w:rPr>
          <w:rFonts w:ascii="Times New Roman" w:hAnsi="Times New Roman"/>
          <w:b/>
          <w:noProof/>
          <w:sz w:val="24"/>
        </w:rPr>
        <w:t>подгрупа от експерти</w:t>
      </w:r>
      <w:r>
        <w:rPr>
          <w:rFonts w:ascii="Times New Roman" w:hAnsi="Times New Roman"/>
          <w:noProof/>
          <w:sz w:val="24"/>
        </w:rPr>
        <w:t xml:space="preserve">. </w:t>
      </w:r>
      <w:r>
        <w:rPr>
          <w:rFonts w:ascii="Times New Roman" w:hAnsi="Times New Roman"/>
          <w:b/>
          <w:noProof/>
          <w:sz w:val="24"/>
        </w:rPr>
        <w:t>по въпросите на равнопоставеността на ЛГБТИК+</w:t>
      </w:r>
      <w:r>
        <w:rPr>
          <w:rFonts w:ascii="Times New Roman" w:hAnsi="Times New Roman"/>
          <w:noProof/>
          <w:sz w:val="24"/>
        </w:rPr>
        <w:t xml:space="preserve">, чийто мандат ще бъде засилен, така че да бъдат включени представители на държавите кандидатки и да се подобри сътрудничеството с председателствата на Съвета. В контекста на експертната група държавите членки и другите заинтересовани страни ще бъдат поканени да предоставят редовна информация за своите дейности и да разпространяват тази информация, за да повишат видимостта на мерките за равнопоставеност на ЛГБТИК+. </w:t>
      </w:r>
      <w:bookmarkStart w:id="16" w:name="_Hlk201682854"/>
      <w:r>
        <w:rPr>
          <w:rFonts w:ascii="Times New Roman" w:hAnsi="Times New Roman"/>
          <w:noProof/>
          <w:sz w:val="24"/>
        </w:rPr>
        <w:t>Държавите членки ще могат също така да се включат в тематични дейности за разглеждане на конкретни области на политиката, като здравеопазване, образование и изкуствен интелект.</w:t>
      </w:r>
    </w:p>
    <w:bookmarkEnd w:id="16"/>
    <w:p w14:paraId="461F0F30" w14:textId="77777777" w:rsidR="00404038" w:rsidRPr="00E83524" w:rsidRDefault="00404038" w:rsidP="00404038">
      <w:pPr>
        <w:spacing w:line="276" w:lineRule="auto"/>
        <w:jc w:val="both"/>
        <w:rPr>
          <w:rFonts w:ascii="Times New Roman" w:hAnsi="Times New Roman"/>
          <w:noProof/>
          <w:sz w:val="24"/>
        </w:rPr>
      </w:pPr>
      <w:r>
        <w:rPr>
          <w:rFonts w:ascii="Times New Roman" w:hAnsi="Times New Roman"/>
          <w:noProof/>
          <w:sz w:val="24"/>
        </w:rPr>
        <w:t xml:space="preserve">Комисията ще продължи да дава гласност, да изказва признание и да подкрепя местните власти, които се борят за приобщаване, чрез </w:t>
      </w:r>
      <w:hyperlink r:id="rId92" w:history="1">
        <w:r>
          <w:rPr>
            <w:rStyle w:val="Hyperlink"/>
            <w:rFonts w:ascii="Times New Roman" w:hAnsi="Times New Roman"/>
            <w:b/>
            <w:noProof/>
            <w:sz w:val="24"/>
          </w:rPr>
          <w:t>наградите „Европейски столици на приобщаването и многообразието“</w:t>
        </w:r>
      </w:hyperlink>
      <w:r>
        <w:rPr>
          <w:rFonts w:ascii="Times New Roman" w:hAnsi="Times New Roman"/>
          <w:noProof/>
          <w:sz w:val="24"/>
        </w:rPr>
        <w:t>м както</w:t>
      </w:r>
      <w:r>
        <w:rPr>
          <w:rFonts w:ascii="Times New Roman" w:hAnsi="Times New Roman"/>
          <w:b/>
          <w:noProof/>
          <w:sz w:val="24"/>
        </w:rPr>
        <w:t xml:space="preserve"> </w:t>
      </w:r>
      <w:r>
        <w:rPr>
          <w:rFonts w:ascii="Times New Roman" w:hAnsi="Times New Roman"/>
          <w:noProof/>
          <w:sz w:val="24"/>
        </w:rPr>
        <w:t>и да насърчава обмена на най-добри практики между победителите, подписалите Хартата на многообразието и организациите на гражданското общество.</w:t>
      </w:r>
    </w:p>
    <w:p w14:paraId="500F8570" w14:textId="0F4C7740" w:rsidR="00CA4ABF" w:rsidRDefault="66E2C88F" w:rsidP="00A36111">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също така ще засили сътрудничеството си с </w:t>
      </w:r>
      <w:r>
        <w:rPr>
          <w:rFonts w:ascii="Times New Roman" w:hAnsi="Times New Roman"/>
          <w:b/>
          <w:noProof/>
          <w:sz w:val="24"/>
        </w:rPr>
        <w:t>международни експертни групи и мрежи за равнопоставеност на ЛГБТИК+</w:t>
      </w:r>
      <w:r>
        <w:rPr>
          <w:rFonts w:ascii="Times New Roman" w:hAnsi="Times New Roman"/>
          <w:noProof/>
          <w:sz w:val="24"/>
        </w:rPr>
        <w:t>. Сред тях са Експертният комитет на Съвета на Европа по въпросите на сексуалната ориентация, джендър идентичността, джендър експресията и половите характеристики, чийто мандат започна през 2024 г., и Европейската правителствена мрежа на точките за контакт по въпросите на ЛГБТИ, ръководена от Съвета на Европа.</w:t>
      </w:r>
    </w:p>
    <w:p w14:paraId="52EBFBF9" w14:textId="77777777" w:rsidR="00D4783C" w:rsidRDefault="00D4783C">
      <w:pPr>
        <w:rPr>
          <w:rFonts w:ascii="Times New Roman" w:hAnsi="Times New Roman" w:cs="Times New Roman"/>
          <w:noProof/>
          <w:sz w:val="24"/>
          <w:szCs w:val="24"/>
        </w:rPr>
      </w:pPr>
      <w:r>
        <w:rPr>
          <w:noProof/>
        </w:rPr>
        <w:br w:type="page"/>
      </w:r>
    </w:p>
    <w:p w14:paraId="588DAE5A" w14:textId="4A199813" w:rsidR="00404038" w:rsidRDefault="006835CA" w:rsidP="006835CA">
      <w:pPr>
        <w:spacing w:line="276" w:lineRule="auto"/>
        <w:jc w:val="both"/>
        <w:rPr>
          <w:rFonts w:ascii="Times New Roman" w:hAnsi="Times New Roman"/>
          <w:noProof/>
          <w:sz w:val="24"/>
        </w:rPr>
      </w:pPr>
      <w:r>
        <w:rPr>
          <w:rFonts w:ascii="Times New Roman" w:hAnsi="Times New Roman"/>
          <w:noProof/>
          <w:sz w:val="24"/>
        </w:rPr>
        <w:t xml:space="preserve">Здравата демокрация се основава на </w:t>
      </w:r>
      <w:r>
        <w:rPr>
          <w:rFonts w:ascii="Times New Roman" w:hAnsi="Times New Roman"/>
          <w:b/>
          <w:noProof/>
          <w:sz w:val="24"/>
        </w:rPr>
        <w:t>отворено, процъфтяващо гражданско пространство</w:t>
      </w:r>
      <w:r>
        <w:rPr>
          <w:rFonts w:ascii="Times New Roman" w:hAnsi="Times New Roman"/>
          <w:noProof/>
          <w:sz w:val="24"/>
        </w:rPr>
        <w:t>, в което гражданското общество може да функционира свободно и хората могат да изразяват своята идентичност без страх. Въпреки това организациите на гражданското общество на ЛГБТИК+ са изправени пред все по-големи предизвикателства, тъй като способността им да подкрепят своите общности, да се застъпват за правата на човека и да защитават демократичните ценности е подложена на все по-голям натиск.</w:t>
      </w:r>
    </w:p>
    <w:p w14:paraId="33FB3F3D" w14:textId="185336C0" w:rsidR="006835CA" w:rsidRPr="00E83524" w:rsidRDefault="006835CA" w:rsidP="006835CA">
      <w:pPr>
        <w:spacing w:line="276" w:lineRule="auto"/>
        <w:jc w:val="both"/>
        <w:rPr>
          <w:rFonts w:ascii="Times New Roman" w:hAnsi="Times New Roman"/>
          <w:noProof/>
          <w:sz w:val="24"/>
        </w:rPr>
      </w:pPr>
      <w:r>
        <w:rPr>
          <w:rFonts w:ascii="Times New Roman" w:hAnsi="Times New Roman"/>
          <w:noProof/>
          <w:sz w:val="24"/>
        </w:rPr>
        <w:t xml:space="preserve">Предстоящата </w:t>
      </w:r>
      <w:r>
        <w:rPr>
          <w:rFonts w:ascii="Times New Roman" w:hAnsi="Times New Roman"/>
          <w:b/>
          <w:noProof/>
          <w:sz w:val="24"/>
        </w:rPr>
        <w:t>Стратегия на ЕС за гражданското общество</w:t>
      </w:r>
      <w:r>
        <w:rPr>
          <w:rFonts w:ascii="Times New Roman" w:hAnsi="Times New Roman"/>
          <w:noProof/>
          <w:sz w:val="24"/>
        </w:rPr>
        <w:t xml:space="preserve"> ще създаде обща рамка, която ще направлява взаимодействието на Комисията с гражданското общество и подкрепата ѝ за него във всички области на политиката. Тя също така има за цел да подпомогне работата с държавите членки за насърчаване и поддържане на процъфтяващо гражданско пространство в целия ЕС, което включва организации на гражданското общество и защитници на правата на човека, които активно утвърждават и защитават ценностите на ЕС, включително равенството и недискриминацията.</w:t>
      </w:r>
    </w:p>
    <w:p w14:paraId="5D686A5B" w14:textId="2E27E268" w:rsidR="00486D53" w:rsidRPr="00350F0F" w:rsidRDefault="00486D53" w:rsidP="006835CA">
      <w:pPr>
        <w:spacing w:line="276" w:lineRule="auto"/>
        <w:jc w:val="both"/>
        <w:rPr>
          <w:rFonts w:ascii="Times New Roman" w:eastAsia="Times New Roman" w:hAnsi="Times New Roman" w:cs="Times New Roman"/>
          <w:noProof/>
          <w:sz w:val="24"/>
          <w:szCs w:val="24"/>
        </w:rPr>
      </w:pPr>
      <w:r>
        <w:rPr>
          <w:rFonts w:ascii="Times New Roman" w:hAnsi="Times New Roman"/>
          <w:noProof/>
          <w:sz w:val="24"/>
        </w:rPr>
        <w:t xml:space="preserve">Комисията също така ще насърчи създаването на нов </w:t>
      </w:r>
      <w:r>
        <w:rPr>
          <w:rFonts w:ascii="Times New Roman" w:hAnsi="Times New Roman"/>
          <w:b/>
          <w:noProof/>
          <w:sz w:val="24"/>
        </w:rPr>
        <w:t>„Форум за политиката за ЛГБТИК+“</w:t>
      </w:r>
      <w:r>
        <w:rPr>
          <w:rFonts w:ascii="Times New Roman" w:hAnsi="Times New Roman"/>
          <w:noProof/>
          <w:sz w:val="24"/>
        </w:rPr>
        <w:t xml:space="preserve"> с участието на ЛГБТИК+ организациите на гражданското общество, социалните партньори и академичните среди, който да разглежда възникващите предизвикателства, да оценява напредъка и да гарантира ефективното прилагане на тази стратегия. Това ще даде възможност за структуриран и открит диалог с различни заинтересовани страни, включително редовни дискусии на кръгла маса с европейските представителни организации на ЛГБТИК+.</w:t>
      </w:r>
    </w:p>
    <w:p w14:paraId="48B5E27F" w14:textId="77777777" w:rsidR="006835CA" w:rsidRPr="00EF6AC5" w:rsidRDefault="006835CA" w:rsidP="006835CA">
      <w:pPr>
        <w:spacing w:line="276" w:lineRule="auto"/>
        <w:jc w:val="both"/>
        <w:rPr>
          <w:rFonts w:ascii="Times New Roman" w:hAnsi="Times New Roman" w:cs="Times New Roman"/>
          <w:noProof/>
          <w:sz w:val="24"/>
          <w:szCs w:val="24"/>
        </w:rPr>
      </w:pPr>
      <w:r>
        <w:rPr>
          <w:rFonts w:ascii="Times New Roman" w:hAnsi="Times New Roman"/>
          <w:noProof/>
          <w:sz w:val="24"/>
        </w:rPr>
        <w:t xml:space="preserve">Младите хора са ключови съюзници в изграждането на приобщаващи и демократични общества. Чрез </w:t>
      </w:r>
      <w:hyperlink r:id="rId93" w:history="1">
        <w:r>
          <w:rPr>
            <w:rStyle w:val="Hyperlink"/>
            <w:rFonts w:ascii="Times New Roman" w:hAnsi="Times New Roman"/>
            <w:b/>
            <w:noProof/>
            <w:sz w:val="24"/>
          </w:rPr>
          <w:t>диалога на ЕС по въпросите на младежта</w:t>
        </w:r>
      </w:hyperlink>
      <w:r>
        <w:rPr>
          <w:rFonts w:ascii="Times New Roman" w:hAnsi="Times New Roman"/>
          <w:b/>
          <w:noProof/>
          <w:sz w:val="24"/>
        </w:rPr>
        <w:t xml:space="preserve"> и целевите диалози по политиките с младежта, провеждани</w:t>
      </w:r>
      <w:r>
        <w:rPr>
          <w:rFonts w:ascii="Times New Roman" w:hAnsi="Times New Roman"/>
          <w:noProof/>
          <w:sz w:val="24"/>
        </w:rPr>
        <w:t xml:space="preserve"> с комисарите, Комисията гарантира, че гласовете на младите хора, особено на тези от групите с повишен риск от дискриминация, включително ЛГБТИК+, биват чути в процеса на изготвяне на политики. Този приобщаващ механизъм ще продължи да гарантира отвореност към всички млади хора, за да помогнат за формирането на политиките, включително към тези от общността на ЛГБТИК+.</w:t>
      </w:r>
    </w:p>
    <w:p w14:paraId="2C0474E4" w14:textId="4F07D322" w:rsidR="00404038" w:rsidRPr="00D54628" w:rsidRDefault="00B800C7" w:rsidP="00404038">
      <w:pPr>
        <w:spacing w:line="276" w:lineRule="auto"/>
        <w:jc w:val="both"/>
        <w:rPr>
          <w:rFonts w:ascii="Times New Roman" w:hAnsi="Times New Roman"/>
          <w:noProof/>
          <w:sz w:val="24"/>
        </w:rPr>
      </w:pPr>
      <w:r>
        <w:rPr>
          <w:rFonts w:ascii="Times New Roman" w:hAnsi="Times New Roman"/>
          <w:noProof/>
          <w:sz w:val="24"/>
        </w:rPr>
        <w:t xml:space="preserve">Комисията ще продължи да подкрепя държавите членки в интегрирането на принципите на равенството в националните реформи и инвестиции чрез съответните разходни инструменти на ЕС, като </w:t>
      </w:r>
      <w:hyperlink r:id="rId94" w:history="1">
        <w:r>
          <w:rPr>
            <w:rStyle w:val="Hyperlink"/>
            <w:rFonts w:ascii="Times New Roman" w:hAnsi="Times New Roman"/>
            <w:b/>
            <w:noProof/>
            <w:sz w:val="24"/>
          </w:rPr>
          <w:t>Инструмента за техническа подкрепа</w:t>
        </w:r>
      </w:hyperlink>
      <w:r>
        <w:rPr>
          <w:rFonts w:ascii="Times New Roman" w:hAnsi="Times New Roman"/>
          <w:noProof/>
          <w:sz w:val="24"/>
        </w:rPr>
        <w:t xml:space="preserve"> и </w:t>
      </w:r>
      <w:hyperlink r:id="rId95" w:history="1">
        <w:r>
          <w:rPr>
            <w:rStyle w:val="Hyperlink"/>
            <w:rFonts w:ascii="Times New Roman" w:hAnsi="Times New Roman"/>
            <w:b/>
            <w:noProof/>
            <w:sz w:val="24"/>
          </w:rPr>
          <w:t>Механизма за възстановяване и устойчивост</w:t>
        </w:r>
      </w:hyperlink>
      <w:r>
        <w:rPr>
          <w:rFonts w:ascii="Times New Roman" w:hAnsi="Times New Roman"/>
          <w:noProof/>
          <w:sz w:val="24"/>
        </w:rPr>
        <w:t>.</w:t>
      </w:r>
    </w:p>
    <w:p w14:paraId="42051C4E" w14:textId="18D56161" w:rsidR="00404038" w:rsidRDefault="00B800C7" w:rsidP="00404038">
      <w:pPr>
        <w:spacing w:line="276" w:lineRule="auto"/>
        <w:jc w:val="both"/>
        <w:rPr>
          <w:rFonts w:ascii="Times New Roman" w:hAnsi="Times New Roman"/>
          <w:noProof/>
          <w:sz w:val="24"/>
        </w:rPr>
      </w:pPr>
      <w:r>
        <w:rPr>
          <w:rFonts w:ascii="Times New Roman" w:hAnsi="Times New Roman"/>
          <w:noProof/>
          <w:sz w:val="24"/>
        </w:rPr>
        <w:t xml:space="preserve">Комисията гарантира, че средствата на ЕС се използват справедливо. Тя ще продължи да следи за изпълнението на </w:t>
      </w:r>
      <w:r>
        <w:rPr>
          <w:rFonts w:ascii="Times New Roman" w:hAnsi="Times New Roman"/>
          <w:b/>
          <w:noProof/>
          <w:sz w:val="24"/>
        </w:rPr>
        <w:t>„хоризонталното отключващо условие“</w:t>
      </w:r>
      <w:r>
        <w:rPr>
          <w:rFonts w:ascii="Times New Roman" w:hAnsi="Times New Roman"/>
          <w:noProof/>
          <w:sz w:val="24"/>
          <w:vertAlign w:val="superscript"/>
        </w:rPr>
        <w:t>(</w:t>
      </w:r>
      <w:r>
        <w:rPr>
          <w:rFonts w:ascii="Times New Roman" w:eastAsia="Times New Roman" w:hAnsi="Times New Roman" w:cs="Times New Roman"/>
          <w:noProof/>
          <w:kern w:val="0"/>
          <w:sz w:val="24"/>
          <w:szCs w:val="24"/>
          <w:vertAlign w:val="superscript"/>
        </w:rPr>
        <w:footnoteReference w:id="44"/>
      </w:r>
      <w:r>
        <w:rPr>
          <w:rFonts w:ascii="Times New Roman" w:hAnsi="Times New Roman"/>
          <w:noProof/>
          <w:sz w:val="24"/>
          <w:vertAlign w:val="superscript"/>
        </w:rPr>
        <w:t>)</w:t>
      </w:r>
      <w:r>
        <w:rPr>
          <w:rFonts w:ascii="Times New Roman" w:hAnsi="Times New Roman"/>
          <w:noProof/>
          <w:sz w:val="24"/>
        </w:rPr>
        <w:t xml:space="preserve"> за ефективното изпълнение и прилагане на Хартата</w:t>
      </w:r>
      <w:r>
        <w:rPr>
          <w:rFonts w:ascii="Times New Roman" w:hAnsi="Times New Roman"/>
          <w:b/>
          <w:noProof/>
          <w:sz w:val="24"/>
        </w:rPr>
        <w:t xml:space="preserve"> </w:t>
      </w:r>
      <w:r>
        <w:rPr>
          <w:rFonts w:ascii="Times New Roman" w:hAnsi="Times New Roman"/>
          <w:noProof/>
          <w:sz w:val="24"/>
        </w:rPr>
        <w:t xml:space="preserve">на основните права през периода 2021—2027 г. за всички фондове по </w:t>
      </w:r>
      <w:hyperlink r:id="rId96" w:history="1">
        <w:r>
          <w:rPr>
            <w:rStyle w:val="Hyperlink"/>
            <w:rFonts w:ascii="Times New Roman" w:hAnsi="Times New Roman"/>
            <w:noProof/>
            <w:sz w:val="24"/>
          </w:rPr>
          <w:t>Регламента за общоприложимите разпоредби</w:t>
        </w:r>
      </w:hyperlink>
      <w:r>
        <w:rPr>
          <w:rFonts w:ascii="Times New Roman" w:hAnsi="Times New Roman"/>
          <w:noProof/>
          <w:sz w:val="24"/>
        </w:rPr>
        <w:t xml:space="preserve">. Тя също така ще прилага преразгледания </w:t>
      </w:r>
      <w:hyperlink r:id="rId97" w:history="1">
        <w:r>
          <w:rPr>
            <w:rStyle w:val="Hyperlink"/>
            <w:rFonts w:ascii="Times New Roman" w:hAnsi="Times New Roman"/>
            <w:b/>
            <w:noProof/>
            <w:sz w:val="24"/>
          </w:rPr>
          <w:t>Финансов регламент</w:t>
        </w:r>
      </w:hyperlink>
      <w:r>
        <w:rPr>
          <w:rFonts w:ascii="Times New Roman" w:hAnsi="Times New Roman"/>
          <w:noProof/>
          <w:sz w:val="24"/>
        </w:rPr>
        <w:t xml:space="preserve">, в който подбуждането към дискриминация, омраза или насилие е изрично посочено като основание за изключване от финансиране от ЕС. </w:t>
      </w:r>
    </w:p>
    <w:p w14:paraId="3D788B5D" w14:textId="03877F36" w:rsidR="00404038" w:rsidRDefault="00B800C7" w:rsidP="00821DE8">
      <w:pPr>
        <w:spacing w:line="276" w:lineRule="auto"/>
        <w:jc w:val="both"/>
        <w:rPr>
          <w:rFonts w:ascii="Times New Roman" w:hAnsi="Times New Roman"/>
          <w:noProof/>
          <w:sz w:val="24"/>
        </w:rPr>
      </w:pPr>
      <w:r>
        <w:rPr>
          <w:rFonts w:ascii="Times New Roman" w:hAnsi="Times New Roman"/>
          <w:noProof/>
          <w:sz w:val="24"/>
        </w:rPr>
        <w:t>Комисията потвърждава ангажимента си за подкрепа на организациите на гражданското общество на ЛГБТИК+, активизма на ниво обикновени граждани и застъпничеството в контекст, в който финансирането на тези организации все повече се съкращава</w:t>
      </w:r>
      <w:r>
        <w:rPr>
          <w:rFonts w:ascii="Times New Roman" w:hAnsi="Times New Roman"/>
          <w:noProof/>
          <w:sz w:val="24"/>
          <w:vertAlign w:val="superscript"/>
        </w:rPr>
        <w:t>(</w:t>
      </w:r>
      <w:r>
        <w:rPr>
          <w:rStyle w:val="FootnoteReference"/>
          <w:rFonts w:ascii="Times New Roman" w:hAnsi="Times New Roman" w:cs="Times New Roman"/>
          <w:noProof/>
          <w:sz w:val="24"/>
          <w:szCs w:val="24"/>
          <w:lang w:val="en-IE"/>
        </w:rPr>
        <w:footnoteReference w:id="45"/>
      </w:r>
      <w:r>
        <w:rPr>
          <w:rFonts w:ascii="Times New Roman" w:hAnsi="Times New Roman"/>
          <w:noProof/>
          <w:sz w:val="24"/>
          <w:vertAlign w:val="superscript"/>
        </w:rPr>
        <w:t>)</w:t>
      </w:r>
      <w:r>
        <w:rPr>
          <w:rFonts w:ascii="Times New Roman" w:hAnsi="Times New Roman"/>
          <w:noProof/>
          <w:sz w:val="24"/>
        </w:rPr>
        <w:t xml:space="preserve">. Комисията ще продължи да насърчава равенството и недискриминацията в рамките на </w:t>
      </w:r>
      <w:r>
        <w:rPr>
          <w:rFonts w:ascii="Times New Roman" w:hAnsi="Times New Roman"/>
          <w:b/>
          <w:noProof/>
          <w:sz w:val="24"/>
        </w:rPr>
        <w:t>следващата многогодишна финансова рамка (МФР)</w:t>
      </w:r>
      <w:r>
        <w:rPr>
          <w:rFonts w:ascii="Times New Roman" w:hAnsi="Times New Roman"/>
          <w:noProof/>
          <w:sz w:val="24"/>
        </w:rPr>
        <w:t xml:space="preserve">, по-специално чрез програмата </w:t>
      </w:r>
      <w:r>
        <w:rPr>
          <w:rFonts w:ascii="Times New Roman" w:hAnsi="Times New Roman"/>
          <w:b/>
          <w:noProof/>
          <w:sz w:val="24"/>
        </w:rPr>
        <w:t>„АгораЕС“</w:t>
      </w:r>
      <w:r>
        <w:rPr>
          <w:rFonts w:ascii="Times New Roman" w:hAnsi="Times New Roman"/>
          <w:noProof/>
          <w:sz w:val="24"/>
        </w:rPr>
        <w:t>.</w:t>
      </w:r>
      <w:r>
        <w:rPr>
          <w:noProof/>
        </w:rPr>
        <w:t xml:space="preserve"> </w:t>
      </w:r>
      <w:r>
        <w:rPr>
          <w:rFonts w:ascii="Times New Roman" w:hAnsi="Times New Roman"/>
          <w:noProof/>
          <w:sz w:val="24"/>
        </w:rPr>
        <w:t xml:space="preserve">В рамките на „АгораЕС“ Комисията предложи да отпусне 3,6 млрд. евро за </w:t>
      </w:r>
      <w:r>
        <w:rPr>
          <w:rFonts w:ascii="Times New Roman" w:hAnsi="Times New Roman"/>
          <w:b/>
          <w:bCs/>
          <w:noProof/>
          <w:sz w:val="24"/>
        </w:rPr>
        <w:t>новото направление „Граждани, равенство, права и ценности + “</w:t>
      </w:r>
      <w:r>
        <w:rPr>
          <w:rFonts w:ascii="Times New Roman" w:hAnsi="Times New Roman"/>
          <w:noProof/>
          <w:sz w:val="24"/>
        </w:rPr>
        <w:t>, което е над два пъти повече от бюджета по настоящата програма „Граждани, равенство, права и ценности“.</w:t>
      </w:r>
    </w:p>
    <w:p w14:paraId="65C237C1" w14:textId="77777777" w:rsidR="00733A7C" w:rsidRDefault="00733A7C" w:rsidP="00821DE8">
      <w:pPr>
        <w:spacing w:line="276" w:lineRule="auto"/>
        <w:jc w:val="both"/>
        <w:rPr>
          <w:rFonts w:ascii="Times New Roman" w:hAnsi="Times New Roman"/>
          <w:noProof/>
          <w:sz w:val="24"/>
        </w:rPr>
      </w:pPr>
    </w:p>
    <w:p w14:paraId="72ABB61A" w14:textId="773C7786" w:rsidR="00383408" w:rsidRPr="008F7496" w:rsidRDefault="005A1D13" w:rsidP="00821DE8">
      <w:pPr>
        <w:spacing w:line="276" w:lineRule="auto"/>
        <w:jc w:val="both"/>
        <w:rPr>
          <w:rFonts w:ascii="Times New Roman" w:hAnsi="Times New Roman"/>
          <w:noProof/>
          <w:sz w:val="24"/>
        </w:rPr>
      </w:pPr>
      <w:r>
        <w:rPr>
          <w:rFonts w:ascii="Times New Roman" w:hAnsi="Times New Roman"/>
          <w:noProof/>
          <w:sz w:val="24"/>
        </w:rPr>
        <w:t xml:space="preserve">Освен това съгласно представеното предложение във всички национални и регионални планове за партньорство ще бъдат заложени строги гаранции, за да се гарантират </w:t>
      </w:r>
      <w:r>
        <w:rPr>
          <w:rFonts w:ascii="Times New Roman" w:hAnsi="Times New Roman"/>
          <w:b/>
          <w:noProof/>
          <w:sz w:val="24"/>
        </w:rPr>
        <w:t>зачитането на принципите на правовата държава и ефективното прилагане на Хартата на основните права на ЕС</w:t>
      </w:r>
      <w:r>
        <w:rPr>
          <w:rFonts w:ascii="Times New Roman" w:hAnsi="Times New Roman"/>
          <w:noProof/>
          <w:sz w:val="24"/>
        </w:rPr>
        <w:t xml:space="preserve"> по време на изпълнението. Те също така ще предотвратят всякаква дискриминация, основана, наред с другото, на джендър и сексуална ориентация, по време на тяхното изготвяне, изпълнение, мониторинг, докладване и оценка</w:t>
      </w:r>
      <w:r>
        <w:rPr>
          <w:rFonts w:ascii="Times New Roman" w:hAnsi="Times New Roman"/>
          <w:noProof/>
          <w:sz w:val="24"/>
          <w:vertAlign w:val="superscript"/>
        </w:rPr>
        <w:t>(</w:t>
      </w:r>
      <w:r>
        <w:rPr>
          <w:rStyle w:val="FootnoteReference"/>
          <w:rFonts w:ascii="Times New Roman" w:hAnsi="Times New Roman"/>
          <w:noProof/>
          <w:sz w:val="24"/>
        </w:rPr>
        <w:footnoteReference w:id="46"/>
      </w:r>
      <w:r>
        <w:rPr>
          <w:rFonts w:ascii="Times New Roman" w:hAnsi="Times New Roman"/>
          <w:noProof/>
          <w:sz w:val="24"/>
          <w:vertAlign w:val="superscript"/>
        </w:rPr>
        <w:t>)</w:t>
      </w:r>
      <w:r>
        <w:rPr>
          <w:rFonts w:ascii="Times New Roman" w:hAnsi="Times New Roman"/>
          <w:noProof/>
          <w:sz w:val="24"/>
        </w:rPr>
        <w:t>.</w:t>
      </w:r>
    </w:p>
    <w:p w14:paraId="3A8F4F19" w14:textId="77777777" w:rsidR="003B2116" w:rsidRDefault="00CA6B54" w:rsidP="00821DE8">
      <w:pPr>
        <w:spacing w:line="276" w:lineRule="auto"/>
        <w:jc w:val="both"/>
        <w:rPr>
          <w:rFonts w:ascii="Times New Roman" w:hAnsi="Times New Roman"/>
          <w:noProof/>
          <w:sz w:val="24"/>
          <w:szCs w:val="24"/>
        </w:rPr>
      </w:pPr>
      <w:r>
        <w:rPr>
          <w:rFonts w:ascii="Times New Roman" w:hAnsi="Times New Roman"/>
          <w:noProof/>
          <w:sz w:val="24"/>
        </w:rPr>
        <w:t xml:space="preserve">Надеждните и съпоставими данни за равнопоставеността са от решаващо значение за разработването и мониторинга на основани на доказателства политики, използващи интерсекционална перспектива. Мандатът на </w:t>
      </w:r>
      <w:r>
        <w:rPr>
          <w:rFonts w:ascii="Times New Roman" w:hAnsi="Times New Roman"/>
          <w:b/>
          <w:bCs/>
          <w:noProof/>
          <w:sz w:val="24"/>
        </w:rPr>
        <w:t>експертната група по</w:t>
      </w:r>
      <w:r>
        <w:rPr>
          <w:rFonts w:ascii="Times New Roman" w:hAnsi="Times New Roman"/>
          <w:noProof/>
          <w:sz w:val="24"/>
        </w:rPr>
        <w:t xml:space="preserve"> </w:t>
      </w:r>
      <w:r>
        <w:rPr>
          <w:rFonts w:ascii="Times New Roman" w:hAnsi="Times New Roman"/>
          <w:b/>
          <w:noProof/>
          <w:sz w:val="24"/>
        </w:rPr>
        <w:t xml:space="preserve">данните за равенството </w:t>
      </w:r>
      <w:r>
        <w:rPr>
          <w:rFonts w:ascii="Times New Roman" w:hAnsi="Times New Roman"/>
          <w:noProof/>
          <w:sz w:val="24"/>
        </w:rPr>
        <w:t xml:space="preserve">в рамките на Групата на високо равнище по въпросите на недискриминацията, равенството и многообразието ще бъде подновен. В сътрудничество с FRA тя ще насърчава събирането на данни за равенството, включително данни за предизвикателствата, пред които са изправени ЛГБТИК+ лицата. </w:t>
      </w:r>
    </w:p>
    <w:p w14:paraId="7D353FC4" w14:textId="0027ED7F" w:rsidR="003B2116" w:rsidRDefault="660399DD" w:rsidP="00637BFD">
      <w:pPr>
        <w:spacing w:line="276" w:lineRule="auto"/>
        <w:jc w:val="both"/>
        <w:rPr>
          <w:rFonts w:ascii="Times New Roman" w:hAnsi="Times New Roman"/>
          <w:noProof/>
          <w:sz w:val="24"/>
        </w:rPr>
      </w:pPr>
      <w:r>
        <w:rPr>
          <w:rFonts w:ascii="Times New Roman" w:hAnsi="Times New Roman"/>
          <w:noProof/>
          <w:sz w:val="24"/>
        </w:rPr>
        <w:t>Освен това Комисията ще продължи да работи със съответните агенции на ЕС, като Агенцията на Европейския съюз за основните права (FRA), Европейската фондация за подобряване на условията на живот и труд (Eurofound) и Европейския институт за равенство между половете (EIGE), за предоставяне на техническа помощ на държавите членки по отношение на данните за равенството, включително целеви данни за интерсекционалната дискриминация. Тя също така ще продължи да работи с националните статистически служби за подобряване на събирането на хармонизирани данни за равенството в рамките на</w:t>
      </w:r>
      <w:r>
        <w:rPr>
          <w:rFonts w:ascii="Times New Roman" w:hAnsi="Times New Roman"/>
          <w:b/>
          <w:noProof/>
          <w:sz w:val="24"/>
        </w:rPr>
        <w:t xml:space="preserve"> работната група на Евростат в областта на статистиката относно равенството и недискриминацията.</w:t>
      </w:r>
      <w:r>
        <w:rPr>
          <w:rFonts w:ascii="Times New Roman" w:hAnsi="Times New Roman"/>
          <w:noProof/>
          <w:sz w:val="24"/>
        </w:rPr>
        <w:t xml:space="preserve"> Въз основа на успеха на </w:t>
      </w:r>
      <w:hyperlink r:id="rId98" w:history="1">
        <w:r>
          <w:rPr>
            <w:rStyle w:val="Hyperlink"/>
            <w:rFonts w:ascii="Times New Roman" w:hAnsi="Times New Roman"/>
            <w:noProof/>
            <w:sz w:val="24"/>
          </w:rPr>
          <w:t>първата Европейска кръгла маса на високо равнище относно данните за равенството,</w:t>
        </w:r>
      </w:hyperlink>
      <w:r>
        <w:rPr>
          <w:rFonts w:ascii="Times New Roman" w:hAnsi="Times New Roman"/>
          <w:noProof/>
          <w:sz w:val="24"/>
        </w:rPr>
        <w:t xml:space="preserve"> която се проведе през 2021 г., Комисията ще организира второ издание, което ще събере ключови заинтересовани страни, за да продължи да насърчава събирането и използването на данни за равенството.</w:t>
      </w:r>
    </w:p>
    <w:p w14:paraId="59F36CF6" w14:textId="150630F9" w:rsidR="003B2116" w:rsidRDefault="00383408" w:rsidP="00821DE8">
      <w:pPr>
        <w:spacing w:line="276" w:lineRule="auto"/>
        <w:jc w:val="both"/>
        <w:rPr>
          <w:rFonts w:ascii="Times New Roman" w:hAnsi="Times New Roman"/>
          <w:noProof/>
          <w:sz w:val="24"/>
        </w:rPr>
      </w:pPr>
      <w:r>
        <w:rPr>
          <w:rFonts w:ascii="Times New Roman" w:hAnsi="Times New Roman"/>
          <w:noProof/>
          <w:sz w:val="24"/>
        </w:rPr>
        <w:t xml:space="preserve">Комисията ще изготви </w:t>
      </w:r>
      <w:r>
        <w:rPr>
          <w:rFonts w:ascii="Times New Roman" w:hAnsi="Times New Roman"/>
          <w:b/>
          <w:noProof/>
          <w:sz w:val="24"/>
        </w:rPr>
        <w:t>препоръка</w:t>
      </w:r>
      <w:r>
        <w:rPr>
          <w:rFonts w:ascii="Times New Roman" w:hAnsi="Times New Roman"/>
          <w:noProof/>
          <w:sz w:val="24"/>
        </w:rPr>
        <w:t xml:space="preserve"> за подобряване на събирането, анализа и използването на данни относно равенството в сътрудничество с държавите членки. По този начин ще се засили подкрепата за държавите членки и другите заинтересовани страни, като се осигурят инструменти в помощ на мониторинга на състоянието на равенството в ЕС и по-доброто интегриране на данните за равенството. </w:t>
      </w:r>
    </w:p>
    <w:p w14:paraId="5DCBDF2B" w14:textId="5E5741FA" w:rsidR="00D33E7C" w:rsidRPr="00E83524" w:rsidRDefault="00F42CF6" w:rsidP="00821DE8">
      <w:pPr>
        <w:spacing w:line="276" w:lineRule="auto"/>
        <w:jc w:val="both"/>
        <w:rPr>
          <w:rFonts w:ascii="Times New Roman" w:hAnsi="Times New Roman"/>
          <w:noProof/>
          <w:sz w:val="24"/>
        </w:rPr>
      </w:pPr>
      <w:r>
        <w:rPr>
          <w:rFonts w:ascii="Times New Roman" w:hAnsi="Times New Roman"/>
          <w:noProof/>
          <w:sz w:val="24"/>
        </w:rPr>
        <w:t xml:space="preserve">Комисията възнамерява да публикува </w:t>
      </w:r>
      <w:r>
        <w:rPr>
          <w:rFonts w:ascii="Times New Roman" w:hAnsi="Times New Roman"/>
          <w:b/>
          <w:bCs/>
          <w:noProof/>
          <w:sz w:val="24"/>
        </w:rPr>
        <w:t>ново проучване на</w:t>
      </w:r>
      <w:r>
        <w:rPr>
          <w:rFonts w:ascii="Times New Roman" w:hAnsi="Times New Roman"/>
          <w:noProof/>
          <w:sz w:val="24"/>
        </w:rPr>
        <w:t xml:space="preserve"> </w:t>
      </w:r>
      <w:r>
        <w:rPr>
          <w:rFonts w:ascii="Times New Roman" w:hAnsi="Times New Roman"/>
          <w:b/>
          <w:noProof/>
          <w:sz w:val="24"/>
        </w:rPr>
        <w:t xml:space="preserve">Евробарометър за дискриминацията в ЕС </w:t>
      </w:r>
      <w:r>
        <w:rPr>
          <w:rFonts w:ascii="Times New Roman" w:hAnsi="Times New Roman"/>
          <w:noProof/>
          <w:sz w:val="24"/>
        </w:rPr>
        <w:t xml:space="preserve">през 2027 г. и приканва FRA да проведе следващата вълна на своето всеобхватно </w:t>
      </w:r>
      <w:r>
        <w:rPr>
          <w:rFonts w:ascii="Times New Roman" w:hAnsi="Times New Roman"/>
          <w:b/>
          <w:noProof/>
          <w:sz w:val="24"/>
        </w:rPr>
        <w:t>проучване за ЛГБТИК+</w:t>
      </w:r>
      <w:r>
        <w:rPr>
          <w:rFonts w:ascii="Times New Roman" w:hAnsi="Times New Roman"/>
          <w:noProof/>
          <w:sz w:val="24"/>
        </w:rPr>
        <w:t>, което ще бъде публикувано през 2029 г.</w:t>
      </w:r>
    </w:p>
    <w:p w14:paraId="2956564B" w14:textId="10E44A3D" w:rsidR="00E17528" w:rsidRPr="00D51260" w:rsidRDefault="007B2193" w:rsidP="00821DE8">
      <w:pPr>
        <w:spacing w:line="276" w:lineRule="auto"/>
        <w:jc w:val="both"/>
        <w:rPr>
          <w:rFonts w:ascii="Times New Roman" w:hAnsi="Times New Roman"/>
          <w:noProof/>
          <w:sz w:val="24"/>
        </w:rPr>
      </w:pPr>
      <w:r>
        <w:rPr>
          <w:rFonts w:ascii="Times New Roman" w:hAnsi="Times New Roman"/>
          <w:noProof/>
          <w:sz w:val="24"/>
        </w:rPr>
        <w:t xml:space="preserve">Комисията остава ангажирана с повишаването на осведомеността за равенството и недискриминацията на ЛГБТИК+. Тя ще започне </w:t>
      </w:r>
      <w:r>
        <w:rPr>
          <w:rFonts w:ascii="Times New Roman" w:hAnsi="Times New Roman"/>
          <w:b/>
          <w:noProof/>
          <w:sz w:val="24"/>
        </w:rPr>
        <w:t>комуникационна кампания за</w:t>
      </w:r>
      <w:r>
        <w:rPr>
          <w:rFonts w:ascii="Times New Roman" w:hAnsi="Times New Roman"/>
          <w:noProof/>
          <w:sz w:val="24"/>
        </w:rPr>
        <w:t xml:space="preserve"> </w:t>
      </w:r>
      <w:r>
        <w:rPr>
          <w:rFonts w:ascii="Times New Roman" w:hAnsi="Times New Roman"/>
          <w:b/>
          <w:noProof/>
          <w:sz w:val="24"/>
        </w:rPr>
        <w:t xml:space="preserve">Съюз за равенство </w:t>
      </w:r>
      <w:r>
        <w:rPr>
          <w:rFonts w:ascii="Times New Roman" w:hAnsi="Times New Roman"/>
          <w:noProof/>
          <w:sz w:val="24"/>
        </w:rPr>
        <w:t xml:space="preserve">за ангажиране на хората в целия ЕС с ценностите на равенството и недискриминацията. </w:t>
      </w:r>
    </w:p>
    <w:p w14:paraId="1EC1B945" w14:textId="32D5FFC9" w:rsidR="00E17528" w:rsidRPr="005256DA" w:rsidRDefault="005C11B6"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ще продължи активно да насърчава равнопоставеността на ЛГБТИК+ чрез подходяща подкрепа и участие в срещи, организирани от националните органи и председателствата на Съвета, както и в </w:t>
      </w:r>
      <w:r>
        <w:rPr>
          <w:rFonts w:ascii="Times New Roman" w:hAnsi="Times New Roman"/>
          <w:b/>
          <w:noProof/>
          <w:sz w:val="24"/>
        </w:rPr>
        <w:t xml:space="preserve">ключови публични събития, които служат като крайъгълен камък за общността на ЛГБТИК+, </w:t>
      </w:r>
      <w:r>
        <w:rPr>
          <w:rFonts w:ascii="Times New Roman" w:hAnsi="Times New Roman"/>
          <w:noProof/>
          <w:sz w:val="24"/>
        </w:rPr>
        <w:t>като Прайд месеца и Международния ден за борба срещу хомофобията, трансфобията и бифобията.</w:t>
      </w:r>
    </w:p>
    <w:p w14:paraId="318498A2" w14:textId="77777777" w:rsidR="00D4783C" w:rsidRDefault="00D4783C">
      <w:pPr>
        <w:rPr>
          <w:rFonts w:ascii="Times New Roman" w:hAnsi="Times New Roman"/>
          <w:noProof/>
          <w:sz w:val="24"/>
        </w:rPr>
      </w:pPr>
      <w:r>
        <w:rPr>
          <w:noProof/>
        </w:rPr>
        <w:br w:type="page"/>
      </w:r>
    </w:p>
    <w:p w14:paraId="439C271C" w14:textId="4D4FDB87" w:rsidR="00CA4ABF" w:rsidRDefault="005677FB" w:rsidP="00CA4ABF">
      <w:pPr>
        <w:spacing w:line="276" w:lineRule="auto"/>
        <w:jc w:val="both"/>
        <w:rPr>
          <w:rFonts w:ascii="Times New Roman" w:hAnsi="Times New Roman" w:cs="Times New Roman"/>
          <w:noProof/>
          <w:sz w:val="24"/>
          <w:szCs w:val="24"/>
        </w:rPr>
      </w:pPr>
      <w:r>
        <w:rPr>
          <w:rFonts w:ascii="Times New Roman" w:hAnsi="Times New Roman"/>
          <w:noProof/>
          <w:sz w:val="24"/>
        </w:rPr>
        <w:t xml:space="preserve">За да превърне равнопоставеността на ЛГБТИК+ в част от всички политики на ЕС, Комисията ще засили сътрудничеството в рамките на своите служби и с другите институции на ЕС. Това ще продължи да бъде подпомагано от </w:t>
      </w:r>
      <w:r>
        <w:rPr>
          <w:rFonts w:ascii="Times New Roman" w:hAnsi="Times New Roman"/>
          <w:b/>
          <w:noProof/>
          <w:sz w:val="24"/>
        </w:rPr>
        <w:t>Европейския комисар по въпросите на равенството</w:t>
      </w:r>
      <w:r>
        <w:rPr>
          <w:rFonts w:ascii="Times New Roman" w:hAnsi="Times New Roman"/>
          <w:noProof/>
          <w:sz w:val="24"/>
        </w:rPr>
        <w:t xml:space="preserve">, звеното за контакт по въпросите на равенството в кабинетите, Междуведомствената група на Комисията по прилагането на настоящата стратегия и вътрешната </w:t>
      </w:r>
      <w:r>
        <w:rPr>
          <w:rFonts w:ascii="Times New Roman" w:hAnsi="Times New Roman"/>
          <w:b/>
          <w:noProof/>
          <w:sz w:val="24"/>
        </w:rPr>
        <w:t>Работна група на Комисията по въпросите на равенството</w:t>
      </w:r>
      <w:r>
        <w:rPr>
          <w:rFonts w:ascii="Times New Roman" w:hAnsi="Times New Roman"/>
          <w:noProof/>
          <w:sz w:val="24"/>
        </w:rPr>
        <w:t xml:space="preserve">. </w:t>
      </w:r>
    </w:p>
    <w:p w14:paraId="3C02EB9B" w14:textId="77777777" w:rsidR="00CA4ABF" w:rsidRDefault="00CA4ABF" w:rsidP="00CA4ABF">
      <w:pPr>
        <w:spacing w:line="276" w:lineRule="auto"/>
        <w:jc w:val="both"/>
        <w:rPr>
          <w:rFonts w:ascii="Times New Roman" w:eastAsiaTheme="majorEastAsia" w:hAnsi="Times New Roman" w:cs="Times New Roman"/>
          <w:b/>
          <w:bCs/>
          <w:noProof/>
          <w:sz w:val="24"/>
          <w:szCs w:val="24"/>
        </w:rPr>
      </w:pPr>
    </w:p>
    <w:p w14:paraId="20FF2733" w14:textId="795817F6" w:rsidR="00FF42E7" w:rsidRPr="00EF6AC5" w:rsidRDefault="00F77663" w:rsidP="008732F4">
      <w:pPr>
        <w:pStyle w:val="Heading3"/>
        <w:numPr>
          <w:ilvl w:val="1"/>
          <w:numId w:val="6"/>
        </w:numPr>
        <w:ind w:hanging="578"/>
        <w:jc w:val="both"/>
        <w:rPr>
          <w:rFonts w:ascii="Times New Roman" w:hAnsi="Times New Roman" w:cs="Times New Roman"/>
          <w:b/>
          <w:bCs/>
          <w:noProof/>
          <w:color w:val="auto"/>
          <w:sz w:val="24"/>
          <w:szCs w:val="24"/>
        </w:rPr>
      </w:pPr>
      <w:r>
        <w:rPr>
          <w:rFonts w:ascii="Times New Roman" w:hAnsi="Times New Roman"/>
          <w:b/>
          <w:noProof/>
          <w:color w:val="auto"/>
          <w:sz w:val="24"/>
        </w:rPr>
        <w:t>Поддържане на световна ангажираност в подкрепа на правата на човека на ЛГБТИК+ лицата</w:t>
      </w:r>
    </w:p>
    <w:p w14:paraId="3A5EDA20" w14:textId="23F8FED6" w:rsidR="00615051" w:rsidRPr="00E83524" w:rsidRDefault="009D4B0B" w:rsidP="00821DE8">
      <w:pPr>
        <w:spacing w:line="276" w:lineRule="auto"/>
        <w:jc w:val="both"/>
        <w:rPr>
          <w:rFonts w:ascii="Times New Roman" w:hAnsi="Times New Roman"/>
          <w:noProof/>
          <w:sz w:val="24"/>
        </w:rPr>
      </w:pPr>
      <w:r>
        <w:rPr>
          <w:rFonts w:ascii="Times New Roman" w:hAnsi="Times New Roman"/>
          <w:noProof/>
          <w:sz w:val="24"/>
        </w:rPr>
        <w:t xml:space="preserve">ЕС остава ангажиран с насърчаването на </w:t>
      </w:r>
      <w:r>
        <w:rPr>
          <w:rFonts w:ascii="Times New Roman" w:hAnsi="Times New Roman"/>
          <w:b/>
          <w:noProof/>
          <w:sz w:val="24"/>
        </w:rPr>
        <w:t>правата на ЛГБТИК+ лицата в международен план</w:t>
      </w:r>
      <w:r>
        <w:rPr>
          <w:rFonts w:ascii="Times New Roman" w:hAnsi="Times New Roman"/>
          <w:noProof/>
          <w:sz w:val="24"/>
        </w:rPr>
        <w:t>. Правата на ЛГБТИК+ лицата са защитени съгласно съществуващото международно право в областта на правата на човека, но въпреки това в много части на света ЛГБТИК+ лицата се сблъскват със сериозни нарушения на правата на човека, включително преследване, лишаване от свобода или дори смъртно наказание</w:t>
      </w:r>
      <w:r>
        <w:rPr>
          <w:rFonts w:ascii="Times New Roman" w:hAnsi="Times New Roman"/>
          <w:noProof/>
          <w:sz w:val="24"/>
          <w:vertAlign w:val="superscript"/>
        </w:rPr>
        <w:t>(</w:t>
      </w:r>
      <w:r>
        <w:rPr>
          <w:rStyle w:val="FootnoteReference"/>
          <w:rFonts w:ascii="Times New Roman" w:hAnsi="Times New Roman" w:cs="Times New Roman"/>
          <w:noProof/>
          <w:sz w:val="24"/>
          <w:szCs w:val="24"/>
          <w:lang w:val="en-IE"/>
        </w:rPr>
        <w:footnoteReference w:id="47"/>
      </w:r>
      <w:r>
        <w:rPr>
          <w:rFonts w:ascii="Times New Roman" w:hAnsi="Times New Roman"/>
          <w:noProof/>
          <w:sz w:val="24"/>
          <w:vertAlign w:val="superscript"/>
        </w:rPr>
        <w:t>)</w:t>
      </w:r>
      <w:r>
        <w:rPr>
          <w:rFonts w:ascii="Times New Roman" w:hAnsi="Times New Roman"/>
          <w:noProof/>
          <w:sz w:val="24"/>
        </w:rPr>
        <w:t xml:space="preserve">, само защото са себе си. Все по-често защитниците на правата на човека и техният живот са изложени на риск, докато работят за постигането на равнопоставеност на ЛГБТИК+. </w:t>
      </w:r>
    </w:p>
    <w:p w14:paraId="33BB0741" w14:textId="49C41C69" w:rsidR="003B2116" w:rsidRDefault="0098427D" w:rsidP="00821DE8">
      <w:pPr>
        <w:spacing w:line="276" w:lineRule="auto"/>
        <w:jc w:val="both"/>
        <w:rPr>
          <w:rFonts w:ascii="Times New Roman" w:hAnsi="Times New Roman" w:cs="Times New Roman"/>
          <w:noProof/>
          <w:sz w:val="24"/>
          <w:szCs w:val="24"/>
        </w:rPr>
      </w:pPr>
      <w:r>
        <w:rPr>
          <w:rFonts w:ascii="Times New Roman" w:hAnsi="Times New Roman"/>
          <w:b/>
          <w:noProof/>
          <w:sz w:val="24"/>
        </w:rPr>
        <w:t>На многостранно равнище</w:t>
      </w:r>
      <w:r>
        <w:rPr>
          <w:rFonts w:ascii="Times New Roman" w:hAnsi="Times New Roman"/>
          <w:noProof/>
          <w:sz w:val="24"/>
        </w:rPr>
        <w:t xml:space="preserve"> ЕС ще работи за изграждане на регионални и глобални съюзи за насърчаване на равенството, включително в </w:t>
      </w:r>
      <w:r>
        <w:rPr>
          <w:rFonts w:ascii="Times New Roman" w:hAnsi="Times New Roman"/>
          <w:b/>
          <w:noProof/>
          <w:sz w:val="24"/>
        </w:rPr>
        <w:t>Обединените нации</w:t>
      </w:r>
      <w:r>
        <w:rPr>
          <w:rFonts w:ascii="Times New Roman" w:hAnsi="Times New Roman"/>
          <w:noProof/>
          <w:sz w:val="24"/>
        </w:rPr>
        <w:t xml:space="preserve">, </w:t>
      </w:r>
      <w:r>
        <w:rPr>
          <w:rFonts w:ascii="Times New Roman" w:hAnsi="Times New Roman"/>
          <w:b/>
          <w:noProof/>
          <w:sz w:val="24"/>
        </w:rPr>
        <w:t xml:space="preserve">ОССЕ </w:t>
      </w:r>
      <w:r>
        <w:rPr>
          <w:rFonts w:ascii="Times New Roman" w:hAnsi="Times New Roman"/>
          <w:noProof/>
          <w:sz w:val="24"/>
        </w:rPr>
        <w:t xml:space="preserve">и </w:t>
      </w:r>
      <w:r>
        <w:rPr>
          <w:rFonts w:ascii="Times New Roman" w:hAnsi="Times New Roman"/>
          <w:b/>
          <w:noProof/>
          <w:sz w:val="24"/>
        </w:rPr>
        <w:t>Съвета на Европа</w:t>
      </w:r>
      <w:r>
        <w:rPr>
          <w:rFonts w:ascii="Times New Roman" w:hAnsi="Times New Roman"/>
          <w:noProof/>
          <w:sz w:val="24"/>
        </w:rPr>
        <w:t>. Той ще продължи да участва в основната група на ООН за ЛГБТИ и ще продължи да работи с механизмите на ООН в областта на правата на човека, включително с независимия експерт на ООН по въпросите на защитата срещу насилие и дискриминация, основани на сексуална ориентация и полова идентичност.</w:t>
      </w:r>
    </w:p>
    <w:p w14:paraId="11EF54C3" w14:textId="05287B24" w:rsidR="0098427D" w:rsidRPr="00EF6AC5" w:rsidRDefault="0098427D" w:rsidP="00821DE8">
      <w:pPr>
        <w:spacing w:line="276"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t>ЕС ще продължи да участва в анализа на чуждестранното манипулиране на информация и вмешателство, насочени срещу ЛГБТИК+ общността, и ще допринася активно за предотвратяването и реагирането на такива атаки на различни нива и в различни региони по света.</w:t>
      </w:r>
    </w:p>
    <w:p w14:paraId="1C3FC331" w14:textId="2CC0C278" w:rsidR="003B2116" w:rsidRDefault="0098427D" w:rsidP="00821DE8">
      <w:pPr>
        <w:spacing w:line="276" w:lineRule="auto"/>
        <w:jc w:val="both"/>
        <w:rPr>
          <w:rFonts w:ascii="Times New Roman" w:hAnsi="Times New Roman"/>
          <w:noProof/>
          <w:sz w:val="24"/>
        </w:rPr>
      </w:pPr>
      <w:r>
        <w:rPr>
          <w:rFonts w:ascii="Times New Roman" w:hAnsi="Times New Roman"/>
          <w:b/>
          <w:noProof/>
          <w:sz w:val="24"/>
        </w:rPr>
        <w:t>На двустранна основа</w:t>
      </w:r>
      <w:r>
        <w:rPr>
          <w:rFonts w:ascii="Times New Roman" w:hAnsi="Times New Roman"/>
          <w:noProof/>
          <w:sz w:val="24"/>
        </w:rPr>
        <w:t xml:space="preserve"> ЕС ще активизира усилията си за борба с многобройните и пресичащи се форми на дискриминация, включително тези, основани на сексуална ориентация и джендър идентичност. ЕС също така ще засили действията си за предотвратяване, осъждане и борба с всички форми на дискриминация и тормоз срещу ЛГБТИ лицата, както и с насилието и омразата, основани на ЛГБТИ фобия. ЕС ще продължи активно да осъжда и да се бори с дискриминационните закони, политики и практики, като се съсредоточи върху застъпничеството за глобално </w:t>
      </w:r>
      <w:r>
        <w:rPr>
          <w:rFonts w:ascii="Times New Roman" w:hAnsi="Times New Roman"/>
          <w:b/>
          <w:noProof/>
          <w:sz w:val="24"/>
        </w:rPr>
        <w:t>декриминализиране на еднополовите отношения по взаимно съгласие</w:t>
      </w:r>
      <w:r>
        <w:rPr>
          <w:rFonts w:ascii="Times New Roman" w:hAnsi="Times New Roman"/>
          <w:noProof/>
          <w:sz w:val="24"/>
        </w:rPr>
        <w:t xml:space="preserve">. </w:t>
      </w:r>
    </w:p>
    <w:p w14:paraId="679D2FB1" w14:textId="16CEE16E" w:rsidR="00346B61" w:rsidRPr="00E83524" w:rsidRDefault="00496667" w:rsidP="00821DE8">
      <w:pPr>
        <w:spacing w:line="276" w:lineRule="auto"/>
        <w:jc w:val="both"/>
        <w:rPr>
          <w:rFonts w:ascii="Times New Roman" w:hAnsi="Times New Roman"/>
          <w:noProof/>
          <w:sz w:val="24"/>
        </w:rPr>
      </w:pPr>
      <w:r>
        <w:rPr>
          <w:rFonts w:ascii="Times New Roman" w:hAnsi="Times New Roman"/>
          <w:noProof/>
          <w:sz w:val="24"/>
        </w:rPr>
        <w:t>Делегациите на ЕС ще бъдат инструктирани да продължат да следят отблизо развитието на ситуацията и да се ангажират с дипломатически контакти, когато се предлагат рестриктивни закони. ЕС ще продължи да защитава правата на ЛГБТИК+ лицата и в рамките на</w:t>
      </w:r>
      <w:r>
        <w:rPr>
          <w:rFonts w:ascii="Times New Roman" w:hAnsi="Times New Roman"/>
          <w:b/>
          <w:noProof/>
          <w:sz w:val="24"/>
        </w:rPr>
        <w:t xml:space="preserve"> </w:t>
      </w:r>
      <w:r>
        <w:rPr>
          <w:rFonts w:ascii="Times New Roman" w:hAnsi="Times New Roman"/>
          <w:noProof/>
          <w:sz w:val="24"/>
        </w:rPr>
        <w:t>политическите си диалози относно правата на човека. Равнопоставеността на ЛГБТИК+ ще остане във фокуса на вниманието и при взаимодействието на ЕС с държавите, които се ползват от търговски преференции по</w:t>
      </w:r>
      <w:r>
        <w:rPr>
          <w:rFonts w:ascii="Times New Roman" w:hAnsi="Times New Roman"/>
          <w:b/>
          <w:noProof/>
          <w:sz w:val="24"/>
        </w:rPr>
        <w:t xml:space="preserve"> </w:t>
      </w:r>
      <w:hyperlink r:id="rId99" w:history="1">
        <w:r>
          <w:rPr>
            <w:rStyle w:val="Hyperlink"/>
            <w:rFonts w:ascii="Times New Roman" w:hAnsi="Times New Roman"/>
            <w:b/>
            <w:noProof/>
            <w:sz w:val="24"/>
          </w:rPr>
          <w:t>Общата схема от преференции</w:t>
        </w:r>
      </w:hyperlink>
      <w:r>
        <w:rPr>
          <w:rFonts w:ascii="Times New Roman" w:hAnsi="Times New Roman"/>
          <w:noProof/>
          <w:sz w:val="24"/>
        </w:rPr>
        <w:t xml:space="preserve"> и </w:t>
      </w:r>
      <w:hyperlink r:id="rId100" w:history="1">
        <w:r>
          <w:rPr>
            <w:rStyle w:val="Hyperlink"/>
            <w:rFonts w:ascii="Times New Roman" w:hAnsi="Times New Roman"/>
            <w:b/>
            <w:noProof/>
            <w:sz w:val="24"/>
          </w:rPr>
          <w:t>схемата „Всичко освен оръжие“</w:t>
        </w:r>
      </w:hyperlink>
      <w:r>
        <w:rPr>
          <w:rFonts w:ascii="Times New Roman" w:hAnsi="Times New Roman"/>
          <w:noProof/>
          <w:sz w:val="24"/>
        </w:rPr>
        <w:t>.</w:t>
      </w:r>
    </w:p>
    <w:p w14:paraId="78F0F6E1" w14:textId="55354B11" w:rsidR="00DA7077" w:rsidRPr="00E83524" w:rsidRDefault="00DA7077" w:rsidP="00821DE8">
      <w:pPr>
        <w:spacing w:line="276" w:lineRule="auto"/>
        <w:jc w:val="both"/>
        <w:rPr>
          <w:rFonts w:ascii="Times New Roman" w:hAnsi="Times New Roman"/>
          <w:noProof/>
          <w:sz w:val="24"/>
        </w:rPr>
      </w:pPr>
      <w:r>
        <w:rPr>
          <w:rFonts w:ascii="Times New Roman" w:hAnsi="Times New Roman"/>
          <w:noProof/>
          <w:sz w:val="24"/>
        </w:rPr>
        <w:t xml:space="preserve">В своите </w:t>
      </w:r>
      <w:r>
        <w:rPr>
          <w:rFonts w:ascii="Times New Roman" w:hAnsi="Times New Roman"/>
          <w:b/>
          <w:noProof/>
          <w:sz w:val="24"/>
        </w:rPr>
        <w:t>мисии за наблюдение на избори</w:t>
      </w:r>
      <w:r>
        <w:rPr>
          <w:rFonts w:ascii="Times New Roman" w:hAnsi="Times New Roman"/>
          <w:noProof/>
          <w:sz w:val="24"/>
        </w:rPr>
        <w:t xml:space="preserve"> ЕС ще продължи да разглежда случаите на реч на омразата и подстрекателски език, включително когато те са насочени срещу ЛГБТИК+ лица, както и представянето на стереотипи в медийното отразяване. ЕС ще разгледа и мерките, предприети от съответните органи за улесняване на участието на малцинствените групи, включително ЛГБТИК+, в изборния процес и за борба с дискриминацията срещу тях.</w:t>
      </w:r>
    </w:p>
    <w:p w14:paraId="4934EE7A" w14:textId="19AAE699" w:rsidR="00D11593" w:rsidRDefault="001C0687" w:rsidP="00821DE8">
      <w:pPr>
        <w:spacing w:line="276" w:lineRule="auto"/>
        <w:jc w:val="both"/>
        <w:rPr>
          <w:rFonts w:ascii="Times New Roman" w:eastAsia="Times New Roman" w:hAnsi="Times New Roman" w:cs="Times New Roman"/>
          <w:noProof/>
          <w:sz w:val="24"/>
          <w:szCs w:val="24"/>
        </w:rPr>
      </w:pPr>
      <w:r>
        <w:rPr>
          <w:rFonts w:ascii="Times New Roman" w:hAnsi="Times New Roman"/>
          <w:noProof/>
          <w:sz w:val="24"/>
        </w:rPr>
        <w:t xml:space="preserve">Освен това ЕС ще продължи да гарантира, че </w:t>
      </w:r>
      <w:r>
        <w:rPr>
          <w:rFonts w:ascii="Times New Roman" w:hAnsi="Times New Roman"/>
          <w:b/>
          <w:noProof/>
          <w:sz w:val="24"/>
        </w:rPr>
        <w:t xml:space="preserve">хуманитарната помощ </w:t>
      </w:r>
      <w:r>
        <w:rPr>
          <w:rFonts w:ascii="Times New Roman" w:hAnsi="Times New Roman"/>
          <w:noProof/>
          <w:sz w:val="24"/>
        </w:rPr>
        <w:t>и мерките за закрила отговарят на специфичните нужди на уязвимите ЛГБТИК+ лица в съответствие с основните хуманитарни принципи, като безпристрастност и недискриминация. Предотвратяването, ограничаването и реагирането на основаното на пола насилие, включително сексуалното насилие, свързано с конфликти, са ключов приоритет за ЕС като хуманитарен донор.</w:t>
      </w:r>
    </w:p>
    <w:p w14:paraId="127F2C2C" w14:textId="4C5D2ED0" w:rsidR="003B2116" w:rsidRDefault="009A5864"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По отношение на </w:t>
      </w:r>
      <w:r>
        <w:rPr>
          <w:rFonts w:ascii="Times New Roman" w:hAnsi="Times New Roman"/>
          <w:b/>
          <w:noProof/>
          <w:sz w:val="24"/>
        </w:rPr>
        <w:t>страните кандидатки и потенциалните кандидатки</w:t>
      </w:r>
      <w:r>
        <w:rPr>
          <w:rFonts w:ascii="Times New Roman" w:hAnsi="Times New Roman"/>
          <w:noProof/>
          <w:sz w:val="24"/>
        </w:rPr>
        <w:t>, в съответствие с преразгледаната методология за разширяване от 2020 г., ЕС ще продължи да отстоява правата на ЛГБТИК+ лицата, включително като част от преговорите за присъединяване и свързаните с тях споразумения за асоцииране.</w:t>
      </w:r>
      <w:r>
        <w:rPr>
          <w:rFonts w:ascii="Times New Roman" w:hAnsi="Times New Roman"/>
          <w:b/>
          <w:noProof/>
          <w:sz w:val="24"/>
        </w:rPr>
        <w:t xml:space="preserve"> </w:t>
      </w:r>
      <w:r>
        <w:rPr>
          <w:rFonts w:ascii="Times New Roman" w:hAnsi="Times New Roman"/>
          <w:noProof/>
          <w:sz w:val="24"/>
        </w:rPr>
        <w:t>В рамките на годишния пакет на Комисията относно разширяването ще продължи да се оценява положението с правата на човека на ЛГБТИК+ лицата в страните кандидатки и потенциалните кандидатки.</w:t>
      </w:r>
    </w:p>
    <w:p w14:paraId="67ED6710" w14:textId="2DD72D0C" w:rsidR="008776AF" w:rsidRPr="00464A8D" w:rsidRDefault="008C0BFD" w:rsidP="00821DE8">
      <w:pPr>
        <w:spacing w:line="276" w:lineRule="auto"/>
        <w:jc w:val="both"/>
        <w:rPr>
          <w:rFonts w:ascii="Times New Roman" w:hAnsi="Times New Roman"/>
          <w:noProof/>
          <w:spacing w:val="-4"/>
          <w:sz w:val="24"/>
        </w:rPr>
      </w:pPr>
      <w:r w:rsidRPr="00464A8D">
        <w:rPr>
          <w:rFonts w:ascii="Times New Roman" w:hAnsi="Times New Roman"/>
          <w:noProof/>
          <w:spacing w:val="-4"/>
          <w:sz w:val="24"/>
        </w:rPr>
        <w:t>По-специално Комисията ще следи за спазването на законодателството на ЕС и съответната съдебна практика на Съда на ЕС и на Европейския съд по правата на човека, ще отправя препоръки и ще подкрепя мерки за гарантиране на равнопоставеността на ЛГБТИК+ лицата и за борба с насилието, омразата и дискриминацията.</w:t>
      </w:r>
      <w:r w:rsidRPr="00464A8D">
        <w:rPr>
          <w:rFonts w:ascii="Times New Roman" w:hAnsi="Times New Roman"/>
          <w:b/>
          <w:noProof/>
          <w:spacing w:val="-4"/>
          <w:sz w:val="24"/>
        </w:rPr>
        <w:t xml:space="preserve"> </w:t>
      </w:r>
      <w:r w:rsidRPr="00464A8D">
        <w:rPr>
          <w:rFonts w:ascii="Times New Roman" w:hAnsi="Times New Roman"/>
          <w:noProof/>
          <w:spacing w:val="-4"/>
          <w:sz w:val="24"/>
        </w:rPr>
        <w:t>Освен това Комисията ще продължи да насърчава правата на ЛГБТИК+ лицата в</w:t>
      </w:r>
      <w:r w:rsidRPr="00464A8D">
        <w:rPr>
          <w:rFonts w:ascii="Times New Roman" w:hAnsi="Times New Roman"/>
          <w:b/>
          <w:noProof/>
          <w:spacing w:val="-4"/>
          <w:sz w:val="24"/>
        </w:rPr>
        <w:t xml:space="preserve"> своите политически дискусии и дискусии за правата на човека със съседните на ЕС държави</w:t>
      </w:r>
      <w:r w:rsidRPr="00464A8D">
        <w:rPr>
          <w:rFonts w:ascii="Times New Roman" w:hAnsi="Times New Roman"/>
          <w:noProof/>
          <w:spacing w:val="-4"/>
          <w:sz w:val="24"/>
        </w:rPr>
        <w:t>.</w:t>
      </w:r>
      <w:bookmarkEnd w:id="2"/>
    </w:p>
    <w:p w14:paraId="7EDCBA97" w14:textId="62DD474B" w:rsidR="0098427D" w:rsidRPr="00E83524" w:rsidRDefault="0098427D" w:rsidP="00821DE8">
      <w:pPr>
        <w:spacing w:line="276" w:lineRule="auto"/>
        <w:jc w:val="both"/>
        <w:rPr>
          <w:rFonts w:ascii="Times New Roman" w:hAnsi="Times New Roman"/>
          <w:noProof/>
          <w:sz w:val="24"/>
        </w:rPr>
      </w:pPr>
      <w:r>
        <w:rPr>
          <w:rFonts w:ascii="Times New Roman" w:hAnsi="Times New Roman"/>
          <w:noProof/>
          <w:sz w:val="24"/>
        </w:rPr>
        <w:t xml:space="preserve">За да подкрепи защитниците на правата на човека, Комисията ще продължи да предоставя насоки за обработката на заявления за визи от защитници на правата на човека чрез </w:t>
      </w:r>
      <w:hyperlink r:id="rId101" w:history="1">
        <w:r>
          <w:rPr>
            <w:rStyle w:val="Hyperlink"/>
            <w:rFonts w:ascii="Times New Roman" w:hAnsi="Times New Roman"/>
            <w:b/>
            <w:noProof/>
            <w:sz w:val="24"/>
          </w:rPr>
          <w:t>Наръчника за визовия кодекс на ЕС</w:t>
        </w:r>
      </w:hyperlink>
      <w:r>
        <w:rPr>
          <w:rFonts w:ascii="Times New Roman" w:hAnsi="Times New Roman"/>
          <w:noProof/>
          <w:sz w:val="24"/>
        </w:rPr>
        <w:t xml:space="preserve">. Наръчникът беше преработен през юни 2024 г. с актуализирани насоки и примери, включително за защитниците на правата на човека на ЛГБТИК+. Делегациите на ЕС по света също така ще продължат да прилагат </w:t>
      </w:r>
      <w:hyperlink r:id="rId102" w:history="1">
        <w:r>
          <w:rPr>
            <w:rStyle w:val="Hyperlink"/>
            <w:rFonts w:ascii="Times New Roman" w:hAnsi="Times New Roman"/>
            <w:noProof/>
            <w:sz w:val="24"/>
          </w:rPr>
          <w:t>Насоките на ЕС относно защитниците на правата на човека</w:t>
        </w:r>
      </w:hyperlink>
      <w:r>
        <w:rPr>
          <w:rFonts w:ascii="Times New Roman" w:hAnsi="Times New Roman"/>
          <w:noProof/>
          <w:sz w:val="24"/>
        </w:rPr>
        <w:t xml:space="preserve">. Специфична подкрепа се предоставя и чрез </w:t>
      </w:r>
      <w:hyperlink r:id="rId103" w:history="1">
        <w:r>
          <w:rPr>
            <w:rStyle w:val="Hyperlink"/>
            <w:rFonts w:ascii="Times New Roman" w:hAnsi="Times New Roman"/>
            <w:b/>
            <w:noProof/>
            <w:sz w:val="24"/>
          </w:rPr>
          <w:t>Механизма на ЕС за защитниците на правата на човека</w:t>
        </w:r>
      </w:hyperlink>
      <w:r>
        <w:rPr>
          <w:rFonts w:ascii="Times New Roman" w:hAnsi="Times New Roman"/>
          <w:b/>
          <w:noProof/>
          <w:sz w:val="24"/>
        </w:rPr>
        <w:t xml:space="preserve"> </w:t>
      </w:r>
      <w:r>
        <w:rPr>
          <w:rFonts w:ascii="Times New Roman" w:hAnsi="Times New Roman"/>
          <w:noProof/>
          <w:sz w:val="24"/>
        </w:rPr>
        <w:t>чрез спешни безвъзмездни средства, помощ за преместване, изграждане на капацитет и обучение за защитници на правата на човека в риск</w:t>
      </w:r>
      <w:r>
        <w:rPr>
          <w:noProof/>
        </w:rPr>
        <w:t>.</w:t>
      </w:r>
    </w:p>
    <w:p w14:paraId="5064E8F1" w14:textId="236A0872" w:rsidR="008773C6" w:rsidRPr="00D54628" w:rsidRDefault="009A5864" w:rsidP="00466EE3">
      <w:pPr>
        <w:spacing w:line="276" w:lineRule="auto"/>
        <w:jc w:val="both"/>
        <w:rPr>
          <w:rFonts w:ascii="Times New Roman" w:hAnsi="Times New Roman" w:cs="Times New Roman"/>
          <w:noProof/>
        </w:rPr>
      </w:pPr>
      <w:r>
        <w:rPr>
          <w:rFonts w:ascii="Times New Roman" w:hAnsi="Times New Roman"/>
          <w:noProof/>
          <w:sz w:val="24"/>
        </w:rPr>
        <w:t xml:space="preserve">И накрая, за да защити правата на ЛГБТИК+ лицата, Комисията ще прилага подход, основан на правата на човека, заедно с анализ по въпросите на джендъра и неравенството, към всички действия, финансирани чрез финансовите инструменти на ЕС, като </w:t>
      </w:r>
      <w:r>
        <w:rPr>
          <w:rFonts w:ascii="Times New Roman" w:hAnsi="Times New Roman"/>
          <w:b/>
          <w:noProof/>
          <w:sz w:val="24"/>
        </w:rPr>
        <w:t>Инструмента за предприсъединителна помощ</w:t>
      </w:r>
      <w:r>
        <w:rPr>
          <w:rFonts w:ascii="Times New Roman" w:hAnsi="Times New Roman"/>
          <w:noProof/>
          <w:sz w:val="24"/>
        </w:rPr>
        <w:t xml:space="preserve"> </w:t>
      </w:r>
      <w:r>
        <w:rPr>
          <w:rFonts w:ascii="Times New Roman" w:hAnsi="Times New Roman"/>
          <w:b/>
          <w:noProof/>
          <w:sz w:val="24"/>
        </w:rPr>
        <w:t>(ИПП)</w:t>
      </w:r>
      <w:r>
        <w:rPr>
          <w:rFonts w:ascii="Times New Roman" w:hAnsi="Times New Roman"/>
          <w:noProof/>
          <w:sz w:val="24"/>
        </w:rPr>
        <w:t xml:space="preserve"> и </w:t>
      </w:r>
      <w:r>
        <w:rPr>
          <w:rFonts w:ascii="Times New Roman" w:hAnsi="Times New Roman"/>
          <w:b/>
          <w:noProof/>
          <w:sz w:val="24"/>
        </w:rPr>
        <w:t>Инструмента за съседство, сътрудничество за развитие и международно сътрудничество</w:t>
      </w:r>
      <w:r>
        <w:rPr>
          <w:rFonts w:ascii="Times New Roman" w:hAnsi="Times New Roman"/>
          <w:noProof/>
          <w:sz w:val="24"/>
        </w:rPr>
        <w:t xml:space="preserve"> (</w:t>
      </w:r>
      <w:r>
        <w:rPr>
          <w:rFonts w:ascii="Times New Roman" w:hAnsi="Times New Roman"/>
          <w:b/>
          <w:noProof/>
          <w:sz w:val="24"/>
        </w:rPr>
        <w:t>ИССРМС)</w:t>
      </w:r>
      <w:r>
        <w:rPr>
          <w:rFonts w:ascii="Times New Roman" w:hAnsi="Times New Roman"/>
          <w:noProof/>
          <w:sz w:val="24"/>
        </w:rPr>
        <w:t xml:space="preserve">, включително по тематичните програми на ИССРМС относно правата на човека и демокрацията и гражданското общество. Тези програми също така ще продължат да предоставят финансова подкрепа на организациите на гражданското общество и защитниците на правата на човека на ЛГБТИК+. Те трябва да бъдат последвани от предложения </w:t>
      </w:r>
      <w:hyperlink r:id="rId104" w:history="1">
        <w:r>
          <w:rPr>
            <w:rStyle w:val="Hyperlink"/>
            <w:rFonts w:ascii="Times New Roman" w:hAnsi="Times New Roman"/>
            <w:noProof/>
            <w:sz w:val="24"/>
          </w:rPr>
          <w:t>инструмент „Глобална Европа“</w:t>
        </w:r>
      </w:hyperlink>
      <w:r>
        <w:rPr>
          <w:rFonts w:ascii="Times New Roman" w:hAnsi="Times New Roman"/>
          <w:noProof/>
          <w:sz w:val="24"/>
        </w:rPr>
        <w:t>, за който в момента е в ход законодателен процес, за следващата многогодишна финансова рамка.</w:t>
      </w:r>
    </w:p>
    <w:tbl>
      <w:tblPr>
        <w:tblStyle w:val="TableGrid"/>
        <w:tblW w:w="0" w:type="auto"/>
        <w:tblLook w:val="04A0" w:firstRow="1" w:lastRow="0" w:firstColumn="1" w:lastColumn="0" w:noHBand="0" w:noVBand="1"/>
      </w:tblPr>
      <w:tblGrid>
        <w:gridCol w:w="9016"/>
      </w:tblGrid>
      <w:tr w:rsidR="008776AF" w:rsidRPr="00EB7285" w14:paraId="2A231D93" w14:textId="77777777" w:rsidTr="00D54628">
        <w:tc>
          <w:tcPr>
            <w:tcW w:w="9016" w:type="dxa"/>
            <w:shd w:val="clear" w:color="auto" w:fill="E8E8E8" w:themeFill="background2"/>
          </w:tcPr>
          <w:p w14:paraId="1997D12B" w14:textId="250EDA61" w:rsidR="008776AF" w:rsidRPr="00E83524" w:rsidRDefault="008776AF" w:rsidP="00EF6AC5">
            <w:pPr>
              <w:pStyle w:val="NoSpacing"/>
              <w:spacing w:after="120"/>
              <w:jc w:val="both"/>
              <w:rPr>
                <w:rFonts w:ascii="Times New Roman" w:hAnsi="Times New Roman"/>
                <w:b/>
                <w:noProof/>
              </w:rPr>
            </w:pPr>
            <w:r>
              <w:rPr>
                <w:rFonts w:ascii="Times New Roman" w:hAnsi="Times New Roman"/>
                <w:b/>
                <w:noProof/>
              </w:rPr>
              <w:t>Ключови действия от страна на Европейската комисия:</w:t>
            </w:r>
          </w:p>
          <w:p w14:paraId="2EB5CA9E" w14:textId="20D7DDDC" w:rsidR="00670685" w:rsidRPr="00670685" w:rsidRDefault="00670685"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Осигуряване на финансиране чрез съответните разходни инструменти на ЕС за подкрепа на проекти и организации, които отстояват правата на ЛГБТИК+ лицата и се борят с дискриминацията.</w:t>
            </w:r>
          </w:p>
          <w:p w14:paraId="48B17C4C" w14:textId="554AA1B4" w:rsidR="008773C6" w:rsidRPr="00D54628" w:rsidRDefault="008773C6"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 xml:space="preserve">Създаване през 2026 г. на нов „Форум за политиката за ЛГБТИК+“ с участието на организации на гражданското общество на ЛГБТИК+, социалните партньори и академичните среди. </w:t>
            </w:r>
          </w:p>
          <w:p w14:paraId="62E6BB84" w14:textId="622B6C29" w:rsidR="00F730AE" w:rsidRPr="00567304" w:rsidRDefault="009A67AB"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Започване в началото на 2027 г. на комуникационна кампания относно Съюза на равенство за ангажиране на хората в целия ЕС с равенството и недискриминацията</w:t>
            </w:r>
            <w:r w:rsidR="00956D86">
              <w:rPr>
                <w:rFonts w:ascii="Times New Roman" w:hAnsi="Times New Roman"/>
                <w:noProof/>
              </w:rPr>
              <w:t>.</w:t>
            </w:r>
          </w:p>
          <w:p w14:paraId="537BCC41" w14:textId="09909633" w:rsidR="00F730AE" w:rsidRPr="00EF6AC5" w:rsidRDefault="00E8799F"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Изготвяне на препоръка относно данните за равенството, допълнена с публикуването на ново издание на проучването на Евробарометър за дискриминацията в ЕС през 2027 г.</w:t>
            </w:r>
          </w:p>
          <w:p w14:paraId="5B9981DB" w14:textId="4388AE00" w:rsidR="0067589F" w:rsidRPr="00EB7285" w:rsidRDefault="00B800C7"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Изпълнение на действия за насърчаване и защита на пълното и равноправно упражняване на всички права на човека от ЛГБТИК+ лицата по света, както на многостранно, така и на двустранно равнище, включително застъпничество за глобално декриминализиране на еднополовите отношения по взаимно съгласие.</w:t>
            </w:r>
          </w:p>
          <w:p w14:paraId="6E541128" w14:textId="6E674CCF" w:rsidR="008776AF" w:rsidRPr="00E257CF" w:rsidRDefault="0067589F" w:rsidP="008732F4">
            <w:pPr>
              <w:pStyle w:val="ListParagraph"/>
              <w:numPr>
                <w:ilvl w:val="0"/>
                <w:numId w:val="2"/>
              </w:numPr>
              <w:spacing w:after="120"/>
              <w:contextualSpacing w:val="0"/>
              <w:jc w:val="both"/>
              <w:rPr>
                <w:rFonts w:ascii="Times New Roman" w:hAnsi="Times New Roman" w:cs="Times New Roman"/>
                <w:noProof/>
              </w:rPr>
            </w:pPr>
            <w:r>
              <w:rPr>
                <w:rFonts w:ascii="Times New Roman" w:hAnsi="Times New Roman"/>
                <w:noProof/>
              </w:rPr>
              <w:t>Подкрепа за привеждането на страните кандидатки и потенциалните кандидатки в съответствие с приложимото законодателство на ЕС и съдебната практика на Съда на ЕС и на Европейския съд по правата на човека.</w:t>
            </w:r>
          </w:p>
        </w:tc>
      </w:tr>
    </w:tbl>
    <w:p w14:paraId="20325590" w14:textId="77777777" w:rsidR="008776AF" w:rsidRPr="00E83524" w:rsidRDefault="008776AF" w:rsidP="00F33321">
      <w:pPr>
        <w:jc w:val="both"/>
        <w:rPr>
          <w:rFonts w:ascii="Times New Roman" w:hAnsi="Times New Roman"/>
          <w:i/>
          <w:noProof/>
          <w:sz w:val="24"/>
        </w:rPr>
      </w:pPr>
    </w:p>
    <w:p w14:paraId="56F51EEF" w14:textId="04BBF0C9" w:rsidR="00E17486" w:rsidRPr="00D51260" w:rsidRDefault="004C55C6" w:rsidP="00EB7285">
      <w:pPr>
        <w:pStyle w:val="Heading1"/>
        <w:jc w:val="both"/>
        <w:rPr>
          <w:rFonts w:ascii="Times New Roman" w:hAnsi="Times New Roman"/>
          <w:b/>
          <w:smallCaps/>
          <w:noProof/>
          <w:color w:val="auto"/>
          <w:sz w:val="28"/>
        </w:rPr>
      </w:pPr>
      <w:r>
        <w:rPr>
          <w:rFonts w:ascii="Times New Roman" w:hAnsi="Times New Roman"/>
          <w:b/>
          <w:smallCaps/>
          <w:noProof/>
          <w:color w:val="auto"/>
          <w:sz w:val="28"/>
        </w:rPr>
        <w:t>Заключение</w:t>
      </w:r>
    </w:p>
    <w:p w14:paraId="6C642154" w14:textId="098AE7CC" w:rsidR="006A3E8C" w:rsidRPr="00F33321" w:rsidRDefault="0045583B"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Настоящата стратегия потвърждава визията за Европейски съюз, в който </w:t>
      </w:r>
      <w:r>
        <w:rPr>
          <w:rFonts w:ascii="Times New Roman" w:hAnsi="Times New Roman"/>
          <w:b/>
          <w:noProof/>
          <w:sz w:val="24"/>
        </w:rPr>
        <w:t>ЛГБТИК+ лицата са свободни да бъдат себе си и да обичат</w:t>
      </w:r>
      <w:r>
        <w:rPr>
          <w:rFonts w:ascii="Times New Roman" w:hAnsi="Times New Roman"/>
          <w:noProof/>
          <w:sz w:val="24"/>
        </w:rPr>
        <w:t xml:space="preserve">. ЕС и неговите държави членки постигнаха значителен напредък в изграждането на </w:t>
      </w:r>
      <w:r>
        <w:rPr>
          <w:rFonts w:ascii="Times New Roman" w:hAnsi="Times New Roman"/>
          <w:b/>
          <w:noProof/>
          <w:sz w:val="24"/>
        </w:rPr>
        <w:t>Съюз на равенство</w:t>
      </w:r>
      <w:r>
        <w:rPr>
          <w:rFonts w:ascii="Times New Roman" w:hAnsi="Times New Roman"/>
          <w:noProof/>
          <w:sz w:val="24"/>
        </w:rPr>
        <w:t>. Все още обаче може да се постигне много за едно наистина равноправно и свободно от дискриминация и омраза общество за всички.</w:t>
      </w:r>
    </w:p>
    <w:p w14:paraId="4BC4CA35" w14:textId="5519069A" w:rsidR="00C66C11" w:rsidRPr="00464A8D" w:rsidRDefault="0008251C" w:rsidP="00821DE8">
      <w:pPr>
        <w:spacing w:line="276" w:lineRule="auto"/>
        <w:jc w:val="both"/>
        <w:rPr>
          <w:rFonts w:ascii="Times New Roman" w:hAnsi="Times New Roman" w:cs="Times New Roman"/>
          <w:noProof/>
          <w:spacing w:val="-2"/>
          <w:sz w:val="24"/>
          <w:szCs w:val="24"/>
        </w:rPr>
      </w:pPr>
      <w:r w:rsidRPr="00464A8D">
        <w:rPr>
          <w:rFonts w:ascii="Times New Roman" w:hAnsi="Times New Roman"/>
          <w:noProof/>
          <w:spacing w:val="-2"/>
          <w:sz w:val="24"/>
        </w:rPr>
        <w:t xml:space="preserve">Стъпвайки на стратегията за равнопоставеност на ЛГБТИК за 2020—2025 г., настоящата подновена стратегия </w:t>
      </w:r>
      <w:r w:rsidRPr="00464A8D">
        <w:rPr>
          <w:rFonts w:ascii="Times New Roman" w:hAnsi="Times New Roman"/>
          <w:b/>
          <w:noProof/>
          <w:spacing w:val="-2"/>
          <w:sz w:val="24"/>
        </w:rPr>
        <w:t>продължава усилията на ЕС за насърчаване на равнопоставеността на ЛГБТИК+</w:t>
      </w:r>
      <w:r w:rsidRPr="00464A8D">
        <w:rPr>
          <w:rFonts w:ascii="Times New Roman" w:hAnsi="Times New Roman"/>
          <w:noProof/>
          <w:spacing w:val="-2"/>
          <w:sz w:val="24"/>
        </w:rPr>
        <w:t xml:space="preserve"> и запазва фокуса върху приоритетните области, както и върху интегрирането на равнопоставеността на ЛГБТИК+ във всички политики, като се прилага интерсекционален подход. Постигането на равенство е не само жизненоважно за една устойчива демокрация и сплотено общество, но и </w:t>
      </w:r>
      <w:r w:rsidRPr="00464A8D">
        <w:rPr>
          <w:rFonts w:ascii="Times New Roman" w:hAnsi="Times New Roman"/>
          <w:b/>
          <w:bCs/>
          <w:noProof/>
          <w:spacing w:val="-2"/>
          <w:sz w:val="24"/>
        </w:rPr>
        <w:t>от</w:t>
      </w:r>
      <w:r w:rsidRPr="00464A8D">
        <w:rPr>
          <w:rFonts w:ascii="Times New Roman" w:hAnsi="Times New Roman"/>
          <w:noProof/>
          <w:spacing w:val="-2"/>
          <w:sz w:val="24"/>
        </w:rPr>
        <w:t xml:space="preserve"> </w:t>
      </w:r>
      <w:r w:rsidRPr="00464A8D">
        <w:rPr>
          <w:rFonts w:ascii="Times New Roman" w:hAnsi="Times New Roman"/>
          <w:b/>
          <w:noProof/>
          <w:spacing w:val="-2"/>
          <w:sz w:val="24"/>
        </w:rPr>
        <w:t>основно значение за насърчаване на процъфтяващи и конкурентоспособни икономики</w:t>
      </w:r>
      <w:r w:rsidRPr="00464A8D">
        <w:rPr>
          <w:rFonts w:ascii="Times New Roman" w:hAnsi="Times New Roman"/>
          <w:noProof/>
          <w:spacing w:val="-2"/>
          <w:sz w:val="24"/>
        </w:rPr>
        <w:t xml:space="preserve"> в цяла Европа.</w:t>
      </w:r>
    </w:p>
    <w:p w14:paraId="37E906CE" w14:textId="241A7ECB" w:rsidR="000707E5" w:rsidRPr="00F33321" w:rsidRDefault="00652D5F"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Утвърждаването на равенството и недискриминацията в ЕС е </w:t>
      </w:r>
      <w:r>
        <w:rPr>
          <w:rFonts w:ascii="Times New Roman" w:hAnsi="Times New Roman"/>
          <w:b/>
          <w:noProof/>
          <w:sz w:val="24"/>
        </w:rPr>
        <w:t>споделена отговорност</w:t>
      </w:r>
      <w:r>
        <w:rPr>
          <w:rFonts w:ascii="Times New Roman" w:hAnsi="Times New Roman"/>
          <w:noProof/>
          <w:sz w:val="24"/>
        </w:rPr>
        <w:t xml:space="preserve">, която изисква съвместни усилия на всички равнища. Институциите и агенциите на ЕС, държавите членки, включително техните регионални и местни власти, органите по въпросите на равенството, социалните партньори, предприятията, гражданското общество и отделните лица трябва да продължат и да засилят ангажимента си за постигане на целите на настоящата подновена стратегия. </w:t>
      </w:r>
      <w:r>
        <w:rPr>
          <w:rFonts w:ascii="Times New Roman" w:hAnsi="Times New Roman"/>
          <w:b/>
          <w:noProof/>
          <w:sz w:val="24"/>
        </w:rPr>
        <w:t>Съюзниците</w:t>
      </w:r>
      <w:r>
        <w:rPr>
          <w:rFonts w:ascii="Times New Roman" w:hAnsi="Times New Roman"/>
          <w:noProof/>
          <w:sz w:val="24"/>
        </w:rPr>
        <w:t> — хора, които не се идентифицират непременно като ЛГБТИК+, но активно се застъпват за равнопоставеността на ЛГБТИК+ , играят критично важна роля чрез застъпничество, открита позиция и активна подкрепа за равнопоставеността на ЛГБТИК+ в ежедневието си, помагайки за превръщането на споделените ценности в осезаема реалност.</w:t>
      </w:r>
    </w:p>
    <w:p w14:paraId="0356A792" w14:textId="415D2D3C" w:rsidR="00CA3254" w:rsidRDefault="00D01A9C" w:rsidP="00821DE8">
      <w:pPr>
        <w:spacing w:line="276" w:lineRule="auto"/>
        <w:jc w:val="both"/>
        <w:rPr>
          <w:rFonts w:ascii="Times New Roman" w:hAnsi="Times New Roman" w:cs="Times New Roman"/>
          <w:noProof/>
          <w:sz w:val="24"/>
          <w:szCs w:val="24"/>
        </w:rPr>
      </w:pPr>
      <w:r>
        <w:rPr>
          <w:rFonts w:ascii="Times New Roman" w:hAnsi="Times New Roman"/>
          <w:noProof/>
          <w:sz w:val="24"/>
        </w:rPr>
        <w:t xml:space="preserve">Комисията приканва </w:t>
      </w:r>
      <w:r>
        <w:rPr>
          <w:rFonts w:ascii="Times New Roman" w:hAnsi="Times New Roman"/>
          <w:b/>
          <w:noProof/>
          <w:sz w:val="24"/>
        </w:rPr>
        <w:t>Европейския парламент</w:t>
      </w:r>
      <w:r>
        <w:rPr>
          <w:rFonts w:ascii="Times New Roman" w:hAnsi="Times New Roman"/>
          <w:noProof/>
          <w:sz w:val="24"/>
        </w:rPr>
        <w:t xml:space="preserve"> и </w:t>
      </w:r>
      <w:r>
        <w:rPr>
          <w:rFonts w:ascii="Times New Roman" w:hAnsi="Times New Roman"/>
          <w:b/>
          <w:noProof/>
          <w:sz w:val="24"/>
        </w:rPr>
        <w:t>Съвета</w:t>
      </w:r>
      <w:r>
        <w:rPr>
          <w:rFonts w:ascii="Times New Roman" w:hAnsi="Times New Roman"/>
          <w:noProof/>
          <w:sz w:val="24"/>
        </w:rPr>
        <w:t xml:space="preserve"> да подновят ангажимента си и да подкрепят изпълнението на настоящата стратегия. Освен това Комисията призовава Комитета на регионите и Европейския икономически и социален комитет да предоставят общ форум на местните и регионалните власти, социалните партньори и гражданското общество за обсъждане на начините за постигане на напредък към равнопоставеност на ЛГБТИК+ за всички. </w:t>
      </w:r>
    </w:p>
    <w:p w14:paraId="72A1522D" w14:textId="05F8937D" w:rsidR="006B6A90" w:rsidRPr="0057241B" w:rsidRDefault="00CA3254" w:rsidP="00821DE8">
      <w:pPr>
        <w:spacing w:line="276" w:lineRule="auto"/>
        <w:jc w:val="both"/>
        <w:rPr>
          <w:noProof/>
        </w:rPr>
      </w:pPr>
      <w:r>
        <w:rPr>
          <w:rFonts w:ascii="Times New Roman" w:hAnsi="Times New Roman"/>
          <w:noProof/>
          <w:sz w:val="24"/>
        </w:rPr>
        <w:t xml:space="preserve">Комисията ще следи редовно изпълнението на мерките, представени в настоящата стратегия, и ще представи </w:t>
      </w:r>
      <w:r>
        <w:rPr>
          <w:rFonts w:ascii="Times New Roman" w:hAnsi="Times New Roman"/>
          <w:b/>
          <w:noProof/>
          <w:sz w:val="24"/>
        </w:rPr>
        <w:t>средносрочен преглед</w:t>
      </w:r>
      <w:r>
        <w:rPr>
          <w:rFonts w:ascii="Times New Roman" w:hAnsi="Times New Roman"/>
          <w:noProof/>
          <w:sz w:val="24"/>
        </w:rPr>
        <w:t xml:space="preserve"> през 2028 г.</w:t>
      </w:r>
    </w:p>
    <w:sectPr w:rsidR="006B6A90" w:rsidRPr="0057241B" w:rsidSect="00F60AD1">
      <w:headerReference w:type="even" r:id="rId105"/>
      <w:headerReference w:type="default" r:id="rId106"/>
      <w:footerReference w:type="even" r:id="rId107"/>
      <w:footerReference w:type="default" r:id="rId108"/>
      <w:headerReference w:type="first" r:id="rId109"/>
      <w:footerReference w:type="first" r:id="rId1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D5188" w14:textId="77777777" w:rsidR="00BB7ABF" w:rsidRDefault="00BB7ABF" w:rsidP="00F60AD1">
      <w:pPr>
        <w:spacing w:after="0" w:line="240" w:lineRule="auto"/>
      </w:pPr>
      <w:r>
        <w:separator/>
      </w:r>
    </w:p>
  </w:endnote>
  <w:endnote w:type="continuationSeparator" w:id="0">
    <w:p w14:paraId="5402ADF0" w14:textId="77777777" w:rsidR="00BB7ABF" w:rsidRDefault="00BB7ABF" w:rsidP="00F60AD1">
      <w:pPr>
        <w:spacing w:after="0" w:line="240" w:lineRule="auto"/>
      </w:pPr>
      <w:r>
        <w:continuationSeparator/>
      </w:r>
    </w:p>
  </w:endnote>
  <w:endnote w:type="continuationNotice" w:id="1">
    <w:p w14:paraId="3D608331" w14:textId="77777777" w:rsidR="00BB7ABF" w:rsidRDefault="00BB7A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77E79" w14:textId="160DFD8E" w:rsidR="00FF12D6" w:rsidRPr="00FF12D6" w:rsidRDefault="00FF12D6" w:rsidP="00FF12D6">
    <w:pPr>
      <w:pStyle w:val="FooterCoverPage"/>
      <w:rPr>
        <w:rFonts w:ascii="Arial" w:hAnsi="Arial" w:cs="Arial"/>
        <w:b/>
        <w:sz w:val="48"/>
      </w:rPr>
    </w:pPr>
    <w:r w:rsidRPr="00FF12D6">
      <w:rPr>
        <w:rFonts w:ascii="Arial" w:hAnsi="Arial" w:cs="Arial"/>
        <w:b/>
        <w:sz w:val="48"/>
      </w:rPr>
      <w:t>BG</w:t>
    </w:r>
    <w:r w:rsidRPr="00FF12D6">
      <w:rPr>
        <w:rFonts w:ascii="Arial" w:hAnsi="Arial" w:cs="Arial"/>
        <w:b/>
        <w:sz w:val="48"/>
      </w:rPr>
      <w:tab/>
    </w:r>
    <w:r w:rsidRPr="00FF12D6">
      <w:rPr>
        <w:rFonts w:ascii="Arial" w:hAnsi="Arial" w:cs="Arial"/>
        <w:b/>
        <w:sz w:val="48"/>
      </w:rPr>
      <w:tab/>
    </w:r>
    <w:r w:rsidRPr="00FF12D6">
      <w:tab/>
    </w:r>
    <w:r w:rsidRPr="00FF12D6">
      <w:rPr>
        <w:rFonts w:ascii="Arial" w:hAnsi="Arial" w:cs="Arial"/>
        <w:b/>
        <w:sz w:val="48"/>
      </w:rPr>
      <w:t>BG</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E4CFF" w14:textId="2914F836" w:rsidR="00FF12D6" w:rsidRPr="00FF12D6" w:rsidRDefault="00FF12D6" w:rsidP="00FF12D6">
    <w:pPr>
      <w:pStyle w:val="FooterCoverPage"/>
      <w:rPr>
        <w:rFonts w:ascii="Arial" w:hAnsi="Arial" w:cs="Arial"/>
        <w:b/>
        <w:sz w:val="48"/>
      </w:rPr>
    </w:pPr>
    <w:r w:rsidRPr="00FF12D6">
      <w:rPr>
        <w:rFonts w:ascii="Arial" w:hAnsi="Arial" w:cs="Arial"/>
        <w:b/>
        <w:sz w:val="48"/>
      </w:rPr>
      <w:t>BG</w:t>
    </w:r>
    <w:r w:rsidRPr="00FF12D6">
      <w:rPr>
        <w:rFonts w:ascii="Arial" w:hAnsi="Arial" w:cs="Arial"/>
        <w:b/>
        <w:sz w:val="48"/>
      </w:rPr>
      <w:tab/>
    </w:r>
    <w:r w:rsidRPr="00FF12D6">
      <w:rPr>
        <w:rFonts w:ascii="Arial" w:hAnsi="Arial" w:cs="Arial"/>
        <w:b/>
        <w:sz w:val="48"/>
      </w:rPr>
      <w:tab/>
    </w:r>
    <w:r w:rsidRPr="00FF12D6">
      <w:tab/>
    </w:r>
    <w:r w:rsidRPr="00FF12D6">
      <w:rPr>
        <w:rFonts w:ascii="Arial" w:hAnsi="Arial" w:cs="Arial"/>
        <w:b/>
        <w:sz w:val="48"/>
      </w:rPr>
      <w:t>BG</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62B8D" w14:textId="77777777" w:rsidR="00FF12D6" w:rsidRPr="00FF12D6" w:rsidRDefault="00FF12D6" w:rsidP="00FF12D6">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0D601" w14:textId="77777777" w:rsidR="00F60AD1" w:rsidRDefault="00F60A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552726"/>
      <w:docPartObj>
        <w:docPartGallery w:val="Page Numbers (Bottom of Page)"/>
        <w:docPartUnique/>
      </w:docPartObj>
    </w:sdtPr>
    <w:sdtEndPr>
      <w:rPr>
        <w:noProof/>
      </w:rPr>
    </w:sdtEndPr>
    <w:sdtContent>
      <w:p w14:paraId="7E76BB47" w14:textId="63336060" w:rsidR="009B1C68" w:rsidRDefault="009B1C68">
        <w:pPr>
          <w:pStyle w:val="Footer"/>
          <w:jc w:val="center"/>
        </w:pPr>
        <w:r>
          <w:fldChar w:fldCharType="begin"/>
        </w:r>
        <w:r>
          <w:instrText xml:space="preserve"> PAGE   \* MERGEFORMAT </w:instrText>
        </w:r>
        <w:r>
          <w:fldChar w:fldCharType="separate"/>
        </w:r>
        <w:r w:rsidR="00FF12D6">
          <w:rPr>
            <w:noProof/>
          </w:rPr>
          <w:t>1</w:t>
        </w:r>
        <w:r>
          <w:fldChar w:fldCharType="end"/>
        </w:r>
      </w:p>
    </w:sdtContent>
  </w:sdt>
  <w:p w14:paraId="7E1891CF" w14:textId="77777777" w:rsidR="00F60AD1" w:rsidRDefault="00F60AD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001E4" w14:textId="77777777" w:rsidR="00F60AD1" w:rsidRDefault="00F60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3BA4E" w14:textId="77777777" w:rsidR="00BB7ABF" w:rsidRDefault="00BB7ABF" w:rsidP="00F60AD1">
      <w:pPr>
        <w:spacing w:after="0" w:line="240" w:lineRule="auto"/>
      </w:pPr>
      <w:r>
        <w:separator/>
      </w:r>
    </w:p>
  </w:footnote>
  <w:footnote w:type="continuationSeparator" w:id="0">
    <w:p w14:paraId="39BF29CD" w14:textId="77777777" w:rsidR="00BB7ABF" w:rsidRDefault="00BB7ABF" w:rsidP="00F60AD1">
      <w:pPr>
        <w:spacing w:after="0" w:line="240" w:lineRule="auto"/>
      </w:pPr>
      <w:r>
        <w:continuationSeparator/>
      </w:r>
    </w:p>
  </w:footnote>
  <w:footnote w:type="continuationNotice" w:id="1">
    <w:p w14:paraId="010C08B4" w14:textId="77777777" w:rsidR="00BB7ABF" w:rsidRDefault="00BB7ABF">
      <w:pPr>
        <w:spacing w:after="0" w:line="240" w:lineRule="auto"/>
      </w:pPr>
    </w:p>
  </w:footnote>
  <w:footnote w:id="2">
    <w:p w14:paraId="4016E4E8" w14:textId="75F9FD3F" w:rsidR="0094608E" w:rsidRPr="002A3C78" w:rsidRDefault="00694A68" w:rsidP="00BC0B57">
      <w:pPr>
        <w:pStyle w:val="NoSpacing"/>
        <w:ind w:left="284" w:hanging="284"/>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Член 2 от Договора за Европейския съюз и членове 21 и 23 от Хартата на основните права.</w:t>
      </w:r>
    </w:p>
  </w:footnote>
  <w:footnote w:id="3">
    <w:p w14:paraId="5FED83F2" w14:textId="7AB3FC8C" w:rsidR="001116FB" w:rsidRPr="002A3C78" w:rsidRDefault="001116FB" w:rsidP="001116FB">
      <w:pPr>
        <w:pStyle w:val="NoSpacing"/>
        <w:ind w:left="284" w:hanging="284"/>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hyperlink r:id="rId1" w:history="1">
        <w:r>
          <w:rPr>
            <w:rStyle w:val="Hyperlink"/>
            <w:rFonts w:ascii="Times New Roman" w:hAnsi="Times New Roman"/>
            <w:sz w:val="16"/>
          </w:rPr>
          <w:t>Европейски стълб на социалните права — Изграждане на по-справедлив и по-приобщаващ Европейски съюз — Заетост, социални въпроси и приобщаване</w:t>
        </w:r>
      </w:hyperlink>
    </w:p>
  </w:footnote>
  <w:footnote w:id="4">
    <w:p w14:paraId="3AE262D0" w14:textId="39F722B9" w:rsidR="0078483F" w:rsidRPr="00400EC3" w:rsidRDefault="00694A68" w:rsidP="00BC0B57">
      <w:pPr>
        <w:pStyle w:val="NoSpacing"/>
        <w:ind w:left="284" w:hanging="284"/>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 xml:space="preserve">Вж. например </w:t>
      </w:r>
      <w:hyperlink r:id="rId2" w:history="1">
        <w:r>
          <w:rPr>
            <w:rStyle w:val="Hyperlink"/>
            <w:rFonts w:ascii="Times New Roman" w:hAnsi="Times New Roman"/>
            <w:sz w:val="16"/>
          </w:rPr>
          <w:t>изявлението на председателя Фон дер Лайен по време на прайда в Будапеща</w:t>
        </w:r>
      </w:hyperlink>
      <w:r>
        <w:rPr>
          <w:rFonts w:ascii="Times New Roman" w:hAnsi="Times New Roman"/>
          <w:sz w:val="16"/>
        </w:rPr>
        <w:t>, 25 юни 2025 г.</w:t>
      </w:r>
    </w:p>
  </w:footnote>
  <w:footnote w:id="5">
    <w:p w14:paraId="2D930A22" w14:textId="4BABA126" w:rsidR="00422DE1" w:rsidRDefault="00422DE1" w:rsidP="00E65CB6">
      <w:pPr>
        <w:pStyle w:val="FootnoteText"/>
        <w:ind w:left="284" w:hanging="284"/>
      </w:pPr>
      <w:r>
        <w:rPr>
          <w:vertAlign w:val="superscript"/>
        </w:rPr>
        <w:t>(</w:t>
      </w:r>
      <w:r>
        <w:rPr>
          <w:rStyle w:val="FootnoteReference"/>
        </w:rPr>
        <w:footnoteRef/>
      </w:r>
      <w:r>
        <w:rPr>
          <w:vertAlign w:val="superscript"/>
        </w:rPr>
        <w:t>)</w:t>
      </w:r>
      <w:r>
        <w:t xml:space="preserve"> </w:t>
      </w:r>
      <w:r>
        <w:tab/>
      </w:r>
      <w:r>
        <w:rPr>
          <w:rFonts w:ascii="Times New Roman" w:hAnsi="Times New Roman"/>
          <w:sz w:val="16"/>
        </w:rPr>
        <w:t>С оглед на пътя им към присъединяване към ЕС страните кандидатки и потенциалните кандидатки също се насърчават да насърчават равенството и основните права съобразно със съответните достижения на правото на ЕС.</w:t>
      </w:r>
    </w:p>
  </w:footnote>
  <w:footnote w:id="6">
    <w:p w14:paraId="274ACBE7" w14:textId="77777777" w:rsidR="00420667" w:rsidRPr="002A3C78" w:rsidRDefault="00420667" w:rsidP="00420667">
      <w:pPr>
        <w:pStyle w:val="NoSpacing"/>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ЛГБТИК+ са лица:</w:t>
      </w:r>
    </w:p>
    <w:p w14:paraId="7B7D1423" w14:textId="2DD9CC8B" w:rsidR="00420667" w:rsidRPr="002A3C78" w:rsidRDefault="00420667" w:rsidP="008732F4">
      <w:pPr>
        <w:pStyle w:val="NoSpacing"/>
        <w:numPr>
          <w:ilvl w:val="0"/>
          <w:numId w:val="1"/>
        </w:numPr>
        <w:ind w:left="426" w:hanging="143"/>
        <w:jc w:val="both"/>
        <w:rPr>
          <w:rFonts w:ascii="Times New Roman" w:hAnsi="Times New Roman" w:cs="Times New Roman"/>
          <w:sz w:val="16"/>
          <w:szCs w:val="16"/>
        </w:rPr>
      </w:pPr>
      <w:r>
        <w:rPr>
          <w:rFonts w:ascii="Times New Roman" w:hAnsi="Times New Roman"/>
          <w:sz w:val="16"/>
        </w:rPr>
        <w:t xml:space="preserve"> които изпитват привличане към други от своя собствен джендър (лесбийки, гейове) или към всеки джендър (бисексуални);</w:t>
      </w:r>
    </w:p>
    <w:p w14:paraId="087A7DE7" w14:textId="77777777" w:rsidR="00420667" w:rsidRPr="002A3C78" w:rsidRDefault="00420667" w:rsidP="008732F4">
      <w:pPr>
        <w:pStyle w:val="NoSpacing"/>
        <w:numPr>
          <w:ilvl w:val="0"/>
          <w:numId w:val="1"/>
        </w:numPr>
        <w:ind w:left="426" w:hanging="143"/>
        <w:jc w:val="both"/>
        <w:rPr>
          <w:rFonts w:ascii="Times New Roman" w:hAnsi="Times New Roman" w:cs="Times New Roman"/>
          <w:sz w:val="16"/>
          <w:szCs w:val="16"/>
        </w:rPr>
      </w:pPr>
      <w:r>
        <w:rPr>
          <w:rFonts w:ascii="Times New Roman" w:hAnsi="Times New Roman"/>
          <w:sz w:val="16"/>
        </w:rPr>
        <w:t xml:space="preserve"> чиято джендър идентичност и/или експресия не отговаря на техния пол при раждането (транс, небинарни);</w:t>
      </w:r>
    </w:p>
    <w:p w14:paraId="5E3CABB5" w14:textId="77777777" w:rsidR="00420667" w:rsidRPr="002A3C78" w:rsidRDefault="00420667" w:rsidP="008732F4">
      <w:pPr>
        <w:pStyle w:val="NoSpacing"/>
        <w:numPr>
          <w:ilvl w:val="0"/>
          <w:numId w:val="1"/>
        </w:numPr>
        <w:ind w:left="426" w:hanging="143"/>
        <w:jc w:val="both"/>
        <w:rPr>
          <w:rFonts w:ascii="Times New Roman" w:hAnsi="Times New Roman" w:cs="Times New Roman"/>
          <w:sz w:val="16"/>
          <w:szCs w:val="16"/>
        </w:rPr>
      </w:pPr>
      <w:r>
        <w:rPr>
          <w:rFonts w:ascii="Times New Roman" w:hAnsi="Times New Roman"/>
          <w:sz w:val="16"/>
        </w:rPr>
        <w:t xml:space="preserve"> родени с полови характеристики, които не отговарят на обичайното определение за мъжки или женски пол (интерсексуални); </w:t>
      </w:r>
    </w:p>
    <w:p w14:paraId="58941FB6" w14:textId="77777777" w:rsidR="00420667" w:rsidRPr="002A3C78" w:rsidRDefault="00420667" w:rsidP="008732F4">
      <w:pPr>
        <w:pStyle w:val="NoSpacing"/>
        <w:numPr>
          <w:ilvl w:val="0"/>
          <w:numId w:val="1"/>
        </w:numPr>
        <w:ind w:left="426" w:hanging="143"/>
        <w:jc w:val="both"/>
        <w:rPr>
          <w:rFonts w:ascii="Times New Roman" w:hAnsi="Times New Roman" w:cs="Times New Roman"/>
          <w:sz w:val="16"/>
          <w:szCs w:val="16"/>
        </w:rPr>
      </w:pPr>
      <w:r>
        <w:rPr>
          <w:rFonts w:ascii="Times New Roman" w:hAnsi="Times New Roman"/>
          <w:sz w:val="16"/>
        </w:rPr>
        <w:t xml:space="preserve"> чиято идентичност не се вписва в бинарна класификация на сексуалността и/или джендъра (куиър);</w:t>
      </w:r>
    </w:p>
    <w:p w14:paraId="4591649B" w14:textId="77777777" w:rsidR="00420667" w:rsidRPr="002A3C78" w:rsidRDefault="00420667" w:rsidP="008732F4">
      <w:pPr>
        <w:pStyle w:val="NoSpacing"/>
        <w:numPr>
          <w:ilvl w:val="0"/>
          <w:numId w:val="1"/>
        </w:numPr>
        <w:ind w:left="426" w:hanging="143"/>
        <w:jc w:val="both"/>
        <w:rPr>
          <w:rFonts w:ascii="Times New Roman" w:hAnsi="Times New Roman" w:cs="Times New Roman"/>
          <w:sz w:val="16"/>
          <w:szCs w:val="16"/>
        </w:rPr>
      </w:pPr>
      <w:r>
        <w:rPr>
          <w:rFonts w:ascii="Times New Roman" w:hAnsi="Times New Roman"/>
          <w:sz w:val="16"/>
        </w:rPr>
        <w:t xml:space="preserve"> които се идентифицират с други сексуални ориентации или джендър идентичности, които не са изрично обхванати от съкращението ЛГБТИК (знакът „+“).</w:t>
      </w:r>
    </w:p>
    <w:p w14:paraId="75CD5FD4" w14:textId="77777777" w:rsidR="00420667" w:rsidRPr="00D51260" w:rsidRDefault="00420667" w:rsidP="00420667">
      <w:pPr>
        <w:pStyle w:val="NoSpacing"/>
        <w:ind w:left="283"/>
        <w:jc w:val="both"/>
        <w:rPr>
          <w:rFonts w:ascii="Times New Roman" w:hAnsi="Times New Roman"/>
          <w:sz w:val="16"/>
        </w:rPr>
      </w:pPr>
      <w:r>
        <w:rPr>
          <w:rFonts w:ascii="Times New Roman" w:hAnsi="Times New Roman"/>
          <w:sz w:val="16"/>
        </w:rPr>
        <w:t>В този текст съкращенията ЛГБТИ, ЛГБТИК и ЛГБТИК+ се използват взаимозаменяемо в зависимост от терминологията, използвана в конкретния документ, инициатива или област на политиката, към която се препраща.</w:t>
      </w:r>
    </w:p>
  </w:footnote>
  <w:footnote w:id="7">
    <w:p w14:paraId="79AADBAA" w14:textId="77777777" w:rsidR="004A69CD" w:rsidRPr="002A3C78" w:rsidRDefault="004A69CD" w:rsidP="004A69CD">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Open For Business (2025 г.), „</w:t>
      </w:r>
      <w:hyperlink r:id="rId3" w:history="1">
        <w:r>
          <w:rPr>
            <w:rStyle w:val="Hyperlink"/>
            <w:rFonts w:ascii="Times New Roman" w:hAnsi="Times New Roman"/>
            <w:sz w:val="16"/>
          </w:rPr>
          <w:t>Рейтинги на градовете 2025 г.</w:t>
        </w:r>
      </w:hyperlink>
      <w:r>
        <w:rPr>
          <w:rFonts w:ascii="Times New Roman" w:hAnsi="Times New Roman"/>
          <w:sz w:val="16"/>
        </w:rPr>
        <w:t>“.</w:t>
      </w:r>
    </w:p>
  </w:footnote>
  <w:footnote w:id="8">
    <w:p w14:paraId="450E82AD" w14:textId="58FBE447" w:rsidR="006B422B" w:rsidRPr="00D51260" w:rsidRDefault="00694A68" w:rsidP="00AD271E">
      <w:pPr>
        <w:pStyle w:val="FootnoteText"/>
        <w:ind w:left="284" w:hanging="284"/>
        <w:jc w:val="both"/>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hyperlink r:id="rId4" w:history="1">
        <w:r>
          <w:rPr>
            <w:rStyle w:val="Hyperlink"/>
            <w:rFonts w:ascii="Times New Roman" w:hAnsi="Times New Roman"/>
            <w:sz w:val="16"/>
          </w:rPr>
          <w:t>Резолюция на Европейския парламент от 8 февруари 2024 г. Стратегията на ЕС за равнопоставеност на ЛГБТИК за 2020—2025 г.</w:t>
        </w:r>
      </w:hyperlink>
      <w:r>
        <w:rPr>
          <w:rFonts w:ascii="Times New Roman" w:hAnsi="Times New Roman"/>
          <w:sz w:val="16"/>
        </w:rPr>
        <w:t xml:space="preserve"> (2023/2082(INI).</w:t>
      </w:r>
    </w:p>
  </w:footnote>
  <w:footnote w:id="9">
    <w:p w14:paraId="381227B2" w14:textId="52716629" w:rsidR="00156BCA" w:rsidRPr="00486A15" w:rsidRDefault="00694A68" w:rsidP="00486A15">
      <w:pPr>
        <w:pStyle w:val="NoSpacing"/>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hyperlink r:id="rId5" w:history="1"/>
      <w:hyperlink r:id="rId6" w:history="1">
        <w:r>
          <w:rPr>
            <w:rStyle w:val="Hyperlink"/>
            <w:rFonts w:ascii="Times New Roman" w:hAnsi="Times New Roman"/>
            <w:sz w:val="16"/>
          </w:rPr>
          <w:t>Стратегическата рамка на ЕС за равенство, приобщаване и участие на ромите</w:t>
        </w:r>
      </w:hyperlink>
      <w:r>
        <w:rPr>
          <w:rFonts w:ascii="Times New Roman" w:hAnsi="Times New Roman"/>
          <w:sz w:val="16"/>
        </w:rPr>
        <w:t xml:space="preserve">, </w:t>
      </w:r>
      <w:hyperlink r:id="rId7" w:history="1">
        <w:r>
          <w:rPr>
            <w:rStyle w:val="Hyperlink"/>
            <w:rFonts w:ascii="Times New Roman" w:hAnsi="Times New Roman"/>
            <w:sz w:val="16"/>
          </w:rPr>
          <w:t>Европейският стълб на социалните права</w:t>
        </w:r>
      </w:hyperlink>
      <w:r>
        <w:rPr>
          <w:rStyle w:val="Hyperlink"/>
          <w:rFonts w:ascii="Times New Roman" w:hAnsi="Times New Roman"/>
          <w:sz w:val="16"/>
        </w:rPr>
        <w:t>,</w:t>
      </w:r>
      <w:r>
        <w:rPr>
          <w:rFonts w:ascii="Times New Roman" w:hAnsi="Times New Roman"/>
          <w:sz w:val="16"/>
        </w:rPr>
        <w:t xml:space="preserve"> </w:t>
      </w:r>
      <w:hyperlink r:id="rId8" w:history="1">
        <w:r>
          <w:rPr>
            <w:rStyle w:val="Hyperlink"/>
            <w:rFonts w:ascii="Times New Roman" w:hAnsi="Times New Roman"/>
            <w:sz w:val="16"/>
          </w:rPr>
          <w:t>стратегията за правата на хората с увреждания за периода 2021—2030 г.</w:t>
        </w:r>
      </w:hyperlink>
      <w:r>
        <w:rPr>
          <w:rFonts w:ascii="Times New Roman" w:hAnsi="Times New Roman"/>
          <w:sz w:val="16"/>
        </w:rPr>
        <w:t xml:space="preserve">, </w:t>
      </w:r>
      <w:hyperlink r:id="rId9" w:history="1">
        <w:r>
          <w:rPr>
            <w:rStyle w:val="Hyperlink"/>
            <w:rFonts w:ascii="Times New Roman" w:hAnsi="Times New Roman"/>
            <w:sz w:val="16"/>
          </w:rPr>
          <w:t>стратегията за правата на детето</w:t>
        </w:r>
      </w:hyperlink>
      <w:r>
        <w:rPr>
          <w:rFonts w:ascii="Times New Roman" w:hAnsi="Times New Roman"/>
          <w:sz w:val="16"/>
        </w:rPr>
        <w:t xml:space="preserve">, </w:t>
      </w:r>
      <w:hyperlink r:id="rId10" w:history="1">
        <w:r>
          <w:rPr>
            <w:rStyle w:val="Hyperlink"/>
            <w:rFonts w:ascii="Times New Roman" w:hAnsi="Times New Roman"/>
            <w:sz w:val="16"/>
          </w:rPr>
          <w:t>стратегията за борба с антисемитизма и подкрепа на еврейския живот</w:t>
        </w:r>
      </w:hyperlink>
      <w:r>
        <w:rPr>
          <w:rFonts w:ascii="Times New Roman" w:hAnsi="Times New Roman"/>
          <w:sz w:val="16"/>
        </w:rPr>
        <w:t>, стратегията за равенство между половете за периода 2026—2030 г. (планирана за първото тримесечие на 2026 г.) и стратегията за борба с расизма за периода 2026—2030 г. (планирана за четвъртото тримесечие на 2025 г.).</w:t>
      </w:r>
    </w:p>
  </w:footnote>
  <w:footnote w:id="10">
    <w:p w14:paraId="1A7AB192" w14:textId="63692216" w:rsidR="00554DA2" w:rsidRPr="00D51260" w:rsidRDefault="00694A68" w:rsidP="00673B87">
      <w:pPr>
        <w:pStyle w:val="FootnoteText"/>
        <w:ind w:left="284" w:hanging="284"/>
        <w:jc w:val="both"/>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 xml:space="preserve">Независим експерт на ООН по защитата от насилие и дискриминация на основата на сексуална ориентация и полова идентичност, </w:t>
      </w:r>
      <w:hyperlink r:id="rId11" w:history="1">
        <w:r>
          <w:rPr>
            <w:rStyle w:val="Hyperlink"/>
            <w:rFonts w:ascii="Times New Roman" w:hAnsi="Times New Roman"/>
            <w:sz w:val="16"/>
          </w:rPr>
          <w:t>Практики на т.нар. „конверсионна терапия“</w:t>
        </w:r>
      </w:hyperlink>
      <w:r>
        <w:rPr>
          <w:rFonts w:ascii="Times New Roman" w:hAnsi="Times New Roman"/>
          <w:sz w:val="16"/>
        </w:rPr>
        <w:t>, 1 май 2020 г.</w:t>
      </w:r>
    </w:p>
  </w:footnote>
  <w:footnote w:id="11">
    <w:p w14:paraId="77B379CF" w14:textId="1788BA87" w:rsidR="0089630F" w:rsidRPr="004F6679" w:rsidRDefault="00694A68" w:rsidP="0021215C">
      <w:pPr>
        <w:pStyle w:val="FootnoteText"/>
        <w:ind w:left="284" w:hanging="284"/>
        <w:rPr>
          <w:rStyle w:val="Hyperlink"/>
          <w:rFonts w:ascii="Times New Roman" w:hAnsi="Times New Roman"/>
          <w:sz w:val="16"/>
          <w:szCs w:val="16"/>
        </w:rPr>
      </w:pPr>
      <w:r>
        <w:rPr>
          <w:rFonts w:ascii="Times New Roman" w:hAnsi="Times New Roman"/>
          <w:sz w:val="16"/>
          <w:vertAlign w:val="superscript"/>
        </w:rPr>
        <w:t>(</w:t>
      </w:r>
      <w:r>
        <w:rPr>
          <w:rFonts w:ascii="Times New Roman" w:hAnsi="Times New Roman" w:cs="Times New Roman"/>
          <w:sz w:val="16"/>
          <w:szCs w:val="16"/>
          <w:vertAlign w:val="superscript"/>
        </w:rPr>
        <w:footnoteRef/>
      </w:r>
      <w:r>
        <w:rPr>
          <w:rFonts w:ascii="Times New Roman" w:hAnsi="Times New Roman"/>
          <w:sz w:val="16"/>
          <w:vertAlign w:val="superscript"/>
        </w:rPr>
        <w:t>)</w:t>
      </w:r>
      <w:r>
        <w:tab/>
      </w:r>
      <w:hyperlink r:id="rId12" w:history="1">
        <w:r>
          <w:rPr>
            <w:rStyle w:val="Hyperlink"/>
            <w:rFonts w:ascii="Times New Roman" w:hAnsi="Times New Roman"/>
            <w:sz w:val="16"/>
          </w:rPr>
          <w:t>Legal gender recognition in the EU:</w:t>
        </w:r>
      </w:hyperlink>
      <w:hyperlink r:id="rId13" w:history="1">
        <w:r>
          <w:rPr>
            <w:rStyle w:val="Hyperlink"/>
            <w:rFonts w:ascii="Times New Roman" w:hAnsi="Times New Roman"/>
            <w:sz w:val="16"/>
          </w:rPr>
          <w:t xml:space="preserve"> The journeys of trans people towards full equality</w:t>
        </w:r>
      </w:hyperlink>
      <w:r>
        <w:rPr>
          <w:rFonts w:ascii="Times New Roman" w:hAnsi="Times New Roman"/>
          <w:sz w:val="16"/>
        </w:rPr>
        <w:t xml:space="preserve"> (Юридическо признаване на пола: пътят на транс лицата към пълна равнопоставеност), Служба за публикации на Европейския съюз, 2020 г.; </w:t>
      </w:r>
      <w:hyperlink r:id="rId14" w:history="1">
        <w:r>
          <w:rPr>
            <w:rStyle w:val="Hyperlink"/>
            <w:rFonts w:ascii="Times New Roman" w:hAnsi="Times New Roman"/>
            <w:sz w:val="16"/>
          </w:rPr>
          <w:t>ILGA Europe, Rainbow Map 2025 г.</w:t>
        </w:r>
      </w:hyperlink>
      <w:r>
        <w:rPr>
          <w:rFonts w:ascii="Times New Roman" w:hAnsi="Times New Roman"/>
          <w:sz w:val="16"/>
        </w:rPr>
        <w:t xml:space="preserve"> </w:t>
      </w:r>
    </w:p>
  </w:footnote>
  <w:footnote w:id="12">
    <w:p w14:paraId="5390DFF7" w14:textId="24EACC6B" w:rsidR="00B8029B" w:rsidRPr="00D51260" w:rsidRDefault="00694A68" w:rsidP="00E5531A">
      <w:pPr>
        <w:pStyle w:val="FootnoteText"/>
        <w:ind w:left="284" w:hanging="284"/>
        <w:jc w:val="both"/>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 xml:space="preserve">Изразът „юридическо признаване на пола“ се използва в стратегията така, както обикновено се използва в текстове в сферата на политиката и академични текстове, без да се засягат други изрази, използвани от Съда на Европейския съюз. По дело C-4/23, </w:t>
      </w:r>
      <w:r>
        <w:rPr>
          <w:rFonts w:ascii="Times New Roman" w:hAnsi="Times New Roman"/>
          <w:i/>
          <w:sz w:val="16"/>
        </w:rPr>
        <w:t>Mirin</w:t>
      </w:r>
      <w:r>
        <w:rPr>
          <w:rFonts w:ascii="Times New Roman" w:hAnsi="Times New Roman"/>
          <w:sz w:val="16"/>
        </w:rPr>
        <w:t>, 4.10.2024 г., EU:C:2024:845, Съдът използва израза „промяна на половата идентичност“, за да се позове на процедурите за промяна на правния пол на национално равнище, а израза „призната [...] промяна на [...] половата идентичност, законно извършена в друга държава членка“ — за да се позове на трансгранични ситуации, т.е. признаването в държава членка на юридическа промяна на пола, придобита в друга държава членка.</w:t>
      </w:r>
    </w:p>
  </w:footnote>
  <w:footnote w:id="13">
    <w:p w14:paraId="69DCF95E" w14:textId="2F33F2A0" w:rsidR="00991AB5" w:rsidRPr="00466EE3" w:rsidRDefault="00A5572C" w:rsidP="00466EE3">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rPr>
          <w:rFonts w:ascii="Times New Roman" w:hAnsi="Times New Roman"/>
          <w:sz w:val="16"/>
        </w:rPr>
        <w:t xml:space="preserve"> </w:t>
      </w:r>
      <w:hyperlink r:id="rId15" w:history="1">
        <w:r>
          <w:rPr>
            <w:rStyle w:val="Hyperlink"/>
            <w:rFonts w:ascii="Times New Roman" w:hAnsi="Times New Roman"/>
            <w:sz w:val="16"/>
          </w:rPr>
          <w:t>Служба на Европейския парламент за научни изследвания</w:t>
        </w:r>
      </w:hyperlink>
      <w:r>
        <w:rPr>
          <w:rFonts w:ascii="Times New Roman" w:hAnsi="Times New Roman"/>
          <w:sz w:val="16"/>
        </w:rPr>
        <w:t xml:space="preserve">: осем държави членки вече са забранили конверсионните практики. </w:t>
      </w:r>
    </w:p>
  </w:footnote>
  <w:footnote w:id="14">
    <w:p w14:paraId="4FB3AE4F" w14:textId="5D94A1A1" w:rsidR="00E67313" w:rsidRPr="00E67313" w:rsidRDefault="005F5F37" w:rsidP="00E67313">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rPr>
          <w:rFonts w:ascii="Times New Roman" w:hAnsi="Times New Roman"/>
          <w:sz w:val="16"/>
        </w:rPr>
        <w:t xml:space="preserve"> </w:t>
      </w:r>
      <w:r>
        <w:tab/>
      </w:r>
      <w:r>
        <w:rPr>
          <w:rFonts w:ascii="Times New Roman" w:hAnsi="Times New Roman"/>
          <w:sz w:val="16"/>
        </w:rPr>
        <w:t>Проверката на изявленията за подкрепа за инициативата приключи успешно и се очаква инициативата да бъде представена на Комисията за разглеждане.</w:t>
      </w:r>
    </w:p>
  </w:footnote>
  <w:footnote w:id="15">
    <w:p w14:paraId="09650821" w14:textId="78BFCFF6" w:rsidR="00F90683" w:rsidRPr="001F1064" w:rsidRDefault="00694A68">
      <w:pPr>
        <w:pStyle w:val="FootnoteText"/>
        <w:ind w:left="284" w:hanging="284"/>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Вж. подробности в раздел 1.3.</w:t>
      </w:r>
    </w:p>
  </w:footnote>
  <w:footnote w:id="16">
    <w:p w14:paraId="03F58F91" w14:textId="719A0EB2" w:rsidR="00F90683" w:rsidRPr="0021215C" w:rsidRDefault="00694A68">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hyperlink r:id="rId16" w:history="1">
        <w:r>
          <w:rPr>
            <w:rStyle w:val="Hyperlink"/>
            <w:rFonts w:ascii="Times New Roman" w:hAnsi="Times New Roman"/>
            <w:sz w:val="16"/>
          </w:rPr>
          <w:t>Проучване в подкрепа на подготовката на инициативата на Европейската комисия за разширяване на списъка на престъпленията, установени на равнището на ЕС</w:t>
        </w:r>
      </w:hyperlink>
      <w:r>
        <w:rPr>
          <w:rFonts w:ascii="Times New Roman" w:hAnsi="Times New Roman"/>
          <w:sz w:val="16"/>
        </w:rPr>
        <w:t>, 2021 г.</w:t>
      </w:r>
    </w:p>
  </w:footnote>
  <w:footnote w:id="17">
    <w:p w14:paraId="5928ACB5" w14:textId="3E32A618" w:rsidR="00D92111" w:rsidRPr="001675F6" w:rsidRDefault="00694A68">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hyperlink r:id="rId17" w:history="1">
        <w:r>
          <w:rPr>
            <w:rStyle w:val="Hyperlink"/>
            <w:rFonts w:ascii="Times New Roman" w:hAnsi="Times New Roman"/>
            <w:sz w:val="16"/>
          </w:rPr>
          <w:t>Съобщение относно „По-приобщаваща и защитена Европа:</w:t>
        </w:r>
      </w:hyperlink>
      <w:hyperlink r:id="rId18" w:history="1">
        <w:r>
          <w:rPr>
            <w:rStyle w:val="Hyperlink"/>
            <w:rFonts w:ascii="Times New Roman" w:hAnsi="Times New Roman"/>
            <w:sz w:val="16"/>
          </w:rPr>
          <w:t xml:space="preserve"> разширяване на списъка на престъпленията, установени на равнището на ЕС, за да обхване речта на омразата и престъпленията от омраза“</w:t>
        </w:r>
      </w:hyperlink>
      <w:r>
        <w:rPr>
          <w:rFonts w:ascii="Times New Roman" w:hAnsi="Times New Roman"/>
          <w:sz w:val="16"/>
        </w:rPr>
        <w:t>, COM/2021/777 final.</w:t>
      </w:r>
    </w:p>
  </w:footnote>
  <w:footnote w:id="18">
    <w:p w14:paraId="1770D12F" w14:textId="381AC20F" w:rsidR="008B2F70" w:rsidRPr="0008381D" w:rsidRDefault="00694A68" w:rsidP="0008381D">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 xml:space="preserve">Бюрото на ОССЕ за демократични институции и права на човека. </w:t>
      </w:r>
    </w:p>
  </w:footnote>
  <w:footnote w:id="19">
    <w:p w14:paraId="59A0281C" w14:textId="75937D08" w:rsidR="00A33D60" w:rsidRPr="0008381D" w:rsidRDefault="00694A68" w:rsidP="0008381D">
      <w:pPr>
        <w:pStyle w:val="NoSpacing"/>
        <w:ind w:left="284" w:hanging="284"/>
        <w:jc w:val="both"/>
        <w:rPr>
          <w:rFonts w:ascii="Times New Roman" w:hAnsi="Times New Roman" w:cs="Times New Roman"/>
          <w:sz w:val="16"/>
          <w:szCs w:val="16"/>
        </w:rPr>
      </w:pPr>
      <w:r>
        <w:rPr>
          <w:rFonts w:ascii="Times New Roman" w:hAnsi="Times New Roman"/>
          <w:sz w:val="16"/>
          <w:vertAlign w:val="superscript"/>
        </w:rPr>
        <w:t>(</w:t>
      </w:r>
      <w:r>
        <w:rPr>
          <w:rFonts w:ascii="Times New Roman" w:hAnsi="Times New Roman" w:cs="Times New Roman"/>
          <w:sz w:val="16"/>
          <w:szCs w:val="16"/>
          <w:vertAlign w:val="superscript"/>
        </w:rPr>
        <w:footnoteRef/>
      </w:r>
      <w:r>
        <w:rPr>
          <w:rFonts w:ascii="Times New Roman" w:hAnsi="Times New Roman"/>
          <w:sz w:val="16"/>
          <w:vertAlign w:val="superscript"/>
        </w:rPr>
        <w:t>)</w:t>
      </w:r>
      <w:r>
        <w:tab/>
      </w:r>
      <w:r>
        <w:rPr>
          <w:rFonts w:ascii="Times New Roman" w:hAnsi="Times New Roman"/>
          <w:sz w:val="16"/>
        </w:rPr>
        <w:t xml:space="preserve">Вижте инициативите, предложени от мрежата </w:t>
      </w:r>
      <w:hyperlink r:id="rId19" w:history="1">
        <w:r>
          <w:rPr>
            <w:rStyle w:val="Hyperlink"/>
            <w:rFonts w:ascii="Times New Roman" w:hAnsi="Times New Roman"/>
            <w:sz w:val="16"/>
          </w:rPr>
          <w:t>Facing Facts</w:t>
        </w:r>
      </w:hyperlink>
      <w:r>
        <w:rPr>
          <w:rFonts w:ascii="Times New Roman" w:hAnsi="Times New Roman"/>
          <w:sz w:val="16"/>
        </w:rPr>
        <w:t>.</w:t>
      </w:r>
    </w:p>
  </w:footnote>
  <w:footnote w:id="20">
    <w:p w14:paraId="61E77176" w14:textId="68CBD373" w:rsidR="006174D0" w:rsidRPr="00170BA2" w:rsidRDefault="005F5F37" w:rsidP="006174D0">
      <w:pPr>
        <w:pStyle w:val="FootnoteText"/>
        <w:ind w:left="284" w:hanging="284"/>
        <w:rPr>
          <w:rFonts w:ascii="Times New Roman" w:hAnsi="Times New Roman"/>
          <w:sz w:val="16"/>
          <w:szCs w:val="16"/>
        </w:rPr>
      </w:pPr>
      <w:r>
        <w:rPr>
          <w:rFonts w:ascii="Times New Roman" w:hAnsi="Times New Roman"/>
          <w:sz w:val="16"/>
          <w:vertAlign w:val="superscript"/>
        </w:rPr>
        <w:t>(</w:t>
      </w:r>
      <w:r>
        <w:rPr>
          <w:rStyle w:val="FootnoteReference"/>
          <w:rFonts w:ascii="Times New Roman" w:hAnsi="Times New Roman"/>
          <w:sz w:val="16"/>
          <w:szCs w:val="16"/>
          <w:lang w:val="en-GB"/>
        </w:rPr>
        <w:footnoteRef/>
      </w:r>
      <w:r>
        <w:rPr>
          <w:rFonts w:ascii="Times New Roman" w:hAnsi="Times New Roman"/>
          <w:sz w:val="16"/>
          <w:vertAlign w:val="superscript"/>
        </w:rPr>
        <w:t>)</w:t>
      </w:r>
      <w:r>
        <w:rPr>
          <w:rFonts w:ascii="Times New Roman" w:hAnsi="Times New Roman"/>
          <w:sz w:val="16"/>
        </w:rPr>
        <w:t xml:space="preserve"> </w:t>
      </w:r>
      <w:r>
        <w:tab/>
      </w:r>
      <w:hyperlink r:id="rId20" w:history="1">
        <w:r>
          <w:rPr>
            <w:rStyle w:val="Hyperlink"/>
            <w:rFonts w:ascii="Times New Roman" w:hAnsi="Times New Roman"/>
            <w:sz w:val="16"/>
          </w:rPr>
          <w:t>Заключения на Съвета относно новото европейско научноизследователско пространство</w:t>
        </w:r>
      </w:hyperlink>
      <w:r>
        <w:rPr>
          <w:rFonts w:ascii="Times New Roman" w:hAnsi="Times New Roman"/>
          <w:sz w:val="16"/>
        </w:rPr>
        <w:t>, (ОВ C 374, 22.11.2021 г., стр. 1).</w:t>
      </w:r>
    </w:p>
  </w:footnote>
  <w:footnote w:id="21">
    <w:p w14:paraId="06F89556" w14:textId="241300BC" w:rsidR="006174D0" w:rsidRPr="00170BA2" w:rsidRDefault="005F5F37" w:rsidP="006174D0">
      <w:pPr>
        <w:pStyle w:val="FootnoteText"/>
        <w:ind w:left="284" w:hanging="284"/>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 xml:space="preserve">Европейска комисия, </w:t>
      </w:r>
      <w:hyperlink r:id="rId21" w:history="1">
        <w:r>
          <w:rPr>
            <w:rStyle w:val="Hyperlink"/>
            <w:rFonts w:ascii="Times New Roman" w:hAnsi="Times New Roman"/>
            <w:sz w:val="16"/>
          </w:rPr>
          <w:t>Политическа програма на Европейското научноизследователско пространство — Преглед на действията за периода 2022—2024 г.</w:t>
        </w:r>
      </w:hyperlink>
      <w:r>
        <w:rPr>
          <w:rFonts w:ascii="Times New Roman" w:hAnsi="Times New Roman"/>
          <w:sz w:val="16"/>
        </w:rPr>
        <w:t>, Служба за публикации, 2021 г.</w:t>
      </w:r>
    </w:p>
  </w:footnote>
  <w:footnote w:id="22">
    <w:p w14:paraId="59D62DCF" w14:textId="5AB5AAF7" w:rsidR="009A48D7" w:rsidRPr="005F4F4C" w:rsidRDefault="009A48D7" w:rsidP="009A48D7">
      <w:pPr>
        <w:pStyle w:val="FootnoteText"/>
        <w:ind w:left="284" w:hanging="284"/>
        <w:jc w:val="both"/>
        <w:rPr>
          <w:rFonts w:ascii="Times New Roman" w:hAnsi="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 xml:space="preserve">Няма единно определение на ЕС за младеж, но като цяло и за целите на събирането на данни младите хора се определят като хора на възраст между 15 и 29 години, </w:t>
      </w:r>
      <w:hyperlink r:id="rId22" w:history="1">
        <w:r>
          <w:rPr>
            <w:rStyle w:val="Hyperlink"/>
            <w:rFonts w:ascii="Times New Roman" w:hAnsi="Times New Roman"/>
            <w:sz w:val="16"/>
          </w:rPr>
          <w:t>Преглед — Деца и младежи — Евростат</w:t>
        </w:r>
      </w:hyperlink>
      <w:r>
        <w:rPr>
          <w:rFonts w:ascii="Times New Roman" w:hAnsi="Times New Roman"/>
          <w:sz w:val="16"/>
        </w:rPr>
        <w:t>.</w:t>
      </w:r>
    </w:p>
  </w:footnote>
  <w:footnote w:id="23">
    <w:p w14:paraId="09B2861C" w14:textId="00F5FA87" w:rsidR="00EF7A4C" w:rsidRPr="005F4F4C" w:rsidRDefault="00694A68" w:rsidP="00AD271E">
      <w:pPr>
        <w:pStyle w:val="FootnoteText"/>
        <w:ind w:left="284" w:hanging="284"/>
        <w:jc w:val="both"/>
        <w:rPr>
          <w:rFonts w:ascii="Times New Roman" w:hAnsi="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 xml:space="preserve">Вж. Smith, John, и Anna Brown. „Child sexual abuse/exploitation and LGBTQI+ children: Context, links, vulnerabilities, gaps, challenges and priorities.“ </w:t>
      </w:r>
      <w:r>
        <w:rPr>
          <w:rStyle w:val="Emphasis"/>
          <w:rFonts w:ascii="Times New Roman" w:hAnsi="Times New Roman"/>
          <w:sz w:val="16"/>
          <w:bdr w:val="single" w:sz="2" w:space="0" w:color="E5E7EB" w:frame="1"/>
        </w:rPr>
        <w:t>Child Abuse &amp; Neglect</w:t>
      </w:r>
      <w:r>
        <w:rPr>
          <w:rFonts w:ascii="Times New Roman" w:hAnsi="Times New Roman"/>
          <w:sz w:val="16"/>
        </w:rPr>
        <w:t xml:space="preserve">, 2024 г., </w:t>
      </w:r>
      <w:hyperlink r:id="rId23" w:tgtFrame="_blank" w:tooltip="Постоянна връзка чрез идентификатор на дигитален обект" w:history="1">
        <w:r>
          <w:rPr>
            <w:rStyle w:val="Hyperlink"/>
            <w:rFonts w:ascii="Times New Roman" w:hAnsi="Times New Roman"/>
            <w:sz w:val="16"/>
          </w:rPr>
          <w:t>doi.org/10.1016/j.chipro.2024.100001</w:t>
        </w:r>
      </w:hyperlink>
      <w:r>
        <w:rPr>
          <w:rFonts w:ascii="Times New Roman" w:hAnsi="Times New Roman"/>
          <w:sz w:val="16"/>
        </w:rPr>
        <w:t>.</w:t>
      </w:r>
    </w:p>
  </w:footnote>
  <w:footnote w:id="24">
    <w:p w14:paraId="37F69D73" w14:textId="786DB6C6" w:rsidR="00756666" w:rsidRPr="005F4F4C" w:rsidRDefault="00756666" w:rsidP="00756666">
      <w:pPr>
        <w:pStyle w:val="FootnoteText"/>
        <w:ind w:left="284" w:hanging="284"/>
        <w:jc w:val="both"/>
        <w:rPr>
          <w:rFonts w:ascii="Times New Roman" w:hAnsi="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 xml:space="preserve">Както е посочено в </w:t>
      </w:r>
      <w:hyperlink r:id="rId24" w:history="1">
        <w:r>
          <w:rPr>
            <w:rStyle w:val="Hyperlink"/>
            <w:rFonts w:ascii="Times New Roman" w:hAnsi="Times New Roman"/>
            <w:sz w:val="16"/>
          </w:rPr>
          <w:t>Конвенцията на ООН за правата на детето</w:t>
        </w:r>
      </w:hyperlink>
      <w:r>
        <w:rPr>
          <w:rFonts w:ascii="Times New Roman" w:hAnsi="Times New Roman"/>
          <w:sz w:val="16"/>
        </w:rPr>
        <w:t xml:space="preserve"> (КООНПД), дете е всяко човешко същество на възраст под 18 години.</w:t>
      </w:r>
    </w:p>
  </w:footnote>
  <w:footnote w:id="25">
    <w:p w14:paraId="57259AF0" w14:textId="7798BFB1" w:rsidR="00143271" w:rsidRPr="00D51260" w:rsidRDefault="00694A68" w:rsidP="0021215C">
      <w:pPr>
        <w:pStyle w:val="FootnoteText"/>
        <w:ind w:left="284" w:hanging="284"/>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hyperlink r:id="rId25" w:history="1">
        <w:r>
          <w:rPr>
            <w:rStyle w:val="Hyperlink"/>
            <w:rFonts w:ascii="Times New Roman" w:hAnsi="Times New Roman"/>
            <w:sz w:val="16"/>
          </w:rPr>
          <w:t>COM (2022) 209 final</w:t>
        </w:r>
      </w:hyperlink>
      <w:r>
        <w:rPr>
          <w:rFonts w:ascii="Times New Roman" w:hAnsi="Times New Roman"/>
          <w:sz w:val="16"/>
        </w:rPr>
        <w:t xml:space="preserve"> и </w:t>
      </w:r>
      <w:hyperlink r:id="rId26" w:history="1">
        <w:r>
          <w:rPr>
            <w:rStyle w:val="Hyperlink"/>
            <w:rFonts w:ascii="Times New Roman" w:hAnsi="Times New Roman"/>
            <w:sz w:val="16"/>
          </w:rPr>
          <w:t>COM (2024) 60 final</w:t>
        </w:r>
      </w:hyperlink>
      <w:r>
        <w:rPr>
          <w:rFonts w:ascii="Times New Roman" w:hAnsi="Times New Roman"/>
          <w:sz w:val="16"/>
        </w:rPr>
        <w:t>.</w:t>
      </w:r>
    </w:p>
  </w:footnote>
  <w:footnote w:id="26">
    <w:p w14:paraId="6E3C298B" w14:textId="4A93AFBA" w:rsidR="000E0010" w:rsidRPr="00170BA2" w:rsidRDefault="00694A68" w:rsidP="0006730A">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 xml:space="preserve">Според </w:t>
      </w:r>
      <w:hyperlink r:id="rId27" w:history="1">
        <w:r>
          <w:rPr>
            <w:rStyle w:val="Hyperlink"/>
            <w:rFonts w:ascii="Times New Roman" w:hAnsi="Times New Roman"/>
            <w:sz w:val="16"/>
          </w:rPr>
          <w:t>Годишния преглед на ILGA-Europe за 2025 г.</w:t>
        </w:r>
      </w:hyperlink>
      <w:r>
        <w:rPr>
          <w:rFonts w:ascii="Times New Roman" w:hAnsi="Times New Roman"/>
          <w:sz w:val="16"/>
        </w:rPr>
        <w:t xml:space="preserve"> нападенията срещу ЛГБТИ прайд шествията се увеличават.</w:t>
      </w:r>
    </w:p>
  </w:footnote>
  <w:footnote w:id="27">
    <w:p w14:paraId="4E5F156B" w14:textId="021A651F" w:rsidR="00EE5D91" w:rsidRPr="00D51260" w:rsidRDefault="00694A68" w:rsidP="0021215C">
      <w:pPr>
        <w:pStyle w:val="FootnoteText"/>
        <w:ind w:left="284" w:hanging="284"/>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hyperlink r:id="rId28" w:history="1">
        <w:r>
          <w:rPr>
            <w:rStyle w:val="Hyperlink"/>
            <w:rFonts w:ascii="Times New Roman" w:hAnsi="Times New Roman"/>
            <w:sz w:val="16"/>
          </w:rPr>
          <w:t>Holocaust Memorial Day Trust — Gay people (Тръст за възпоменателен ден на жертвите на Холокоста — Хомосексуални лица)</w:t>
        </w:r>
      </w:hyperlink>
      <w:r>
        <w:rPr>
          <w:rFonts w:ascii="Times New Roman" w:hAnsi="Times New Roman"/>
          <w:sz w:val="16"/>
        </w:rPr>
        <w:t>.</w:t>
      </w:r>
    </w:p>
  </w:footnote>
  <w:footnote w:id="28">
    <w:p w14:paraId="5B9E79C3" w14:textId="49A5FFEC" w:rsidR="00EF49A7" w:rsidRPr="00170BA2" w:rsidRDefault="00694A68" w:rsidP="00D6653A">
      <w:pPr>
        <w:pStyle w:val="FootnoteText"/>
        <w:ind w:left="284" w:hanging="284"/>
        <w:jc w:val="both"/>
        <w:rPr>
          <w:rFonts w:ascii="Times New Roman" w:hAnsi="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Директивата не се прилага за Дания съгласно позицията на Дания, изложена в Протокол № 22 към Договора за Европейския съюз и Договора за функционирането на Европейския съюз.</w:t>
      </w:r>
    </w:p>
  </w:footnote>
  <w:footnote w:id="29">
    <w:p w14:paraId="207F8A87" w14:textId="0057DA48" w:rsidR="001C2E51" w:rsidRPr="00E5283D" w:rsidRDefault="00694A68" w:rsidP="00E5283D">
      <w:pPr>
        <w:pStyle w:val="NoSpacing"/>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 xml:space="preserve">Вж. </w:t>
      </w:r>
      <w:hyperlink r:id="rId29" w:history="1">
        <w:r>
          <w:rPr>
            <w:rStyle w:val="Hyperlink"/>
            <w:rFonts w:ascii="Times New Roman" w:hAnsi="Times New Roman"/>
            <w:sz w:val="16"/>
          </w:rPr>
          <w:t>проучване</w:t>
        </w:r>
      </w:hyperlink>
      <w:r>
        <w:rPr>
          <w:rFonts w:ascii="Times New Roman" w:hAnsi="Times New Roman"/>
          <w:sz w:val="16"/>
        </w:rPr>
        <w:t xml:space="preserve">, проведено от Международната младежка и студентска организация на лесбийки, гейове, бисексуални, транс, куиър и интерсексуални лица (IGLYO). </w:t>
      </w:r>
    </w:p>
  </w:footnote>
  <w:footnote w:id="30">
    <w:p w14:paraId="1DC9CCE1" w14:textId="455DA298" w:rsidR="00A8090E" w:rsidRPr="00311619" w:rsidRDefault="00694A68" w:rsidP="00A8090E">
      <w:pPr>
        <w:pStyle w:val="FootnoteText"/>
        <w:ind w:left="284" w:hanging="284"/>
        <w:jc w:val="both"/>
        <w:rPr>
          <w:rFonts w:ascii="Times New Roman" w:hAnsi="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Style w:val="Hyperlink"/>
          <w:rFonts w:ascii="Times New Roman" w:hAnsi="Times New Roman"/>
          <w:color w:val="auto"/>
          <w:sz w:val="16"/>
          <w:u w:val="none"/>
        </w:rPr>
        <w:t xml:space="preserve">Вж. ВКБООН, </w:t>
      </w:r>
      <w:hyperlink r:id="rId30" w:history="1">
        <w:r>
          <w:rPr>
            <w:rStyle w:val="Hyperlink"/>
            <w:rFonts w:ascii="Times New Roman" w:hAnsi="Times New Roman"/>
            <w:sz w:val="16"/>
          </w:rPr>
          <w:t>Protecting LGBTIQ+ people in situations of forced displacement:</w:t>
        </w:r>
      </w:hyperlink>
      <w:hyperlink r:id="rId31" w:history="1">
        <w:r>
          <w:rPr>
            <w:rStyle w:val="Hyperlink"/>
            <w:rFonts w:ascii="Times New Roman" w:hAnsi="Times New Roman"/>
            <w:sz w:val="16"/>
          </w:rPr>
          <w:t>A Stocktaking on UNHCR progress since the 2021 Roundtable(Защита на ЛГБТИК+ лицата в ситуации на принудително разселване: Преглед на напредъка на Върховния комисариат на ООН за бежанците след Кръглата маса през 2021 г.)</w:t>
        </w:r>
      </w:hyperlink>
      <w:r>
        <w:rPr>
          <w:rStyle w:val="Hyperlink"/>
          <w:rFonts w:ascii="Times New Roman" w:hAnsi="Times New Roman"/>
          <w:color w:val="auto"/>
          <w:sz w:val="16"/>
          <w:u w:val="none"/>
        </w:rPr>
        <w:t>, юни 2023 г.</w:t>
      </w:r>
    </w:p>
  </w:footnote>
  <w:footnote w:id="31">
    <w:p w14:paraId="3E0A8425" w14:textId="34338207" w:rsidR="00620433" w:rsidRPr="00D51260" w:rsidRDefault="00694A68" w:rsidP="00620433">
      <w:pPr>
        <w:pStyle w:val="FootnoteText"/>
        <w:ind w:left="284" w:hanging="284"/>
        <w:jc w:val="both"/>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rPr>
          <w:rFonts w:ascii="Times New Roman" w:hAnsi="Times New Roman"/>
          <w:sz w:val="16"/>
        </w:rPr>
        <w:t xml:space="preserve"> </w:t>
      </w:r>
      <w:r>
        <w:tab/>
      </w:r>
      <w:hyperlink r:id="rId32" w:history="1">
        <w:r>
          <w:rPr>
            <w:rStyle w:val="Hyperlink"/>
            <w:rFonts w:ascii="Times New Roman" w:hAnsi="Times New Roman"/>
            <w:sz w:val="16"/>
          </w:rPr>
          <w:t>Документи на EUAA (europa.eu)</w:t>
        </w:r>
      </w:hyperlink>
      <w:r>
        <w:rPr>
          <w:rFonts w:ascii="Times New Roman" w:hAnsi="Times New Roman"/>
          <w:sz w:val="16"/>
        </w:rPr>
        <w:t xml:space="preserve">. </w:t>
      </w:r>
    </w:p>
  </w:footnote>
  <w:footnote w:id="32">
    <w:p w14:paraId="3065E826" w14:textId="16F3342E" w:rsidR="00BF5C2F" w:rsidRPr="00D51260" w:rsidRDefault="00694A68" w:rsidP="00C53C57">
      <w:pPr>
        <w:pStyle w:val="FootnoteText"/>
        <w:ind w:left="284" w:hanging="284"/>
        <w:jc w:val="both"/>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hyperlink r:id="rId33" w:history="1">
        <w:r>
          <w:rPr>
            <w:rStyle w:val="Hyperlink"/>
            <w:rFonts w:ascii="Times New Roman" w:hAnsi="Times New Roman"/>
            <w:sz w:val="16"/>
          </w:rPr>
          <w:t>Решение за изпълнение (ЕС) 2021/1877 на Комисията от 22 октомври 2021 г. относно рамката от мерки за приобщаване по програмите „Еразъм+“ и „Европейски корпус за солидарност“ за 2021—2027 г.</w:t>
        </w:r>
      </w:hyperlink>
      <w:r>
        <w:rPr>
          <w:rFonts w:ascii="Times New Roman" w:hAnsi="Times New Roman"/>
          <w:sz w:val="16"/>
        </w:rPr>
        <w:t xml:space="preserve"> (ОВ L 378, 26.10.2021 г., стр. 15).</w:t>
      </w:r>
    </w:p>
  </w:footnote>
  <w:footnote w:id="33">
    <w:p w14:paraId="46C3DC72" w14:textId="01079DA8" w:rsidR="002831EE" w:rsidRPr="00311619" w:rsidRDefault="00694A68" w:rsidP="00D6653A">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rPr>
          <w:rFonts w:ascii="Times New Roman" w:hAnsi="Times New Roman"/>
          <w:sz w:val="16"/>
        </w:rPr>
        <w:t xml:space="preserve"> </w:t>
      </w:r>
      <w:r>
        <w:tab/>
      </w:r>
      <w:r>
        <w:rPr>
          <w:rStyle w:val="Hyperlink"/>
          <w:rFonts w:ascii="Times New Roman" w:hAnsi="Times New Roman"/>
          <w:color w:val="auto"/>
          <w:sz w:val="16"/>
          <w:u w:val="none"/>
        </w:rPr>
        <w:t xml:space="preserve">Вж. Moradi, Ghobad и др. The prevalence of hepatitis C and hepatitis B in lesbian, gay, bisexual and transgender populations: a systematic review and meta-analysis. European Journal of Medical Research, vol. 27, 2022 г., </w:t>
      </w:r>
      <w:hyperlink r:id="rId34" w:history="1">
        <w:r>
          <w:rPr>
            <w:rStyle w:val="Hyperlink"/>
            <w:rFonts w:ascii="Times New Roman" w:hAnsi="Times New Roman"/>
            <w:sz w:val="16"/>
          </w:rPr>
          <w:t>https://doi.org/10.1186/s40001-022-00677-0</w:t>
        </w:r>
      </w:hyperlink>
      <w:r>
        <w:rPr>
          <w:rStyle w:val="Hyperlink"/>
          <w:rFonts w:ascii="Times New Roman" w:hAnsi="Times New Roman"/>
          <w:color w:val="auto"/>
          <w:sz w:val="16"/>
          <w:u w:val="none"/>
        </w:rPr>
        <w:t xml:space="preserve"> и </w:t>
      </w:r>
      <w:r>
        <w:rPr>
          <w:rFonts w:ascii="Times New Roman" w:hAnsi="Times New Roman"/>
          <w:sz w:val="16"/>
        </w:rPr>
        <w:t xml:space="preserve">Sherry, Alexander D., et al. “Overall Survival and Quality-of-Life Superiority in Modern Phase 3 Oncology Trials: A Meta-Epidemiological Analysis.” </w:t>
      </w:r>
      <w:r>
        <w:rPr>
          <w:rFonts w:ascii="Times New Roman" w:hAnsi="Times New Roman"/>
          <w:i/>
          <w:sz w:val="16"/>
        </w:rPr>
        <w:t>JAMA Oncology</w:t>
      </w:r>
      <w:r>
        <w:rPr>
          <w:rFonts w:ascii="Times New Roman" w:hAnsi="Times New Roman"/>
          <w:sz w:val="16"/>
        </w:rPr>
        <w:t xml:space="preserve">, vol. 11, no. 7, 2025 г., стр. 718—724, </w:t>
      </w:r>
      <w:hyperlink r:id="rId35" w:history="1">
        <w:r>
          <w:rPr>
            <w:rStyle w:val="Hyperlink"/>
            <w:rFonts w:ascii="Times New Roman" w:hAnsi="Times New Roman"/>
            <w:sz w:val="16"/>
          </w:rPr>
          <w:t>https://doi.org/10.1001/jamaoncol.2025.1002</w:t>
        </w:r>
      </w:hyperlink>
      <w:r>
        <w:rPr>
          <w:rFonts w:ascii="Times New Roman" w:hAnsi="Times New Roman"/>
          <w:sz w:val="16"/>
        </w:rPr>
        <w:t xml:space="preserve"> </w:t>
      </w:r>
    </w:p>
  </w:footnote>
  <w:footnote w:id="34">
    <w:p w14:paraId="37AE504F" w14:textId="27E93332" w:rsidR="4D5B271E" w:rsidRPr="00D51260" w:rsidRDefault="00694A68" w:rsidP="00D51260">
      <w:pPr>
        <w:spacing w:after="0" w:line="240" w:lineRule="auto"/>
        <w:ind w:left="284" w:hanging="284"/>
        <w:rPr>
          <w:rFonts w:ascii="Times New Roman" w:hAnsi="Times New Roman"/>
          <w:sz w:val="16"/>
        </w:rPr>
      </w:pPr>
      <w:r>
        <w:rPr>
          <w:rFonts w:ascii="Times New Roman" w:hAnsi="Times New Roman"/>
          <w:sz w:val="16"/>
          <w:vertAlign w:val="superscript"/>
        </w:rPr>
        <w:t>(</w:t>
      </w:r>
      <w:r>
        <w:rPr>
          <w:rFonts w:ascii="Times New Roman" w:hAnsi="Times New Roman" w:cs="Times New Roman"/>
          <w:sz w:val="16"/>
          <w:szCs w:val="16"/>
          <w:vertAlign w:val="superscript"/>
        </w:rPr>
        <w:footnoteRef/>
      </w:r>
      <w:r>
        <w:rPr>
          <w:rFonts w:ascii="Times New Roman" w:hAnsi="Times New Roman"/>
          <w:sz w:val="16"/>
          <w:vertAlign w:val="superscript"/>
        </w:rPr>
        <w:t>)</w:t>
      </w:r>
      <w:r>
        <w:tab/>
      </w:r>
      <w:hyperlink r:id="rId36" w:history="1">
        <w:r>
          <w:rPr>
            <w:rStyle w:val="Hyperlink"/>
            <w:rFonts w:ascii="Times New Roman" w:hAnsi="Times New Roman"/>
            <w:sz w:val="16"/>
          </w:rPr>
          <w:t>Психично здраве (europa.eu)</w:t>
        </w:r>
      </w:hyperlink>
      <w:r>
        <w:rPr>
          <w:rFonts w:ascii="Times New Roman" w:hAnsi="Times New Roman"/>
          <w:sz w:val="16"/>
        </w:rPr>
        <w:t>.</w:t>
      </w:r>
    </w:p>
  </w:footnote>
  <w:footnote w:id="35">
    <w:p w14:paraId="7201A36B" w14:textId="4F519B28" w:rsidR="0049227D" w:rsidRPr="00170BA2" w:rsidRDefault="00466EE3" w:rsidP="0049227D">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 xml:space="preserve">Агенция на ЕС за основните права (FRA), </w:t>
      </w:r>
      <w:hyperlink r:id="rId37" w:history="1">
        <w:r>
          <w:rPr>
            <w:rStyle w:val="Hyperlink"/>
            <w:rFonts w:ascii="Times New Roman" w:hAnsi="Times New Roman"/>
            <w:sz w:val="16"/>
          </w:rPr>
          <w:t>Предубеждения в алгоритмите — Изкуствен интелект и дискриминация,</w:t>
        </w:r>
      </w:hyperlink>
      <w:r>
        <w:rPr>
          <w:rFonts w:ascii="Times New Roman" w:hAnsi="Times New Roman"/>
          <w:sz w:val="16"/>
        </w:rPr>
        <w:t xml:space="preserve"> Служба за публикации на Европейския съюз, 2022 г. </w:t>
      </w:r>
    </w:p>
  </w:footnote>
  <w:footnote w:id="36">
    <w:p w14:paraId="1560203D" w14:textId="64F9333D" w:rsidR="00BF5DE0" w:rsidRDefault="00BF5DE0" w:rsidP="00A85CD7">
      <w:pPr>
        <w:pStyle w:val="FootnoteText"/>
        <w:ind w:left="284" w:hanging="284"/>
        <w:jc w:val="both"/>
      </w:pPr>
      <w:r>
        <w:rPr>
          <w:vertAlign w:val="superscript"/>
        </w:rPr>
        <w:t>(</w:t>
      </w:r>
      <w:r>
        <w:rPr>
          <w:rStyle w:val="FootnoteReference"/>
        </w:rPr>
        <w:footnoteRef/>
      </w:r>
      <w:r>
        <w:rPr>
          <w:vertAlign w:val="superscript"/>
        </w:rPr>
        <w:t>)</w:t>
      </w:r>
      <w:r w:rsidR="00A85CD7">
        <w:rPr>
          <w:lang w:val="en-US"/>
        </w:rPr>
        <w:tab/>
      </w:r>
      <w:r>
        <w:rPr>
          <w:rFonts w:ascii="Times New Roman" w:hAnsi="Times New Roman"/>
          <w:sz w:val="16"/>
        </w:rPr>
        <w:t xml:space="preserve">Вж. </w:t>
      </w:r>
      <w:hyperlink r:id="rId38" w:history="1">
        <w:r>
          <w:rPr>
            <w:rStyle w:val="Hyperlink"/>
            <w:rFonts w:ascii="Times New Roman" w:hAnsi="Times New Roman"/>
            <w:sz w:val="16"/>
          </w:rPr>
          <w:t>Business case of diversity and inclusion at work</w:t>
        </w:r>
      </w:hyperlink>
      <w:r>
        <w:rPr>
          <w:rFonts w:ascii="Times New Roman" w:hAnsi="Times New Roman"/>
          <w:sz w:val="16"/>
        </w:rPr>
        <w:t>, Служба за публикации на Европейския съюз, 2025 г.</w:t>
      </w:r>
    </w:p>
  </w:footnote>
  <w:footnote w:id="37">
    <w:p w14:paraId="0D750459" w14:textId="1EC950E8" w:rsidR="0027234C" w:rsidRPr="00666B96" w:rsidRDefault="00694A68" w:rsidP="00673B87">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 xml:space="preserve">Според определението на </w:t>
      </w:r>
      <w:hyperlink r:id="rId39" w:history="1">
        <w:r>
          <w:rPr>
            <w:rStyle w:val="Hyperlink"/>
            <w:rFonts w:ascii="Times New Roman" w:hAnsi="Times New Roman"/>
            <w:sz w:val="16"/>
          </w:rPr>
          <w:t>Европейския институт за равенство между половете</w:t>
        </w:r>
      </w:hyperlink>
      <w:r>
        <w:rPr>
          <w:rFonts w:ascii="Times New Roman" w:hAnsi="Times New Roman"/>
          <w:sz w:val="16"/>
        </w:rPr>
        <w:t xml:space="preserve">: „Промяна на пола“ е термин </w:t>
      </w:r>
      <w:bookmarkStart w:id="11" w:name="_Hlk209710083"/>
      <w:r>
        <w:rPr>
          <w:rFonts w:ascii="Times New Roman" w:hAnsi="Times New Roman"/>
          <w:sz w:val="16"/>
        </w:rPr>
        <w:t>, отнасящ се до съвкупност от медицински мерки, които могат, но не е задължително да включват психологически, ендокринологични и хирургически лечения, насочени към привеждане на външния вид на дадено лице в съответствие с неговата джендър идентичност.</w:t>
      </w:r>
      <w:bookmarkEnd w:id="11"/>
      <w:r>
        <w:rPr>
          <w:rFonts w:ascii="Times New Roman" w:hAnsi="Times New Roman"/>
          <w:sz w:val="16"/>
        </w:rPr>
        <w:t xml:space="preserve">. Този термин е използван в решенията по дело C-423/04, </w:t>
      </w:r>
      <w:r>
        <w:rPr>
          <w:rFonts w:ascii="Times New Roman" w:hAnsi="Times New Roman"/>
          <w:i/>
          <w:sz w:val="16"/>
        </w:rPr>
        <w:t>Richards</w:t>
      </w:r>
      <w:r>
        <w:rPr>
          <w:rFonts w:ascii="Times New Roman" w:hAnsi="Times New Roman"/>
          <w:sz w:val="16"/>
        </w:rPr>
        <w:t xml:space="preserve">, 27.4.2006 г., EU:C:2006 и дело C-117/01, </w:t>
      </w:r>
      <w:r>
        <w:rPr>
          <w:rFonts w:ascii="Times New Roman" w:hAnsi="Times New Roman"/>
          <w:i/>
          <w:sz w:val="16"/>
        </w:rPr>
        <w:t xml:space="preserve">K.B. </w:t>
      </w:r>
      <w:r>
        <w:rPr>
          <w:rFonts w:ascii="Times New Roman" w:hAnsi="Times New Roman"/>
          <w:sz w:val="16"/>
        </w:rPr>
        <w:t>/</w:t>
      </w:r>
      <w:r>
        <w:rPr>
          <w:rFonts w:ascii="Times New Roman" w:hAnsi="Times New Roman"/>
          <w:i/>
          <w:sz w:val="16"/>
        </w:rPr>
        <w:t xml:space="preserve"> National Health Service Pensions Agency and Secretary of State for Health, </w:t>
      </w:r>
      <w:r>
        <w:rPr>
          <w:rFonts w:ascii="Times New Roman" w:hAnsi="Times New Roman"/>
          <w:sz w:val="16"/>
        </w:rPr>
        <w:t xml:space="preserve">7.1.2004 г., </w:t>
      </w:r>
      <w:r>
        <w:rPr>
          <w:rFonts w:ascii="Times New Roman" w:hAnsi="Times New Roman"/>
          <w:sz w:val="16"/>
          <w:shd w:val="clear" w:color="auto" w:fill="FFFFFF"/>
        </w:rPr>
        <w:t>EU:C:2004:7</w:t>
      </w:r>
      <w:r>
        <w:rPr>
          <w:rFonts w:ascii="Times New Roman" w:hAnsi="Times New Roman"/>
          <w:sz w:val="16"/>
        </w:rPr>
        <w:t>.</w:t>
      </w:r>
    </w:p>
  </w:footnote>
  <w:footnote w:id="38">
    <w:p w14:paraId="6D29C901" w14:textId="77777777" w:rsidR="00BF0050" w:rsidRPr="0021215C" w:rsidRDefault="00BF0050" w:rsidP="00BF0050">
      <w:pPr>
        <w:pStyle w:val="FootnoteText"/>
        <w:ind w:left="284" w:hanging="284"/>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C-769/22 Комисия/Унгария, Valeurs de l’Union.</w:t>
      </w:r>
    </w:p>
  </w:footnote>
  <w:footnote w:id="39">
    <w:p w14:paraId="1E0E7BD4" w14:textId="12BEFF22" w:rsidR="000672D4" w:rsidRDefault="000672D4" w:rsidP="00D40BE6">
      <w:pPr>
        <w:pStyle w:val="FootnoteText"/>
        <w:ind w:left="284" w:hanging="284"/>
        <w:jc w:val="both"/>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Съществуват 27 харти на многообразието — по една за всяка държава членка. Това са организации, базирани в държавите — членки на ЕС, които предоставят подкрепа и популяризират най-добрите практики в областта на управлението на многообразието сред хиляди водещи мултинационални компании, МСП и публични организации.</w:t>
      </w:r>
    </w:p>
  </w:footnote>
  <w:footnote w:id="40">
    <w:p w14:paraId="4C5C240F" w14:textId="400ECC43" w:rsidR="006619CE" w:rsidRPr="00666B96" w:rsidRDefault="00694A68" w:rsidP="00673B87">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Fonts w:ascii="Times New Roman" w:hAnsi="Times New Roman" w:cs="Times New Roman"/>
          <w:sz w:val="16"/>
          <w:szCs w:val="16"/>
          <w:vertAlign w:val="superscript"/>
          <w:lang w:val="en-GB"/>
        </w:rPr>
        <w:footnoteRef/>
      </w:r>
      <w:r>
        <w:rPr>
          <w:rFonts w:ascii="Times New Roman" w:hAnsi="Times New Roman"/>
          <w:sz w:val="16"/>
          <w:vertAlign w:val="superscript"/>
        </w:rPr>
        <w:t>)</w:t>
      </w:r>
      <w:r>
        <w:tab/>
      </w:r>
      <w:r>
        <w:rPr>
          <w:rFonts w:ascii="Times New Roman" w:hAnsi="Times New Roman"/>
          <w:sz w:val="16"/>
        </w:rPr>
        <w:t xml:space="preserve">Вж. решение от 5 юни 2018 г., C-673/16, </w:t>
      </w:r>
      <w:r>
        <w:rPr>
          <w:rFonts w:ascii="Times New Roman" w:hAnsi="Times New Roman"/>
          <w:i/>
          <w:sz w:val="16"/>
        </w:rPr>
        <w:t>Coman</w:t>
      </w:r>
      <w:r>
        <w:rPr>
          <w:rFonts w:ascii="Times New Roman" w:hAnsi="Times New Roman"/>
          <w:sz w:val="16"/>
        </w:rPr>
        <w:t xml:space="preserve">, EU:C:2018:385; решение от 14 декември 2021 г., C-490/20 </w:t>
      </w:r>
      <w:r>
        <w:rPr>
          <w:rFonts w:ascii="Times New Roman" w:hAnsi="Times New Roman"/>
          <w:i/>
          <w:sz w:val="16"/>
        </w:rPr>
        <w:t>V.M.A</w:t>
      </w:r>
      <w:r>
        <w:rPr>
          <w:rFonts w:ascii="Times New Roman" w:hAnsi="Times New Roman"/>
          <w:sz w:val="16"/>
        </w:rPr>
        <w:t xml:space="preserve">., EU:C:2021:1008; определение от 24 юни 2022 г., C-2/21, </w:t>
      </w:r>
      <w:r>
        <w:rPr>
          <w:rFonts w:ascii="Times New Roman" w:hAnsi="Times New Roman"/>
          <w:i/>
          <w:sz w:val="16"/>
        </w:rPr>
        <w:t>K.S.,</w:t>
      </w:r>
      <w:r>
        <w:rPr>
          <w:rFonts w:ascii="Times New Roman" w:hAnsi="Times New Roman"/>
          <w:sz w:val="16"/>
        </w:rPr>
        <w:t xml:space="preserve"> EU:C:2018:385; решение от 4 октомври 2024 г., дело C-4/23, </w:t>
      </w:r>
      <w:r>
        <w:rPr>
          <w:rFonts w:ascii="Times New Roman" w:hAnsi="Times New Roman"/>
          <w:i/>
          <w:sz w:val="16"/>
        </w:rPr>
        <w:t>Mirin</w:t>
      </w:r>
      <w:r>
        <w:rPr>
          <w:rFonts w:ascii="Times New Roman" w:hAnsi="Times New Roman"/>
          <w:sz w:val="16"/>
        </w:rPr>
        <w:t xml:space="preserve">, EU:C:2024:845, решение от 3 април 2024 г., дело C-713/23, </w:t>
      </w:r>
      <w:r>
        <w:rPr>
          <w:rFonts w:ascii="Times New Roman" w:hAnsi="Times New Roman"/>
          <w:i/>
          <w:sz w:val="16"/>
        </w:rPr>
        <w:t>Wojewoda Mazowiecki</w:t>
      </w:r>
      <w:r>
        <w:rPr>
          <w:rFonts w:ascii="Times New Roman" w:hAnsi="Times New Roman"/>
          <w:sz w:val="16"/>
        </w:rPr>
        <w:t xml:space="preserve">, EU:C:2025:235 и дело C-43/24, </w:t>
      </w:r>
      <w:r>
        <w:rPr>
          <w:rFonts w:ascii="Times New Roman" w:hAnsi="Times New Roman"/>
          <w:i/>
          <w:sz w:val="16"/>
        </w:rPr>
        <w:t>Shipov</w:t>
      </w:r>
      <w:r>
        <w:rPr>
          <w:rFonts w:ascii="Times New Roman" w:hAnsi="Times New Roman"/>
          <w:sz w:val="16"/>
        </w:rPr>
        <w:t>.</w:t>
      </w:r>
    </w:p>
  </w:footnote>
  <w:footnote w:id="41">
    <w:p w14:paraId="7E2D0337" w14:textId="716995E8" w:rsidR="001975C5" w:rsidRPr="00466EE3" w:rsidRDefault="00590F3A" w:rsidP="00466EE3">
      <w:pPr>
        <w:pStyle w:val="NoSpacing"/>
        <w:ind w:left="284" w:hanging="284"/>
        <w:jc w:val="both"/>
        <w:rPr>
          <w:rFonts w:ascii="Times New Roman" w:eastAsia="Aptos"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 xml:space="preserve">Вж. например </w:t>
      </w:r>
      <w:hyperlink r:id="rId40" w:history="1">
        <w:r>
          <w:rPr>
            <w:rFonts w:ascii="Times New Roman" w:hAnsi="Times New Roman"/>
            <w:color w:val="467886"/>
            <w:sz w:val="16"/>
            <w:u w:val="single"/>
          </w:rPr>
          <w:t>Регламент 2019/1111</w:t>
        </w:r>
      </w:hyperlink>
      <w:r>
        <w:rPr>
          <w:rFonts w:ascii="Times New Roman" w:hAnsi="Times New Roman"/>
          <w:sz w:val="16"/>
        </w:rPr>
        <w:t xml:space="preserve"> относно брачните дела и делата, свързани с родителската отговорност, </w:t>
      </w:r>
      <w:hyperlink r:id="rId41" w:history="1">
        <w:r>
          <w:rPr>
            <w:rFonts w:ascii="Times New Roman" w:hAnsi="Times New Roman"/>
            <w:color w:val="467886"/>
            <w:sz w:val="16"/>
            <w:u w:val="single"/>
          </w:rPr>
          <w:t>Регламент 4/2009</w:t>
        </w:r>
      </w:hyperlink>
      <w:r>
        <w:rPr>
          <w:rFonts w:ascii="Times New Roman" w:hAnsi="Times New Roman"/>
          <w:sz w:val="16"/>
        </w:rPr>
        <w:t xml:space="preserve"> относно задълженията за издръжка, </w:t>
      </w:r>
      <w:hyperlink r:id="rId42" w:history="1">
        <w:r>
          <w:rPr>
            <w:rFonts w:ascii="Times New Roman" w:hAnsi="Times New Roman"/>
            <w:color w:val="467886"/>
            <w:sz w:val="16"/>
            <w:u w:val="single"/>
          </w:rPr>
          <w:t>Регламент 2016/1103</w:t>
        </w:r>
      </w:hyperlink>
      <w:r>
        <w:rPr>
          <w:rFonts w:ascii="Times New Roman" w:hAnsi="Times New Roman"/>
          <w:sz w:val="16"/>
        </w:rPr>
        <w:t xml:space="preserve"> относно имуществените режими между съпрузи, </w:t>
      </w:r>
      <w:hyperlink r:id="rId43" w:history="1">
        <w:r>
          <w:rPr>
            <w:rFonts w:ascii="Times New Roman" w:hAnsi="Times New Roman"/>
            <w:color w:val="467886"/>
            <w:sz w:val="16"/>
            <w:u w:val="single"/>
          </w:rPr>
          <w:t>Регламент 2016/1104</w:t>
        </w:r>
      </w:hyperlink>
      <w:r>
        <w:rPr>
          <w:rFonts w:ascii="Times New Roman" w:hAnsi="Times New Roman"/>
          <w:sz w:val="16"/>
        </w:rPr>
        <w:t xml:space="preserve"> относно имуществените последици от регистрираните партньорства и </w:t>
      </w:r>
      <w:hyperlink r:id="rId44" w:history="1">
        <w:r>
          <w:rPr>
            <w:rFonts w:ascii="Times New Roman" w:hAnsi="Times New Roman"/>
            <w:color w:val="467886"/>
            <w:sz w:val="16"/>
            <w:u w:val="single"/>
          </w:rPr>
          <w:t>Регламент 650/2012</w:t>
        </w:r>
      </w:hyperlink>
      <w:r>
        <w:rPr>
          <w:rFonts w:ascii="Times New Roman" w:hAnsi="Times New Roman"/>
          <w:sz w:val="16"/>
        </w:rPr>
        <w:t xml:space="preserve"> относно наследяването. </w:t>
      </w:r>
    </w:p>
  </w:footnote>
  <w:footnote w:id="42">
    <w:p w14:paraId="18351618" w14:textId="3AA0A60B" w:rsidR="00DD50FB" w:rsidRPr="00D51260" w:rsidRDefault="00694A68" w:rsidP="00DD50FB">
      <w:pPr>
        <w:pStyle w:val="FootnoteText"/>
        <w:ind w:left="284" w:hanging="284"/>
        <w:jc w:val="both"/>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r>
        <w:rPr>
          <w:rFonts w:ascii="Times New Roman" w:hAnsi="Times New Roman"/>
          <w:sz w:val="16"/>
        </w:rPr>
        <w:t>S.V. срещу Италия, жалба № 55216/08, 11 октомври 2018 г. A.P., Garçon и Nicot / Франция, жалби № 79885/12, 52471/13 и 52596/13, 6 април 2017 г.</w:t>
      </w:r>
    </w:p>
  </w:footnote>
  <w:footnote w:id="43">
    <w:p w14:paraId="4709DCB2" w14:textId="394DFC44" w:rsidR="00D45B53" w:rsidRPr="004143ED" w:rsidRDefault="00694A68" w:rsidP="00815365">
      <w:pPr>
        <w:pStyle w:val="NoSpacing"/>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Европейската комисия също така насърчава държавите —кандидатки за членство в ЕС, и потенциалните кандидатки да следват добрите практики на държавите — членки на ЕС, в тази област.</w:t>
      </w:r>
    </w:p>
  </w:footnote>
  <w:footnote w:id="44">
    <w:p w14:paraId="591BAF21" w14:textId="3BDA23EA" w:rsidR="00404038" w:rsidRPr="004143ED" w:rsidRDefault="00404038" w:rsidP="00404038">
      <w:pPr>
        <w:pStyle w:val="FootnoteText"/>
        <w:ind w:left="284" w:hanging="284"/>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rsidR="00A85CD7">
        <w:rPr>
          <w:rFonts w:ascii="Times New Roman" w:hAnsi="Times New Roman"/>
          <w:sz w:val="16"/>
          <w:lang w:val="en-US"/>
        </w:rPr>
        <w:tab/>
      </w:r>
      <w:hyperlink r:id="rId45" w:history="1">
        <w:r>
          <w:rPr>
            <w:rStyle w:val="Hyperlink"/>
            <w:rFonts w:ascii="Times New Roman" w:hAnsi="Times New Roman"/>
            <w:sz w:val="16"/>
          </w:rPr>
          <w:t>Регламент (ЕС) 2021/1060 на Европейския парламент и на Съвета от 24 юни 2021 г.</w:t>
        </w:r>
      </w:hyperlink>
      <w:r>
        <w:rPr>
          <w:rFonts w:ascii="Times New Roman" w:hAnsi="Times New Roman"/>
          <w:sz w:val="16"/>
        </w:rPr>
        <w:t>(OB L 231, 30.6.2021 г., стр. 159).</w:t>
      </w:r>
    </w:p>
  </w:footnote>
  <w:footnote w:id="45">
    <w:p w14:paraId="62EFFD9A" w14:textId="33CEECD5" w:rsidR="00B800C7" w:rsidRPr="002E012D" w:rsidRDefault="00B800C7" w:rsidP="002E012D">
      <w:pPr>
        <w:pStyle w:val="FootnoteText"/>
        <w:ind w:left="284" w:hanging="284"/>
        <w:jc w:val="both"/>
        <w:rPr>
          <w:rFonts w:ascii="Times New Roman" w:hAnsi="Times New Roman" w:cs="Times New Roman"/>
        </w:rPr>
      </w:pPr>
      <w:r>
        <w:rPr>
          <w:rFonts w:ascii="Times New Roman" w:hAnsi="Times New Roman"/>
          <w:sz w:val="16"/>
          <w:vertAlign w:val="superscript"/>
        </w:rPr>
        <w:t>(</w:t>
      </w:r>
      <w:r>
        <w:rPr>
          <w:rStyle w:val="FootnoteReference"/>
          <w:rFonts w:ascii="Times New Roman" w:hAnsi="Times New Roman" w:cs="Times New Roman"/>
          <w:sz w:val="16"/>
          <w:szCs w:val="16"/>
        </w:rPr>
        <w:footnoteRef/>
      </w:r>
      <w:r>
        <w:rPr>
          <w:rFonts w:ascii="Times New Roman" w:hAnsi="Times New Roman"/>
          <w:sz w:val="16"/>
          <w:vertAlign w:val="superscript"/>
        </w:rPr>
        <w:t>)</w:t>
      </w:r>
      <w:r>
        <w:tab/>
      </w:r>
      <w:r>
        <w:rPr>
          <w:rFonts w:ascii="Times New Roman" w:hAnsi="Times New Roman"/>
          <w:sz w:val="16"/>
        </w:rPr>
        <w:t xml:space="preserve">Вж. например </w:t>
      </w:r>
      <w:hyperlink r:id="rId46" w:tgtFrame="_blank" w:tooltip="https://globalphilanthropyproject.org/coordinatedresponseodacuts/" w:history="1">
        <w:r>
          <w:rPr>
            <w:rStyle w:val="Hyperlink"/>
            <w:rFonts w:ascii="Times New Roman" w:hAnsi="Times New Roman"/>
            <w:sz w:val="16"/>
          </w:rPr>
          <w:t>Holding the Line:</w:t>
        </w:r>
      </w:hyperlink>
      <w:hyperlink r:id="rId47" w:tgtFrame="_blank" w:tooltip="https://globalphilanthropyproject.org/coordinatedresponseodacuts/" w:history="1">
        <w:r>
          <w:rPr>
            <w:rStyle w:val="Hyperlink"/>
            <w:rFonts w:ascii="Times New Roman" w:hAnsi="Times New Roman"/>
            <w:sz w:val="16"/>
          </w:rPr>
          <w:t xml:space="preserve"> Defending LGBTI movements in the 2025 Funding Crisis - Global Philanthropy Project (Удържане на фронта: Защита на ЛГБТИ движенията в условията на криза на финансирането през 2025 г.)</w:t>
        </w:r>
      </w:hyperlink>
      <w:r>
        <w:rPr>
          <w:rFonts w:ascii="Times New Roman" w:hAnsi="Times New Roman"/>
          <w:sz w:val="16"/>
        </w:rPr>
        <w:t>.</w:t>
      </w:r>
    </w:p>
  </w:footnote>
  <w:footnote w:id="46">
    <w:p w14:paraId="7BC320C6" w14:textId="396D0825" w:rsidR="00CA6B54" w:rsidRPr="00D51260" w:rsidRDefault="00694A68" w:rsidP="002E012D">
      <w:pPr>
        <w:pStyle w:val="FootnoteText"/>
        <w:ind w:left="284" w:hanging="284"/>
        <w:rPr>
          <w:rFonts w:ascii="Times New Roman" w:hAnsi="Times New Roman"/>
          <w:sz w:val="16"/>
        </w:rPr>
      </w:pPr>
      <w:r>
        <w:rPr>
          <w:rFonts w:ascii="Times New Roman" w:hAnsi="Times New Roman"/>
          <w:sz w:val="16"/>
          <w:vertAlign w:val="superscript"/>
        </w:rPr>
        <w:t>(</w:t>
      </w:r>
      <w:r>
        <w:rPr>
          <w:rStyle w:val="FootnoteReference"/>
          <w:rFonts w:ascii="Times New Roman" w:hAnsi="Times New Roman" w:cs="Times New Roman"/>
          <w:sz w:val="16"/>
          <w:szCs w:val="16"/>
          <w:lang w:val="en-GB"/>
        </w:rPr>
        <w:footnoteRef/>
      </w:r>
      <w:r>
        <w:rPr>
          <w:rFonts w:ascii="Times New Roman" w:hAnsi="Times New Roman"/>
          <w:sz w:val="16"/>
          <w:vertAlign w:val="superscript"/>
        </w:rPr>
        <w:t>)</w:t>
      </w:r>
      <w:r>
        <w:tab/>
      </w:r>
      <w:hyperlink r:id="rId48" w:history="1">
        <w:r>
          <w:rPr>
            <w:rStyle w:val="Hyperlink"/>
            <w:rFonts w:ascii="Times New Roman" w:hAnsi="Times New Roman"/>
            <w:sz w:val="16"/>
          </w:rPr>
          <w:t>COM/2025/565 final</w:t>
        </w:r>
      </w:hyperlink>
    </w:p>
  </w:footnote>
  <w:footnote w:id="47">
    <w:p w14:paraId="04336D4F" w14:textId="4C443290" w:rsidR="00AD0B19" w:rsidRPr="000F6470" w:rsidRDefault="00694A68" w:rsidP="00EB7285">
      <w:pPr>
        <w:pStyle w:val="FootnoteText"/>
        <w:ind w:left="284" w:hanging="284"/>
        <w:jc w:val="both"/>
        <w:rPr>
          <w:rFonts w:ascii="Times New Roman" w:hAnsi="Times New Roman" w:cs="Times New Roman"/>
          <w:sz w:val="16"/>
          <w:szCs w:val="16"/>
        </w:rPr>
      </w:pPr>
      <w:r>
        <w:rPr>
          <w:rFonts w:ascii="Times New Roman" w:hAnsi="Times New Roman"/>
          <w:sz w:val="16"/>
          <w:vertAlign w:val="superscript"/>
        </w:rPr>
        <w:t>(</w:t>
      </w:r>
      <w:r>
        <w:rPr>
          <w:rStyle w:val="FootnoteReference"/>
          <w:rFonts w:ascii="Times New Roman" w:hAnsi="Times New Roman" w:cs="Times New Roman"/>
          <w:sz w:val="16"/>
          <w:szCs w:val="16"/>
        </w:rPr>
        <w:footnoteRef/>
      </w:r>
      <w:bookmarkStart w:id="17" w:name="_Hlk209544337"/>
      <w:r>
        <w:rPr>
          <w:rFonts w:ascii="Times New Roman" w:hAnsi="Times New Roman"/>
          <w:sz w:val="16"/>
          <w:vertAlign w:val="superscript"/>
        </w:rPr>
        <w:t>)</w:t>
      </w:r>
      <w:bookmarkEnd w:id="17"/>
      <w:r>
        <w:tab/>
      </w:r>
      <w:r w:rsidRPr="00A85CD7">
        <w:rPr>
          <w:rFonts w:ascii="Times New Roman" w:hAnsi="Times New Roman"/>
          <w:sz w:val="16"/>
        </w:rPr>
        <w:t>Според</w:t>
      </w:r>
      <w:r>
        <w:rPr>
          <w:rFonts w:ascii="Times New Roman" w:hAnsi="Times New Roman"/>
          <w:sz w:val="16"/>
        </w:rPr>
        <w:t xml:space="preserve"> </w:t>
      </w:r>
      <w:hyperlink r:id="rId49" w:history="1">
        <w:r>
          <w:rPr>
            <w:rStyle w:val="Hyperlink"/>
            <w:rFonts w:ascii="Times New Roman" w:hAnsi="Times New Roman"/>
            <w:sz w:val="16"/>
          </w:rPr>
          <w:t>Общата програма на ООН срещу ХИВ/СПИН (UNAIDS)</w:t>
        </w:r>
      </w:hyperlink>
      <w:r>
        <w:rPr>
          <w:rFonts w:ascii="Times New Roman" w:hAnsi="Times New Roman"/>
          <w:sz w:val="16"/>
        </w:rPr>
        <w:t xml:space="preserve"> 67 държави са криминализирали еднополовите връзки, като 10 от тях налагат смъртно наказание (2023 г.).  .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6FB80" w14:textId="77777777" w:rsidR="00FF12D6" w:rsidRPr="00FF12D6" w:rsidRDefault="00FF12D6" w:rsidP="00FF12D6">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D6F92" w14:textId="77777777" w:rsidR="00FF12D6" w:rsidRPr="00FF12D6" w:rsidRDefault="00FF12D6" w:rsidP="00FF12D6">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F539C" w14:textId="77777777" w:rsidR="00FF12D6" w:rsidRPr="00FF12D6" w:rsidRDefault="00FF12D6" w:rsidP="00FF12D6">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4DDC1" w14:textId="553B7EB1" w:rsidR="00F60AD1" w:rsidRDefault="00F60A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5B25A" w14:textId="667841C9" w:rsidR="00F60AD1" w:rsidRDefault="00F60AD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7F42D" w14:textId="2CDDD4DA" w:rsidR="00F60AD1" w:rsidRDefault="00F60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4DD3"/>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4B26E6"/>
    <w:multiLevelType w:val="hybridMultilevel"/>
    <w:tmpl w:val="193C9678"/>
    <w:lvl w:ilvl="0" w:tplc="02700320">
      <w:start w:val="1"/>
      <w:numFmt w:val="bullet"/>
      <w:lvlText w:val=""/>
      <w:lvlJc w:val="left"/>
      <w:pPr>
        <w:ind w:left="1020" w:hanging="360"/>
      </w:pPr>
      <w:rPr>
        <w:rFonts w:ascii="Symbol" w:hAnsi="Symbol"/>
      </w:rPr>
    </w:lvl>
    <w:lvl w:ilvl="1" w:tplc="4C72329E">
      <w:start w:val="1"/>
      <w:numFmt w:val="bullet"/>
      <w:lvlText w:val=""/>
      <w:lvlJc w:val="left"/>
      <w:pPr>
        <w:ind w:left="1020" w:hanging="360"/>
      </w:pPr>
      <w:rPr>
        <w:rFonts w:ascii="Symbol" w:hAnsi="Symbol"/>
      </w:rPr>
    </w:lvl>
    <w:lvl w:ilvl="2" w:tplc="2A9AA40A">
      <w:start w:val="1"/>
      <w:numFmt w:val="bullet"/>
      <w:lvlText w:val=""/>
      <w:lvlJc w:val="left"/>
      <w:pPr>
        <w:ind w:left="1020" w:hanging="360"/>
      </w:pPr>
      <w:rPr>
        <w:rFonts w:ascii="Symbol" w:hAnsi="Symbol"/>
      </w:rPr>
    </w:lvl>
    <w:lvl w:ilvl="3" w:tplc="B748D5BA">
      <w:start w:val="1"/>
      <w:numFmt w:val="bullet"/>
      <w:lvlText w:val=""/>
      <w:lvlJc w:val="left"/>
      <w:pPr>
        <w:ind w:left="1020" w:hanging="360"/>
      </w:pPr>
      <w:rPr>
        <w:rFonts w:ascii="Symbol" w:hAnsi="Symbol"/>
      </w:rPr>
    </w:lvl>
    <w:lvl w:ilvl="4" w:tplc="F2147A58">
      <w:start w:val="1"/>
      <w:numFmt w:val="bullet"/>
      <w:lvlText w:val=""/>
      <w:lvlJc w:val="left"/>
      <w:pPr>
        <w:ind w:left="1020" w:hanging="360"/>
      </w:pPr>
      <w:rPr>
        <w:rFonts w:ascii="Symbol" w:hAnsi="Symbol"/>
      </w:rPr>
    </w:lvl>
    <w:lvl w:ilvl="5" w:tplc="178C9F20">
      <w:start w:val="1"/>
      <w:numFmt w:val="bullet"/>
      <w:lvlText w:val=""/>
      <w:lvlJc w:val="left"/>
      <w:pPr>
        <w:ind w:left="1020" w:hanging="360"/>
      </w:pPr>
      <w:rPr>
        <w:rFonts w:ascii="Symbol" w:hAnsi="Symbol"/>
      </w:rPr>
    </w:lvl>
    <w:lvl w:ilvl="6" w:tplc="27EAA334">
      <w:start w:val="1"/>
      <w:numFmt w:val="bullet"/>
      <w:lvlText w:val=""/>
      <w:lvlJc w:val="left"/>
      <w:pPr>
        <w:ind w:left="1020" w:hanging="360"/>
      </w:pPr>
      <w:rPr>
        <w:rFonts w:ascii="Symbol" w:hAnsi="Symbol"/>
      </w:rPr>
    </w:lvl>
    <w:lvl w:ilvl="7" w:tplc="ACBE615A">
      <w:start w:val="1"/>
      <w:numFmt w:val="bullet"/>
      <w:lvlText w:val=""/>
      <w:lvlJc w:val="left"/>
      <w:pPr>
        <w:ind w:left="1020" w:hanging="360"/>
      </w:pPr>
      <w:rPr>
        <w:rFonts w:ascii="Symbol" w:hAnsi="Symbol"/>
      </w:rPr>
    </w:lvl>
    <w:lvl w:ilvl="8" w:tplc="45A2E7F6">
      <w:start w:val="1"/>
      <w:numFmt w:val="bullet"/>
      <w:lvlText w:val=""/>
      <w:lvlJc w:val="left"/>
      <w:pPr>
        <w:ind w:left="1020" w:hanging="360"/>
      </w:pPr>
      <w:rPr>
        <w:rFonts w:ascii="Symbol" w:hAnsi="Symbol"/>
      </w:rPr>
    </w:lvl>
  </w:abstractNum>
  <w:abstractNum w:abstractNumId="2" w15:restartNumberingAfterBreak="0">
    <w:nsid w:val="22251BD7"/>
    <w:multiLevelType w:val="hybridMultilevel"/>
    <w:tmpl w:val="5FF6FA02"/>
    <w:lvl w:ilvl="0" w:tplc="D7545C48">
      <w:start w:val="1"/>
      <w:numFmt w:val="bullet"/>
      <w:lvlText w:val=""/>
      <w:lvlJc w:val="left"/>
      <w:pPr>
        <w:ind w:left="720" w:hanging="360"/>
      </w:pPr>
      <w:rPr>
        <w:rFonts w:ascii="Symbol" w:hAnsi="Symbol"/>
      </w:rPr>
    </w:lvl>
    <w:lvl w:ilvl="1" w:tplc="D2DE391C">
      <w:start w:val="1"/>
      <w:numFmt w:val="bullet"/>
      <w:lvlText w:val=""/>
      <w:lvlJc w:val="left"/>
      <w:pPr>
        <w:ind w:left="720" w:hanging="360"/>
      </w:pPr>
      <w:rPr>
        <w:rFonts w:ascii="Symbol" w:hAnsi="Symbol"/>
      </w:rPr>
    </w:lvl>
    <w:lvl w:ilvl="2" w:tplc="588EBD08">
      <w:start w:val="1"/>
      <w:numFmt w:val="bullet"/>
      <w:lvlText w:val=""/>
      <w:lvlJc w:val="left"/>
      <w:pPr>
        <w:ind w:left="720" w:hanging="360"/>
      </w:pPr>
      <w:rPr>
        <w:rFonts w:ascii="Symbol" w:hAnsi="Symbol"/>
      </w:rPr>
    </w:lvl>
    <w:lvl w:ilvl="3" w:tplc="5778FD7C">
      <w:start w:val="1"/>
      <w:numFmt w:val="bullet"/>
      <w:lvlText w:val=""/>
      <w:lvlJc w:val="left"/>
      <w:pPr>
        <w:ind w:left="720" w:hanging="360"/>
      </w:pPr>
      <w:rPr>
        <w:rFonts w:ascii="Symbol" w:hAnsi="Symbol"/>
      </w:rPr>
    </w:lvl>
    <w:lvl w:ilvl="4" w:tplc="0F8264EA">
      <w:start w:val="1"/>
      <w:numFmt w:val="bullet"/>
      <w:lvlText w:val=""/>
      <w:lvlJc w:val="left"/>
      <w:pPr>
        <w:ind w:left="720" w:hanging="360"/>
      </w:pPr>
      <w:rPr>
        <w:rFonts w:ascii="Symbol" w:hAnsi="Symbol"/>
      </w:rPr>
    </w:lvl>
    <w:lvl w:ilvl="5" w:tplc="CABE8346">
      <w:start w:val="1"/>
      <w:numFmt w:val="bullet"/>
      <w:lvlText w:val=""/>
      <w:lvlJc w:val="left"/>
      <w:pPr>
        <w:ind w:left="720" w:hanging="360"/>
      </w:pPr>
      <w:rPr>
        <w:rFonts w:ascii="Symbol" w:hAnsi="Symbol"/>
      </w:rPr>
    </w:lvl>
    <w:lvl w:ilvl="6" w:tplc="9948D472">
      <w:start w:val="1"/>
      <w:numFmt w:val="bullet"/>
      <w:lvlText w:val=""/>
      <w:lvlJc w:val="left"/>
      <w:pPr>
        <w:ind w:left="720" w:hanging="360"/>
      </w:pPr>
      <w:rPr>
        <w:rFonts w:ascii="Symbol" w:hAnsi="Symbol"/>
      </w:rPr>
    </w:lvl>
    <w:lvl w:ilvl="7" w:tplc="B1FC83D6">
      <w:start w:val="1"/>
      <w:numFmt w:val="bullet"/>
      <w:lvlText w:val=""/>
      <w:lvlJc w:val="left"/>
      <w:pPr>
        <w:ind w:left="720" w:hanging="360"/>
      </w:pPr>
      <w:rPr>
        <w:rFonts w:ascii="Symbol" w:hAnsi="Symbol"/>
      </w:rPr>
    </w:lvl>
    <w:lvl w:ilvl="8" w:tplc="11F8B10C">
      <w:start w:val="1"/>
      <w:numFmt w:val="bullet"/>
      <w:lvlText w:val=""/>
      <w:lvlJc w:val="left"/>
      <w:pPr>
        <w:ind w:left="720" w:hanging="360"/>
      </w:pPr>
      <w:rPr>
        <w:rFonts w:ascii="Symbol" w:hAnsi="Symbol"/>
      </w:rPr>
    </w:lvl>
  </w:abstractNum>
  <w:abstractNum w:abstractNumId="3" w15:restartNumberingAfterBreak="0">
    <w:nsid w:val="32CF5AE7"/>
    <w:multiLevelType w:val="hybridMultilevel"/>
    <w:tmpl w:val="193EDD06"/>
    <w:lvl w:ilvl="0" w:tplc="ACC6DB54">
      <w:start w:val="1"/>
      <w:numFmt w:val="bullet"/>
      <w:lvlText w:val=""/>
      <w:lvlJc w:val="left"/>
      <w:pPr>
        <w:ind w:left="720" w:hanging="360"/>
      </w:pPr>
      <w:rPr>
        <w:rFonts w:ascii="Symbol" w:hAnsi="Symbol"/>
      </w:rPr>
    </w:lvl>
    <w:lvl w:ilvl="1" w:tplc="C228EB7C">
      <w:start w:val="1"/>
      <w:numFmt w:val="bullet"/>
      <w:lvlText w:val=""/>
      <w:lvlJc w:val="left"/>
      <w:pPr>
        <w:ind w:left="720" w:hanging="360"/>
      </w:pPr>
      <w:rPr>
        <w:rFonts w:ascii="Symbol" w:hAnsi="Symbol"/>
      </w:rPr>
    </w:lvl>
    <w:lvl w:ilvl="2" w:tplc="84BE06A6">
      <w:start w:val="1"/>
      <w:numFmt w:val="bullet"/>
      <w:lvlText w:val=""/>
      <w:lvlJc w:val="left"/>
      <w:pPr>
        <w:ind w:left="720" w:hanging="360"/>
      </w:pPr>
      <w:rPr>
        <w:rFonts w:ascii="Symbol" w:hAnsi="Symbol"/>
      </w:rPr>
    </w:lvl>
    <w:lvl w:ilvl="3" w:tplc="86387C74">
      <w:start w:val="1"/>
      <w:numFmt w:val="bullet"/>
      <w:lvlText w:val=""/>
      <w:lvlJc w:val="left"/>
      <w:pPr>
        <w:ind w:left="720" w:hanging="360"/>
      </w:pPr>
      <w:rPr>
        <w:rFonts w:ascii="Symbol" w:hAnsi="Symbol"/>
      </w:rPr>
    </w:lvl>
    <w:lvl w:ilvl="4" w:tplc="06B226CA">
      <w:start w:val="1"/>
      <w:numFmt w:val="bullet"/>
      <w:lvlText w:val=""/>
      <w:lvlJc w:val="left"/>
      <w:pPr>
        <w:ind w:left="720" w:hanging="360"/>
      </w:pPr>
      <w:rPr>
        <w:rFonts w:ascii="Symbol" w:hAnsi="Symbol"/>
      </w:rPr>
    </w:lvl>
    <w:lvl w:ilvl="5" w:tplc="9FBEA918">
      <w:start w:val="1"/>
      <w:numFmt w:val="bullet"/>
      <w:lvlText w:val=""/>
      <w:lvlJc w:val="left"/>
      <w:pPr>
        <w:ind w:left="720" w:hanging="360"/>
      </w:pPr>
      <w:rPr>
        <w:rFonts w:ascii="Symbol" w:hAnsi="Symbol"/>
      </w:rPr>
    </w:lvl>
    <w:lvl w:ilvl="6" w:tplc="A022DD8C">
      <w:start w:val="1"/>
      <w:numFmt w:val="bullet"/>
      <w:lvlText w:val=""/>
      <w:lvlJc w:val="left"/>
      <w:pPr>
        <w:ind w:left="720" w:hanging="360"/>
      </w:pPr>
      <w:rPr>
        <w:rFonts w:ascii="Symbol" w:hAnsi="Symbol"/>
      </w:rPr>
    </w:lvl>
    <w:lvl w:ilvl="7" w:tplc="E67A8A7C">
      <w:start w:val="1"/>
      <w:numFmt w:val="bullet"/>
      <w:lvlText w:val=""/>
      <w:lvlJc w:val="left"/>
      <w:pPr>
        <w:ind w:left="720" w:hanging="360"/>
      </w:pPr>
      <w:rPr>
        <w:rFonts w:ascii="Symbol" w:hAnsi="Symbol"/>
      </w:rPr>
    </w:lvl>
    <w:lvl w:ilvl="8" w:tplc="3634F040">
      <w:start w:val="1"/>
      <w:numFmt w:val="bullet"/>
      <w:lvlText w:val=""/>
      <w:lvlJc w:val="left"/>
      <w:pPr>
        <w:ind w:left="720" w:hanging="360"/>
      </w:pPr>
      <w:rPr>
        <w:rFonts w:ascii="Symbol" w:hAnsi="Symbol"/>
      </w:rPr>
    </w:lvl>
  </w:abstractNum>
  <w:abstractNum w:abstractNumId="4" w15:restartNumberingAfterBreak="0">
    <w:nsid w:val="33952BBF"/>
    <w:multiLevelType w:val="hybridMultilevel"/>
    <w:tmpl w:val="0728D432"/>
    <w:lvl w:ilvl="0" w:tplc="08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A1501"/>
    <w:multiLevelType w:val="hybridMultilevel"/>
    <w:tmpl w:val="053A0122"/>
    <w:lvl w:ilvl="0" w:tplc="BC1CFAAE">
      <w:start w:val="1"/>
      <w:numFmt w:val="bullet"/>
      <w:lvlText w:val=""/>
      <w:lvlJc w:val="left"/>
      <w:pPr>
        <w:ind w:left="720" w:hanging="360"/>
      </w:pPr>
      <w:rPr>
        <w:rFonts w:ascii="Symbol" w:hAnsi="Symbol"/>
      </w:rPr>
    </w:lvl>
    <w:lvl w:ilvl="1" w:tplc="9B9062F0">
      <w:start w:val="1"/>
      <w:numFmt w:val="bullet"/>
      <w:lvlText w:val=""/>
      <w:lvlJc w:val="left"/>
      <w:pPr>
        <w:ind w:left="720" w:hanging="360"/>
      </w:pPr>
      <w:rPr>
        <w:rFonts w:ascii="Symbol" w:hAnsi="Symbol"/>
      </w:rPr>
    </w:lvl>
    <w:lvl w:ilvl="2" w:tplc="1F288E34">
      <w:start w:val="1"/>
      <w:numFmt w:val="bullet"/>
      <w:lvlText w:val=""/>
      <w:lvlJc w:val="left"/>
      <w:pPr>
        <w:ind w:left="720" w:hanging="360"/>
      </w:pPr>
      <w:rPr>
        <w:rFonts w:ascii="Symbol" w:hAnsi="Symbol"/>
      </w:rPr>
    </w:lvl>
    <w:lvl w:ilvl="3" w:tplc="070EFC0C">
      <w:start w:val="1"/>
      <w:numFmt w:val="bullet"/>
      <w:lvlText w:val=""/>
      <w:lvlJc w:val="left"/>
      <w:pPr>
        <w:ind w:left="720" w:hanging="360"/>
      </w:pPr>
      <w:rPr>
        <w:rFonts w:ascii="Symbol" w:hAnsi="Symbol"/>
      </w:rPr>
    </w:lvl>
    <w:lvl w:ilvl="4" w:tplc="05504F00">
      <w:start w:val="1"/>
      <w:numFmt w:val="bullet"/>
      <w:lvlText w:val=""/>
      <w:lvlJc w:val="left"/>
      <w:pPr>
        <w:ind w:left="720" w:hanging="360"/>
      </w:pPr>
      <w:rPr>
        <w:rFonts w:ascii="Symbol" w:hAnsi="Symbol"/>
      </w:rPr>
    </w:lvl>
    <w:lvl w:ilvl="5" w:tplc="0E8EB710">
      <w:start w:val="1"/>
      <w:numFmt w:val="bullet"/>
      <w:lvlText w:val=""/>
      <w:lvlJc w:val="left"/>
      <w:pPr>
        <w:ind w:left="720" w:hanging="360"/>
      </w:pPr>
      <w:rPr>
        <w:rFonts w:ascii="Symbol" w:hAnsi="Symbol"/>
      </w:rPr>
    </w:lvl>
    <w:lvl w:ilvl="6" w:tplc="6C18457E">
      <w:start w:val="1"/>
      <w:numFmt w:val="bullet"/>
      <w:lvlText w:val=""/>
      <w:lvlJc w:val="left"/>
      <w:pPr>
        <w:ind w:left="720" w:hanging="360"/>
      </w:pPr>
      <w:rPr>
        <w:rFonts w:ascii="Symbol" w:hAnsi="Symbol"/>
      </w:rPr>
    </w:lvl>
    <w:lvl w:ilvl="7" w:tplc="89FE7146">
      <w:start w:val="1"/>
      <w:numFmt w:val="bullet"/>
      <w:lvlText w:val=""/>
      <w:lvlJc w:val="left"/>
      <w:pPr>
        <w:ind w:left="720" w:hanging="360"/>
      </w:pPr>
      <w:rPr>
        <w:rFonts w:ascii="Symbol" w:hAnsi="Symbol"/>
      </w:rPr>
    </w:lvl>
    <w:lvl w:ilvl="8" w:tplc="F7FABB0C">
      <w:start w:val="1"/>
      <w:numFmt w:val="bullet"/>
      <w:lvlText w:val=""/>
      <w:lvlJc w:val="left"/>
      <w:pPr>
        <w:ind w:left="720" w:hanging="360"/>
      </w:pPr>
      <w:rPr>
        <w:rFonts w:ascii="Symbol" w:hAnsi="Symbol"/>
      </w:rPr>
    </w:lvl>
  </w:abstractNum>
  <w:abstractNum w:abstractNumId="6" w15:restartNumberingAfterBreak="0">
    <w:nsid w:val="47791E75"/>
    <w:multiLevelType w:val="multilevel"/>
    <w:tmpl w:val="5CDCF2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FB05E06"/>
    <w:multiLevelType w:val="hybridMultilevel"/>
    <w:tmpl w:val="C8760DC6"/>
    <w:lvl w:ilvl="0" w:tplc="A0962722">
      <w:start w:val="1"/>
      <w:numFmt w:val="bullet"/>
      <w:lvlText w:val=""/>
      <w:lvlJc w:val="left"/>
      <w:pPr>
        <w:ind w:left="720" w:hanging="360"/>
      </w:pPr>
      <w:rPr>
        <w:rFonts w:ascii="Symbol" w:hAnsi="Symbol"/>
      </w:rPr>
    </w:lvl>
    <w:lvl w:ilvl="1" w:tplc="B1B6327C">
      <w:start w:val="1"/>
      <w:numFmt w:val="bullet"/>
      <w:lvlText w:val=""/>
      <w:lvlJc w:val="left"/>
      <w:pPr>
        <w:ind w:left="720" w:hanging="360"/>
      </w:pPr>
      <w:rPr>
        <w:rFonts w:ascii="Symbol" w:hAnsi="Symbol"/>
      </w:rPr>
    </w:lvl>
    <w:lvl w:ilvl="2" w:tplc="1032AFE0">
      <w:start w:val="1"/>
      <w:numFmt w:val="bullet"/>
      <w:lvlText w:val=""/>
      <w:lvlJc w:val="left"/>
      <w:pPr>
        <w:ind w:left="720" w:hanging="360"/>
      </w:pPr>
      <w:rPr>
        <w:rFonts w:ascii="Symbol" w:hAnsi="Symbol"/>
      </w:rPr>
    </w:lvl>
    <w:lvl w:ilvl="3" w:tplc="A61E3EDE">
      <w:start w:val="1"/>
      <w:numFmt w:val="bullet"/>
      <w:lvlText w:val=""/>
      <w:lvlJc w:val="left"/>
      <w:pPr>
        <w:ind w:left="720" w:hanging="360"/>
      </w:pPr>
      <w:rPr>
        <w:rFonts w:ascii="Symbol" w:hAnsi="Symbol"/>
      </w:rPr>
    </w:lvl>
    <w:lvl w:ilvl="4" w:tplc="34E0BFA8">
      <w:start w:val="1"/>
      <w:numFmt w:val="bullet"/>
      <w:lvlText w:val=""/>
      <w:lvlJc w:val="left"/>
      <w:pPr>
        <w:ind w:left="720" w:hanging="360"/>
      </w:pPr>
      <w:rPr>
        <w:rFonts w:ascii="Symbol" w:hAnsi="Symbol"/>
      </w:rPr>
    </w:lvl>
    <w:lvl w:ilvl="5" w:tplc="3E6E612A">
      <w:start w:val="1"/>
      <w:numFmt w:val="bullet"/>
      <w:lvlText w:val=""/>
      <w:lvlJc w:val="left"/>
      <w:pPr>
        <w:ind w:left="720" w:hanging="360"/>
      </w:pPr>
      <w:rPr>
        <w:rFonts w:ascii="Symbol" w:hAnsi="Symbol"/>
      </w:rPr>
    </w:lvl>
    <w:lvl w:ilvl="6" w:tplc="FCACF20A">
      <w:start w:val="1"/>
      <w:numFmt w:val="bullet"/>
      <w:lvlText w:val=""/>
      <w:lvlJc w:val="left"/>
      <w:pPr>
        <w:ind w:left="720" w:hanging="360"/>
      </w:pPr>
      <w:rPr>
        <w:rFonts w:ascii="Symbol" w:hAnsi="Symbol"/>
      </w:rPr>
    </w:lvl>
    <w:lvl w:ilvl="7" w:tplc="0F1E7484">
      <w:start w:val="1"/>
      <w:numFmt w:val="bullet"/>
      <w:lvlText w:val=""/>
      <w:lvlJc w:val="left"/>
      <w:pPr>
        <w:ind w:left="720" w:hanging="360"/>
      </w:pPr>
      <w:rPr>
        <w:rFonts w:ascii="Symbol" w:hAnsi="Symbol"/>
      </w:rPr>
    </w:lvl>
    <w:lvl w:ilvl="8" w:tplc="654ECD46">
      <w:start w:val="1"/>
      <w:numFmt w:val="bullet"/>
      <w:lvlText w:val=""/>
      <w:lvlJc w:val="left"/>
      <w:pPr>
        <w:ind w:left="720" w:hanging="360"/>
      </w:pPr>
      <w:rPr>
        <w:rFonts w:ascii="Symbol" w:hAnsi="Symbol"/>
      </w:rPr>
    </w:lvl>
  </w:abstractNum>
  <w:abstractNum w:abstractNumId="8" w15:restartNumberingAfterBreak="0">
    <w:nsid w:val="573F4455"/>
    <w:multiLevelType w:val="hybridMultilevel"/>
    <w:tmpl w:val="7700D942"/>
    <w:lvl w:ilvl="0" w:tplc="735066FC">
      <w:start w:val="1"/>
      <w:numFmt w:val="bullet"/>
      <w:lvlText w:val=""/>
      <w:lvlJc w:val="left"/>
      <w:pPr>
        <w:ind w:left="720" w:hanging="360"/>
      </w:pPr>
      <w:rPr>
        <w:rFonts w:ascii="Symbol" w:hAnsi="Symbol"/>
      </w:rPr>
    </w:lvl>
    <w:lvl w:ilvl="1" w:tplc="6EAEAB32">
      <w:start w:val="1"/>
      <w:numFmt w:val="bullet"/>
      <w:lvlText w:val=""/>
      <w:lvlJc w:val="left"/>
      <w:pPr>
        <w:ind w:left="720" w:hanging="360"/>
      </w:pPr>
      <w:rPr>
        <w:rFonts w:ascii="Symbol" w:hAnsi="Symbol"/>
      </w:rPr>
    </w:lvl>
    <w:lvl w:ilvl="2" w:tplc="1722FB48">
      <w:start w:val="1"/>
      <w:numFmt w:val="bullet"/>
      <w:lvlText w:val=""/>
      <w:lvlJc w:val="left"/>
      <w:pPr>
        <w:ind w:left="720" w:hanging="360"/>
      </w:pPr>
      <w:rPr>
        <w:rFonts w:ascii="Symbol" w:hAnsi="Symbol"/>
      </w:rPr>
    </w:lvl>
    <w:lvl w:ilvl="3" w:tplc="C2FCD0D4">
      <w:start w:val="1"/>
      <w:numFmt w:val="bullet"/>
      <w:lvlText w:val=""/>
      <w:lvlJc w:val="left"/>
      <w:pPr>
        <w:ind w:left="720" w:hanging="360"/>
      </w:pPr>
      <w:rPr>
        <w:rFonts w:ascii="Symbol" w:hAnsi="Symbol"/>
      </w:rPr>
    </w:lvl>
    <w:lvl w:ilvl="4" w:tplc="EE98074C">
      <w:start w:val="1"/>
      <w:numFmt w:val="bullet"/>
      <w:lvlText w:val=""/>
      <w:lvlJc w:val="left"/>
      <w:pPr>
        <w:ind w:left="720" w:hanging="360"/>
      </w:pPr>
      <w:rPr>
        <w:rFonts w:ascii="Symbol" w:hAnsi="Symbol"/>
      </w:rPr>
    </w:lvl>
    <w:lvl w:ilvl="5" w:tplc="3C8C101C">
      <w:start w:val="1"/>
      <w:numFmt w:val="bullet"/>
      <w:lvlText w:val=""/>
      <w:lvlJc w:val="left"/>
      <w:pPr>
        <w:ind w:left="720" w:hanging="360"/>
      </w:pPr>
      <w:rPr>
        <w:rFonts w:ascii="Symbol" w:hAnsi="Symbol"/>
      </w:rPr>
    </w:lvl>
    <w:lvl w:ilvl="6" w:tplc="7EE0D90A">
      <w:start w:val="1"/>
      <w:numFmt w:val="bullet"/>
      <w:lvlText w:val=""/>
      <w:lvlJc w:val="left"/>
      <w:pPr>
        <w:ind w:left="720" w:hanging="360"/>
      </w:pPr>
      <w:rPr>
        <w:rFonts w:ascii="Symbol" w:hAnsi="Symbol"/>
      </w:rPr>
    </w:lvl>
    <w:lvl w:ilvl="7" w:tplc="04F8E092">
      <w:start w:val="1"/>
      <w:numFmt w:val="bullet"/>
      <w:lvlText w:val=""/>
      <w:lvlJc w:val="left"/>
      <w:pPr>
        <w:ind w:left="720" w:hanging="360"/>
      </w:pPr>
      <w:rPr>
        <w:rFonts w:ascii="Symbol" w:hAnsi="Symbol"/>
      </w:rPr>
    </w:lvl>
    <w:lvl w:ilvl="8" w:tplc="F6A24F6C">
      <w:start w:val="1"/>
      <w:numFmt w:val="bullet"/>
      <w:lvlText w:val=""/>
      <w:lvlJc w:val="left"/>
      <w:pPr>
        <w:ind w:left="720" w:hanging="360"/>
      </w:pPr>
      <w:rPr>
        <w:rFonts w:ascii="Symbol" w:hAnsi="Symbol"/>
      </w:rPr>
    </w:lvl>
  </w:abstractNum>
  <w:abstractNum w:abstractNumId="9" w15:restartNumberingAfterBreak="0">
    <w:nsid w:val="600D15F3"/>
    <w:multiLevelType w:val="hybridMultilevel"/>
    <w:tmpl w:val="5134A57C"/>
    <w:lvl w:ilvl="0" w:tplc="01EC09CE">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0" w15:restartNumberingAfterBreak="0">
    <w:nsid w:val="6E5C0EEB"/>
    <w:multiLevelType w:val="hybridMultilevel"/>
    <w:tmpl w:val="F5DA475E"/>
    <w:lvl w:ilvl="0" w:tplc="4166361C">
      <w:start w:val="1"/>
      <w:numFmt w:val="bullet"/>
      <w:lvlText w:val=""/>
      <w:lvlJc w:val="left"/>
      <w:pPr>
        <w:ind w:left="720" w:hanging="360"/>
      </w:pPr>
      <w:rPr>
        <w:rFonts w:ascii="Symbol" w:hAnsi="Symbol"/>
      </w:rPr>
    </w:lvl>
    <w:lvl w:ilvl="1" w:tplc="1C14AD60">
      <w:start w:val="1"/>
      <w:numFmt w:val="bullet"/>
      <w:lvlText w:val=""/>
      <w:lvlJc w:val="left"/>
      <w:pPr>
        <w:ind w:left="720" w:hanging="360"/>
      </w:pPr>
      <w:rPr>
        <w:rFonts w:ascii="Symbol" w:hAnsi="Symbol"/>
      </w:rPr>
    </w:lvl>
    <w:lvl w:ilvl="2" w:tplc="DD604A92">
      <w:start w:val="1"/>
      <w:numFmt w:val="bullet"/>
      <w:lvlText w:val=""/>
      <w:lvlJc w:val="left"/>
      <w:pPr>
        <w:ind w:left="720" w:hanging="360"/>
      </w:pPr>
      <w:rPr>
        <w:rFonts w:ascii="Symbol" w:hAnsi="Symbol"/>
      </w:rPr>
    </w:lvl>
    <w:lvl w:ilvl="3" w:tplc="1FAE9F32">
      <w:start w:val="1"/>
      <w:numFmt w:val="bullet"/>
      <w:lvlText w:val=""/>
      <w:lvlJc w:val="left"/>
      <w:pPr>
        <w:ind w:left="720" w:hanging="360"/>
      </w:pPr>
      <w:rPr>
        <w:rFonts w:ascii="Symbol" w:hAnsi="Symbol"/>
      </w:rPr>
    </w:lvl>
    <w:lvl w:ilvl="4" w:tplc="B8B6A39C">
      <w:start w:val="1"/>
      <w:numFmt w:val="bullet"/>
      <w:lvlText w:val=""/>
      <w:lvlJc w:val="left"/>
      <w:pPr>
        <w:ind w:left="720" w:hanging="360"/>
      </w:pPr>
      <w:rPr>
        <w:rFonts w:ascii="Symbol" w:hAnsi="Symbol"/>
      </w:rPr>
    </w:lvl>
    <w:lvl w:ilvl="5" w:tplc="13E6D58C">
      <w:start w:val="1"/>
      <w:numFmt w:val="bullet"/>
      <w:lvlText w:val=""/>
      <w:lvlJc w:val="left"/>
      <w:pPr>
        <w:ind w:left="720" w:hanging="360"/>
      </w:pPr>
      <w:rPr>
        <w:rFonts w:ascii="Symbol" w:hAnsi="Symbol"/>
      </w:rPr>
    </w:lvl>
    <w:lvl w:ilvl="6" w:tplc="E7CE818E">
      <w:start w:val="1"/>
      <w:numFmt w:val="bullet"/>
      <w:lvlText w:val=""/>
      <w:lvlJc w:val="left"/>
      <w:pPr>
        <w:ind w:left="720" w:hanging="360"/>
      </w:pPr>
      <w:rPr>
        <w:rFonts w:ascii="Symbol" w:hAnsi="Symbol"/>
      </w:rPr>
    </w:lvl>
    <w:lvl w:ilvl="7" w:tplc="913652CE">
      <w:start w:val="1"/>
      <w:numFmt w:val="bullet"/>
      <w:lvlText w:val=""/>
      <w:lvlJc w:val="left"/>
      <w:pPr>
        <w:ind w:left="720" w:hanging="360"/>
      </w:pPr>
      <w:rPr>
        <w:rFonts w:ascii="Symbol" w:hAnsi="Symbol"/>
      </w:rPr>
    </w:lvl>
    <w:lvl w:ilvl="8" w:tplc="37ECD306">
      <w:start w:val="1"/>
      <w:numFmt w:val="bullet"/>
      <w:lvlText w:val=""/>
      <w:lvlJc w:val="left"/>
      <w:pPr>
        <w:ind w:left="720" w:hanging="360"/>
      </w:pPr>
      <w:rPr>
        <w:rFonts w:ascii="Symbol" w:hAnsi="Symbol"/>
      </w:rPr>
    </w:lvl>
  </w:abstractNum>
  <w:abstractNum w:abstractNumId="11" w15:restartNumberingAfterBreak="0">
    <w:nsid w:val="738D46E7"/>
    <w:multiLevelType w:val="multilevel"/>
    <w:tmpl w:val="2FB82A68"/>
    <w:lvl w:ilvl="0">
      <w:start w:val="1"/>
      <w:numFmt w:val="decimal"/>
      <w:lvlText w:val="%1."/>
      <w:lvlJc w:val="left"/>
      <w:pPr>
        <w:ind w:left="360" w:hanging="360"/>
      </w:pPr>
      <w:rPr>
        <w:rFonts w:ascii="Times New Roman" w:hAnsi="Times New Roman" w:cs="Times New Roman"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BA2851"/>
    <w:multiLevelType w:val="multilevel"/>
    <w:tmpl w:val="5CDCF2E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4"/>
  </w:num>
  <w:num w:numId="3">
    <w:abstractNumId w:val="11"/>
  </w:num>
  <w:num w:numId="4">
    <w:abstractNumId w:val="0"/>
  </w:num>
  <w:num w:numId="5">
    <w:abstractNumId w:val="6"/>
  </w:num>
  <w:num w:numId="6">
    <w:abstractNumId w:val="12"/>
  </w:num>
  <w:num w:numId="7">
    <w:abstractNumId w:val="2"/>
  </w:num>
  <w:num w:numId="8">
    <w:abstractNumId w:val="1"/>
  </w:num>
  <w:num w:numId="9">
    <w:abstractNumId w:val="7"/>
  </w:num>
  <w:num w:numId="10">
    <w:abstractNumId w:val="10"/>
  </w:num>
  <w:num w:numId="11">
    <w:abstractNumId w:val="5"/>
  </w:num>
  <w:num w:numId="12">
    <w:abstractNumId w:val="3"/>
  </w:num>
  <w:num w:numId="13">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985A41F0-425A-46ED-B217-EC064A348EF6"/>
    <w:docVar w:name="LW_COVERPAGE_TYPE" w:val="1"/>
    <w:docVar w:name="LW_CROSSREFERENCE" w:val="&lt;UNUSED&gt;"/>
    <w:docVar w:name="LW_DocType" w:val="NORMAL"/>
    <w:docVar w:name="LW_EMISSION" w:val="8.10.2025"/>
    <w:docVar w:name="LW_EMISSION_ISODATE" w:val="2025-10-08"/>
    <w:docVar w:name="LW_EMISSION_LOCATION" w:val="BRX"/>
    <w:docVar w:name="LW_EMISSION_PREFIX" w:val="\u1041?\u1088?\u1102?\u1082?\u1089?\u1077?\u1083?, "/>
    <w:docVar w:name="LW_EMISSION_SUFFIX" w:val=" \u1075?."/>
    <w:docVar w:name="LW_ID_DOCTYPE_NONLW" w:val="CP-014"/>
    <w:docVar w:name="LW_LANGUE" w:val="BG"/>
    <w:docVar w:name="LW_LEVEL_OF_SENSITIVITY" w:val="Standard treatment"/>
    <w:docVar w:name="LW_NOM.INST" w:val="\u1045?\u1042?\u1056?\u1054?\u1055?\u1045?\u1049?\u1057?\u1050?\u1040? \u1050?\u1054?\u1052?\u1048?\u1057?\u1048?\u1071?"/>
    <w:docVar w:name="LW_NOM.INST_JOINTDOC" w:val="&lt;EMPTY&gt;"/>
    <w:docVar w:name="LW_PART_NBR" w:val="1"/>
    <w:docVar w:name="LW_PART_NBR_TOTAL" w:val="1"/>
    <w:docVar w:name="LW_REF.INST.NEW" w:val="COM"/>
    <w:docVar w:name="LW_REF.INST.NEW_ADOPTED" w:val="final"/>
    <w:docVar w:name="LW_REF.INST.NEW_TEXT" w:val="(2025) 725"/>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1057?\u1098?\u1102?\u1079? \u1085?\u1072? \u1088?\u1072?\u1074?\u1077?\u1085?\u1089?\u1090?\u1074?\u1086?: \u1057?\u1090?\u1088?\u1072?\u1090?\u1077?\u1075?\u1080?\u1103? \u1079?\u1072? \u1088?\u1072?\u1074?\u1085?\u1086?\u1087?\u1086?\u1089?\u1090?\u1072?\u1074?\u1077?\u1085?\u1086?\u1089?\u1090? \u1085?\u1072? \u1051?\u1043?\u1041?\u1058?\u1048?\u1050?+ \u1079?\u1072? 2026\u8212?2030 \u1075?."/>
    <w:docVar w:name="LW_TYPE.DOC.CP" w:val="\u1057?\u1066?\u1054?\u1041?\u1065?\u1045?\u1053?\u1048?\u1045? \u1053?\u1040? \u1050?\u1054?\u1052?\u1048?\u1057?\u1048?\u1071?\u1058?\u1040? \u1044?\u1054? \u1045?\u1042?\u1056?\u1054?\u1055?\u1045?\u1049?\u1057?\u1050?\u1048?\u1071? \u1055?\u1040?\u1056?\u1051?\u1040?\u1052?\u1045?\u1053?\u1058?, \u1057?\u1066?\u1042?\u1045?\u1058?\u1040?, \u1045?\u1042?\u1056?\u1054?\u1055?\u1045?\u1049?\u1057?\u1050?\u1048?\u1071? \u1048?\u1050?\u1054?\u1053?\u1054?\u1052?\u1048?\u1063?\u1045?\u1057?\u1050?\u1048? \u1048? \u1057?\u1054?\u1062?\u1048?\u1040?\u1051?\u1045?\u1053? \u1050?\u1054?\u1052?\u1048?\u1058?\u1045?\u1058? \u1048? \u1050?\u1054?\u1052?\u1048?\u1058?\u1045?\u1058?\u1040? \u1053?\u1040? \u1056?\u1045?\u1043?\u1048?\u1054?\u1053?\u1048?\u1058?\u1045?"/>
    <w:docVar w:name="LW_TYPE.DOC.CP.USERTEXT" w:val="&lt;EMPTY&gt;"/>
    <w:docVar w:name="LwApiVersions" w:val="LW4CoDe 1.24.5.0; LW 9.0, Build 20240221"/>
    <w:docVar w:name="Stamp" w:val="\\dossiers.dgt.cec.eu.int\dossiers\JUST\JUST-2025-06109\JUST-2025-06109-00-00-EN-EDT-00.202509031555199707686.DOCX"/>
  </w:docVars>
  <w:rsids>
    <w:rsidRoot w:val="00F83182"/>
    <w:rsid w:val="00000237"/>
    <w:rsid w:val="0000052E"/>
    <w:rsid w:val="000008B3"/>
    <w:rsid w:val="00000AA8"/>
    <w:rsid w:val="00000FA3"/>
    <w:rsid w:val="00001072"/>
    <w:rsid w:val="000010E9"/>
    <w:rsid w:val="0000115A"/>
    <w:rsid w:val="0000150E"/>
    <w:rsid w:val="00001B7C"/>
    <w:rsid w:val="000020B7"/>
    <w:rsid w:val="00002113"/>
    <w:rsid w:val="00002441"/>
    <w:rsid w:val="00002801"/>
    <w:rsid w:val="0000296B"/>
    <w:rsid w:val="00002AE2"/>
    <w:rsid w:val="00002E88"/>
    <w:rsid w:val="00002ED8"/>
    <w:rsid w:val="00003685"/>
    <w:rsid w:val="00003697"/>
    <w:rsid w:val="000038A5"/>
    <w:rsid w:val="00003C77"/>
    <w:rsid w:val="00003F59"/>
    <w:rsid w:val="0000405E"/>
    <w:rsid w:val="000041B6"/>
    <w:rsid w:val="00004532"/>
    <w:rsid w:val="0000455B"/>
    <w:rsid w:val="0000456E"/>
    <w:rsid w:val="0000457F"/>
    <w:rsid w:val="00004879"/>
    <w:rsid w:val="00004D51"/>
    <w:rsid w:val="000051DD"/>
    <w:rsid w:val="00005962"/>
    <w:rsid w:val="00006743"/>
    <w:rsid w:val="00007128"/>
    <w:rsid w:val="000079EF"/>
    <w:rsid w:val="00007ACF"/>
    <w:rsid w:val="000101A1"/>
    <w:rsid w:val="0001075F"/>
    <w:rsid w:val="00010AA2"/>
    <w:rsid w:val="00010BA6"/>
    <w:rsid w:val="000112F8"/>
    <w:rsid w:val="00011657"/>
    <w:rsid w:val="00011891"/>
    <w:rsid w:val="000118E8"/>
    <w:rsid w:val="00011D54"/>
    <w:rsid w:val="0001208C"/>
    <w:rsid w:val="000120C4"/>
    <w:rsid w:val="000122E6"/>
    <w:rsid w:val="00012846"/>
    <w:rsid w:val="000129EB"/>
    <w:rsid w:val="00012AB2"/>
    <w:rsid w:val="00013182"/>
    <w:rsid w:val="000132E0"/>
    <w:rsid w:val="0001336D"/>
    <w:rsid w:val="00013542"/>
    <w:rsid w:val="0001373B"/>
    <w:rsid w:val="00013996"/>
    <w:rsid w:val="00014657"/>
    <w:rsid w:val="00014F0E"/>
    <w:rsid w:val="0001534F"/>
    <w:rsid w:val="00015355"/>
    <w:rsid w:val="000153F2"/>
    <w:rsid w:val="00015AFD"/>
    <w:rsid w:val="00015BC4"/>
    <w:rsid w:val="00015BF3"/>
    <w:rsid w:val="00015C04"/>
    <w:rsid w:val="00015D19"/>
    <w:rsid w:val="00015D96"/>
    <w:rsid w:val="00015E45"/>
    <w:rsid w:val="00015E91"/>
    <w:rsid w:val="00015EEA"/>
    <w:rsid w:val="00016699"/>
    <w:rsid w:val="00016B5C"/>
    <w:rsid w:val="00016BA7"/>
    <w:rsid w:val="00016BDD"/>
    <w:rsid w:val="00016C72"/>
    <w:rsid w:val="000173A5"/>
    <w:rsid w:val="000175B5"/>
    <w:rsid w:val="00017707"/>
    <w:rsid w:val="00017FA8"/>
    <w:rsid w:val="00020072"/>
    <w:rsid w:val="00020C93"/>
    <w:rsid w:val="00020F68"/>
    <w:rsid w:val="00021B06"/>
    <w:rsid w:val="00021BF5"/>
    <w:rsid w:val="00021FFE"/>
    <w:rsid w:val="0002209C"/>
    <w:rsid w:val="0002218A"/>
    <w:rsid w:val="000222CB"/>
    <w:rsid w:val="000223C2"/>
    <w:rsid w:val="000227D8"/>
    <w:rsid w:val="000228EB"/>
    <w:rsid w:val="00022AEE"/>
    <w:rsid w:val="00022F37"/>
    <w:rsid w:val="00022F92"/>
    <w:rsid w:val="000238E9"/>
    <w:rsid w:val="00023978"/>
    <w:rsid w:val="000239A4"/>
    <w:rsid w:val="00023CC8"/>
    <w:rsid w:val="00023D56"/>
    <w:rsid w:val="00024126"/>
    <w:rsid w:val="00024285"/>
    <w:rsid w:val="000244E1"/>
    <w:rsid w:val="0002458C"/>
    <w:rsid w:val="00024647"/>
    <w:rsid w:val="00024908"/>
    <w:rsid w:val="000250DB"/>
    <w:rsid w:val="00025146"/>
    <w:rsid w:val="000258D9"/>
    <w:rsid w:val="00025919"/>
    <w:rsid w:val="00025A81"/>
    <w:rsid w:val="00025E20"/>
    <w:rsid w:val="00026257"/>
    <w:rsid w:val="00026382"/>
    <w:rsid w:val="0002661B"/>
    <w:rsid w:val="00026928"/>
    <w:rsid w:val="000270AB"/>
    <w:rsid w:val="000274AA"/>
    <w:rsid w:val="00027A17"/>
    <w:rsid w:val="0003037B"/>
    <w:rsid w:val="000306B6"/>
    <w:rsid w:val="00030DEB"/>
    <w:rsid w:val="000312E8"/>
    <w:rsid w:val="00031538"/>
    <w:rsid w:val="00031832"/>
    <w:rsid w:val="00031F6D"/>
    <w:rsid w:val="000325B4"/>
    <w:rsid w:val="0003273F"/>
    <w:rsid w:val="00032DC5"/>
    <w:rsid w:val="00032E40"/>
    <w:rsid w:val="00032F61"/>
    <w:rsid w:val="000330DE"/>
    <w:rsid w:val="0003326A"/>
    <w:rsid w:val="000333FA"/>
    <w:rsid w:val="00033410"/>
    <w:rsid w:val="000334DC"/>
    <w:rsid w:val="000334FF"/>
    <w:rsid w:val="0003369F"/>
    <w:rsid w:val="00033847"/>
    <w:rsid w:val="000338A7"/>
    <w:rsid w:val="000338D1"/>
    <w:rsid w:val="00033C3A"/>
    <w:rsid w:val="00033D68"/>
    <w:rsid w:val="00033FAA"/>
    <w:rsid w:val="00034446"/>
    <w:rsid w:val="0003473C"/>
    <w:rsid w:val="00034B32"/>
    <w:rsid w:val="00034B9E"/>
    <w:rsid w:val="00034C24"/>
    <w:rsid w:val="00034E56"/>
    <w:rsid w:val="00035302"/>
    <w:rsid w:val="00035518"/>
    <w:rsid w:val="000355E6"/>
    <w:rsid w:val="00035B2A"/>
    <w:rsid w:val="00035F63"/>
    <w:rsid w:val="00036014"/>
    <w:rsid w:val="00036143"/>
    <w:rsid w:val="00036C21"/>
    <w:rsid w:val="00037145"/>
    <w:rsid w:val="000372A0"/>
    <w:rsid w:val="000375A2"/>
    <w:rsid w:val="00037C15"/>
    <w:rsid w:val="00037E71"/>
    <w:rsid w:val="000400C0"/>
    <w:rsid w:val="00040162"/>
    <w:rsid w:val="0004042B"/>
    <w:rsid w:val="000405D0"/>
    <w:rsid w:val="000408E6"/>
    <w:rsid w:val="0004090D"/>
    <w:rsid w:val="00041557"/>
    <w:rsid w:val="00041763"/>
    <w:rsid w:val="00041C62"/>
    <w:rsid w:val="00041E34"/>
    <w:rsid w:val="00041EA3"/>
    <w:rsid w:val="00041EE7"/>
    <w:rsid w:val="00042355"/>
    <w:rsid w:val="00042A4F"/>
    <w:rsid w:val="00043102"/>
    <w:rsid w:val="00043171"/>
    <w:rsid w:val="00043227"/>
    <w:rsid w:val="00043460"/>
    <w:rsid w:val="0004371B"/>
    <w:rsid w:val="00043924"/>
    <w:rsid w:val="000441E8"/>
    <w:rsid w:val="000441EC"/>
    <w:rsid w:val="000443EA"/>
    <w:rsid w:val="0004443E"/>
    <w:rsid w:val="00044C06"/>
    <w:rsid w:val="00045058"/>
    <w:rsid w:val="00045907"/>
    <w:rsid w:val="00045CB2"/>
    <w:rsid w:val="00045D6C"/>
    <w:rsid w:val="00046281"/>
    <w:rsid w:val="000463B9"/>
    <w:rsid w:val="000464F9"/>
    <w:rsid w:val="00046B15"/>
    <w:rsid w:val="00046CB3"/>
    <w:rsid w:val="00047CBD"/>
    <w:rsid w:val="00050442"/>
    <w:rsid w:val="00050745"/>
    <w:rsid w:val="00050909"/>
    <w:rsid w:val="0005090F"/>
    <w:rsid w:val="0005099B"/>
    <w:rsid w:val="00050D38"/>
    <w:rsid w:val="00050E0A"/>
    <w:rsid w:val="00050E66"/>
    <w:rsid w:val="000514C1"/>
    <w:rsid w:val="00051810"/>
    <w:rsid w:val="00051846"/>
    <w:rsid w:val="00051A6C"/>
    <w:rsid w:val="00051EEB"/>
    <w:rsid w:val="00051FD6"/>
    <w:rsid w:val="0005246F"/>
    <w:rsid w:val="00052760"/>
    <w:rsid w:val="000536B5"/>
    <w:rsid w:val="000536E4"/>
    <w:rsid w:val="00053971"/>
    <w:rsid w:val="000539EA"/>
    <w:rsid w:val="00053AE7"/>
    <w:rsid w:val="00053D11"/>
    <w:rsid w:val="00053D32"/>
    <w:rsid w:val="00054022"/>
    <w:rsid w:val="00054342"/>
    <w:rsid w:val="0005441F"/>
    <w:rsid w:val="0005452C"/>
    <w:rsid w:val="00054A38"/>
    <w:rsid w:val="00054C0D"/>
    <w:rsid w:val="00054FC6"/>
    <w:rsid w:val="00054FF8"/>
    <w:rsid w:val="000555D2"/>
    <w:rsid w:val="00055B3A"/>
    <w:rsid w:val="000562BA"/>
    <w:rsid w:val="000562EC"/>
    <w:rsid w:val="00056879"/>
    <w:rsid w:val="0005692C"/>
    <w:rsid w:val="00056C07"/>
    <w:rsid w:val="00056C57"/>
    <w:rsid w:val="00056F92"/>
    <w:rsid w:val="0005723A"/>
    <w:rsid w:val="00057654"/>
    <w:rsid w:val="000576FB"/>
    <w:rsid w:val="00057831"/>
    <w:rsid w:val="000578B0"/>
    <w:rsid w:val="0006022B"/>
    <w:rsid w:val="000602B4"/>
    <w:rsid w:val="000609D0"/>
    <w:rsid w:val="00060ACA"/>
    <w:rsid w:val="00060D4F"/>
    <w:rsid w:val="00061303"/>
    <w:rsid w:val="0006149A"/>
    <w:rsid w:val="000614E6"/>
    <w:rsid w:val="000615CB"/>
    <w:rsid w:val="00061A46"/>
    <w:rsid w:val="00061C52"/>
    <w:rsid w:val="00061F1A"/>
    <w:rsid w:val="000620E4"/>
    <w:rsid w:val="000620FD"/>
    <w:rsid w:val="0006215A"/>
    <w:rsid w:val="000621EF"/>
    <w:rsid w:val="000624F5"/>
    <w:rsid w:val="00062789"/>
    <w:rsid w:val="00062EAF"/>
    <w:rsid w:val="00062EB7"/>
    <w:rsid w:val="000632BA"/>
    <w:rsid w:val="00063D17"/>
    <w:rsid w:val="00063D35"/>
    <w:rsid w:val="00063D63"/>
    <w:rsid w:val="00064870"/>
    <w:rsid w:val="00064962"/>
    <w:rsid w:val="000649BE"/>
    <w:rsid w:val="000649C1"/>
    <w:rsid w:val="00064C75"/>
    <w:rsid w:val="00064CD8"/>
    <w:rsid w:val="0006501D"/>
    <w:rsid w:val="00065025"/>
    <w:rsid w:val="00065091"/>
    <w:rsid w:val="00065163"/>
    <w:rsid w:val="000653D8"/>
    <w:rsid w:val="00065712"/>
    <w:rsid w:val="00065763"/>
    <w:rsid w:val="00065AD7"/>
    <w:rsid w:val="0006600D"/>
    <w:rsid w:val="0006635F"/>
    <w:rsid w:val="0006683F"/>
    <w:rsid w:val="0006691A"/>
    <w:rsid w:val="00066C89"/>
    <w:rsid w:val="000672D4"/>
    <w:rsid w:val="0006730A"/>
    <w:rsid w:val="000676BB"/>
    <w:rsid w:val="000676D8"/>
    <w:rsid w:val="0006783A"/>
    <w:rsid w:val="00067B5A"/>
    <w:rsid w:val="00067C63"/>
    <w:rsid w:val="00067C68"/>
    <w:rsid w:val="00067FCC"/>
    <w:rsid w:val="0007021E"/>
    <w:rsid w:val="00070251"/>
    <w:rsid w:val="00070575"/>
    <w:rsid w:val="000707E5"/>
    <w:rsid w:val="00070AC0"/>
    <w:rsid w:val="00070D36"/>
    <w:rsid w:val="00070F94"/>
    <w:rsid w:val="00071016"/>
    <w:rsid w:val="000711B4"/>
    <w:rsid w:val="00071B80"/>
    <w:rsid w:val="00072053"/>
    <w:rsid w:val="0007263C"/>
    <w:rsid w:val="0007272B"/>
    <w:rsid w:val="0007279D"/>
    <w:rsid w:val="000728A6"/>
    <w:rsid w:val="000733F1"/>
    <w:rsid w:val="00073A32"/>
    <w:rsid w:val="000741E4"/>
    <w:rsid w:val="00074590"/>
    <w:rsid w:val="000745D1"/>
    <w:rsid w:val="000748F4"/>
    <w:rsid w:val="00074AC0"/>
    <w:rsid w:val="00074EDE"/>
    <w:rsid w:val="00075521"/>
    <w:rsid w:val="00075593"/>
    <w:rsid w:val="00075653"/>
    <w:rsid w:val="00075745"/>
    <w:rsid w:val="000757A5"/>
    <w:rsid w:val="00075AB8"/>
    <w:rsid w:val="00075B5E"/>
    <w:rsid w:val="00075B86"/>
    <w:rsid w:val="00075D4A"/>
    <w:rsid w:val="00076160"/>
    <w:rsid w:val="00076208"/>
    <w:rsid w:val="00076936"/>
    <w:rsid w:val="000775DF"/>
    <w:rsid w:val="00077605"/>
    <w:rsid w:val="00077670"/>
    <w:rsid w:val="00077B4F"/>
    <w:rsid w:val="00080402"/>
    <w:rsid w:val="00080666"/>
    <w:rsid w:val="00080853"/>
    <w:rsid w:val="00080903"/>
    <w:rsid w:val="000809D4"/>
    <w:rsid w:val="000810F9"/>
    <w:rsid w:val="00081324"/>
    <w:rsid w:val="00081915"/>
    <w:rsid w:val="0008251C"/>
    <w:rsid w:val="0008291F"/>
    <w:rsid w:val="00082D4E"/>
    <w:rsid w:val="00083685"/>
    <w:rsid w:val="0008381D"/>
    <w:rsid w:val="00084728"/>
    <w:rsid w:val="00084774"/>
    <w:rsid w:val="000855C7"/>
    <w:rsid w:val="0008589C"/>
    <w:rsid w:val="00085920"/>
    <w:rsid w:val="000861CB"/>
    <w:rsid w:val="000866A5"/>
    <w:rsid w:val="000867BF"/>
    <w:rsid w:val="0008698B"/>
    <w:rsid w:val="00086AFC"/>
    <w:rsid w:val="00086B6F"/>
    <w:rsid w:val="00086C33"/>
    <w:rsid w:val="00086D19"/>
    <w:rsid w:val="00087036"/>
    <w:rsid w:val="00087090"/>
    <w:rsid w:val="00087194"/>
    <w:rsid w:val="000875A9"/>
    <w:rsid w:val="00087ADD"/>
    <w:rsid w:val="00087B05"/>
    <w:rsid w:val="00087CCE"/>
    <w:rsid w:val="00090235"/>
    <w:rsid w:val="00090B8B"/>
    <w:rsid w:val="00090F48"/>
    <w:rsid w:val="00090F69"/>
    <w:rsid w:val="00091130"/>
    <w:rsid w:val="000911DA"/>
    <w:rsid w:val="00091306"/>
    <w:rsid w:val="0009142F"/>
    <w:rsid w:val="00092795"/>
    <w:rsid w:val="0009296D"/>
    <w:rsid w:val="00092B8D"/>
    <w:rsid w:val="00092E96"/>
    <w:rsid w:val="0009322C"/>
    <w:rsid w:val="000935CB"/>
    <w:rsid w:val="00093F06"/>
    <w:rsid w:val="00094288"/>
    <w:rsid w:val="0009459D"/>
    <w:rsid w:val="00094A91"/>
    <w:rsid w:val="00094CE4"/>
    <w:rsid w:val="00094F87"/>
    <w:rsid w:val="0009515C"/>
    <w:rsid w:val="0009544F"/>
    <w:rsid w:val="00095553"/>
    <w:rsid w:val="000959FC"/>
    <w:rsid w:val="00095B5F"/>
    <w:rsid w:val="00095F1E"/>
    <w:rsid w:val="00096A58"/>
    <w:rsid w:val="00096C71"/>
    <w:rsid w:val="0009754A"/>
    <w:rsid w:val="000975E6"/>
    <w:rsid w:val="00097713"/>
    <w:rsid w:val="000977D5"/>
    <w:rsid w:val="00097E0E"/>
    <w:rsid w:val="00097F9D"/>
    <w:rsid w:val="000A0114"/>
    <w:rsid w:val="000A0228"/>
    <w:rsid w:val="000A031B"/>
    <w:rsid w:val="000A0388"/>
    <w:rsid w:val="000A0423"/>
    <w:rsid w:val="000A052D"/>
    <w:rsid w:val="000A0B16"/>
    <w:rsid w:val="000A0D19"/>
    <w:rsid w:val="000A0D2A"/>
    <w:rsid w:val="000A0D36"/>
    <w:rsid w:val="000A1294"/>
    <w:rsid w:val="000A1821"/>
    <w:rsid w:val="000A1917"/>
    <w:rsid w:val="000A1B85"/>
    <w:rsid w:val="000A2CF4"/>
    <w:rsid w:val="000A3283"/>
    <w:rsid w:val="000A3794"/>
    <w:rsid w:val="000A3B84"/>
    <w:rsid w:val="000A40E0"/>
    <w:rsid w:val="000A40F1"/>
    <w:rsid w:val="000A415F"/>
    <w:rsid w:val="000A41E1"/>
    <w:rsid w:val="000A4328"/>
    <w:rsid w:val="000A455D"/>
    <w:rsid w:val="000A46D4"/>
    <w:rsid w:val="000A475A"/>
    <w:rsid w:val="000A4858"/>
    <w:rsid w:val="000A4FCE"/>
    <w:rsid w:val="000A5088"/>
    <w:rsid w:val="000A526C"/>
    <w:rsid w:val="000A55BD"/>
    <w:rsid w:val="000A5F3A"/>
    <w:rsid w:val="000A6548"/>
    <w:rsid w:val="000A6BBC"/>
    <w:rsid w:val="000A6D93"/>
    <w:rsid w:val="000A6E65"/>
    <w:rsid w:val="000A6EF8"/>
    <w:rsid w:val="000A6F23"/>
    <w:rsid w:val="000A759C"/>
    <w:rsid w:val="000A7788"/>
    <w:rsid w:val="000A79A1"/>
    <w:rsid w:val="000A7A23"/>
    <w:rsid w:val="000A7AA5"/>
    <w:rsid w:val="000A7C6D"/>
    <w:rsid w:val="000B052A"/>
    <w:rsid w:val="000B0785"/>
    <w:rsid w:val="000B07D6"/>
    <w:rsid w:val="000B082F"/>
    <w:rsid w:val="000B0A19"/>
    <w:rsid w:val="000B1232"/>
    <w:rsid w:val="000B1244"/>
    <w:rsid w:val="000B1484"/>
    <w:rsid w:val="000B1641"/>
    <w:rsid w:val="000B1756"/>
    <w:rsid w:val="000B1C0A"/>
    <w:rsid w:val="000B20F3"/>
    <w:rsid w:val="000B25A6"/>
    <w:rsid w:val="000B2B98"/>
    <w:rsid w:val="000B32E2"/>
    <w:rsid w:val="000B3330"/>
    <w:rsid w:val="000B3AA7"/>
    <w:rsid w:val="000B3ACE"/>
    <w:rsid w:val="000B3C7F"/>
    <w:rsid w:val="000B3CB1"/>
    <w:rsid w:val="000B3E81"/>
    <w:rsid w:val="000B4386"/>
    <w:rsid w:val="000B47A2"/>
    <w:rsid w:val="000B4D90"/>
    <w:rsid w:val="000B4E99"/>
    <w:rsid w:val="000B4F23"/>
    <w:rsid w:val="000B540A"/>
    <w:rsid w:val="000B586B"/>
    <w:rsid w:val="000B5BE6"/>
    <w:rsid w:val="000B61DF"/>
    <w:rsid w:val="000B6560"/>
    <w:rsid w:val="000B68A3"/>
    <w:rsid w:val="000B6C72"/>
    <w:rsid w:val="000B7B04"/>
    <w:rsid w:val="000B7BE2"/>
    <w:rsid w:val="000B7DE3"/>
    <w:rsid w:val="000C0247"/>
    <w:rsid w:val="000C0285"/>
    <w:rsid w:val="000C0C25"/>
    <w:rsid w:val="000C1243"/>
    <w:rsid w:val="000C14DE"/>
    <w:rsid w:val="000C1990"/>
    <w:rsid w:val="000C1EDF"/>
    <w:rsid w:val="000C21AC"/>
    <w:rsid w:val="000C25DA"/>
    <w:rsid w:val="000C28E1"/>
    <w:rsid w:val="000C29B2"/>
    <w:rsid w:val="000C2D5C"/>
    <w:rsid w:val="000C324C"/>
    <w:rsid w:val="000C35F5"/>
    <w:rsid w:val="000C372B"/>
    <w:rsid w:val="000C3921"/>
    <w:rsid w:val="000C3BD4"/>
    <w:rsid w:val="000C400D"/>
    <w:rsid w:val="000C4182"/>
    <w:rsid w:val="000C41DD"/>
    <w:rsid w:val="000C481D"/>
    <w:rsid w:val="000C4EDD"/>
    <w:rsid w:val="000C4F3C"/>
    <w:rsid w:val="000C553C"/>
    <w:rsid w:val="000C5778"/>
    <w:rsid w:val="000C5A06"/>
    <w:rsid w:val="000C5DAA"/>
    <w:rsid w:val="000C5E97"/>
    <w:rsid w:val="000C63DA"/>
    <w:rsid w:val="000C64E4"/>
    <w:rsid w:val="000C693A"/>
    <w:rsid w:val="000C6D63"/>
    <w:rsid w:val="000C6E11"/>
    <w:rsid w:val="000C7198"/>
    <w:rsid w:val="000C76F7"/>
    <w:rsid w:val="000C77B0"/>
    <w:rsid w:val="000C7C01"/>
    <w:rsid w:val="000C7C27"/>
    <w:rsid w:val="000C7D4F"/>
    <w:rsid w:val="000C7EB9"/>
    <w:rsid w:val="000D0035"/>
    <w:rsid w:val="000D081E"/>
    <w:rsid w:val="000D0F93"/>
    <w:rsid w:val="000D1012"/>
    <w:rsid w:val="000D13ED"/>
    <w:rsid w:val="000D1627"/>
    <w:rsid w:val="000D1AB4"/>
    <w:rsid w:val="000D1B57"/>
    <w:rsid w:val="000D1C16"/>
    <w:rsid w:val="000D26DC"/>
    <w:rsid w:val="000D2AB0"/>
    <w:rsid w:val="000D2B1B"/>
    <w:rsid w:val="000D2EAA"/>
    <w:rsid w:val="000D2FCD"/>
    <w:rsid w:val="000D36DE"/>
    <w:rsid w:val="000D3809"/>
    <w:rsid w:val="000D3C16"/>
    <w:rsid w:val="000D428E"/>
    <w:rsid w:val="000D43E3"/>
    <w:rsid w:val="000D44A9"/>
    <w:rsid w:val="000D4570"/>
    <w:rsid w:val="000D4945"/>
    <w:rsid w:val="000D4DBF"/>
    <w:rsid w:val="000D4F4A"/>
    <w:rsid w:val="000D52D5"/>
    <w:rsid w:val="000D54D7"/>
    <w:rsid w:val="000D54DB"/>
    <w:rsid w:val="000D54F7"/>
    <w:rsid w:val="000D580D"/>
    <w:rsid w:val="000D59E7"/>
    <w:rsid w:val="000D5AAA"/>
    <w:rsid w:val="000D5C50"/>
    <w:rsid w:val="000D64B3"/>
    <w:rsid w:val="000D73AF"/>
    <w:rsid w:val="000D73FB"/>
    <w:rsid w:val="000D7604"/>
    <w:rsid w:val="000D77DD"/>
    <w:rsid w:val="000D7C80"/>
    <w:rsid w:val="000D7E3D"/>
    <w:rsid w:val="000D7F03"/>
    <w:rsid w:val="000D7F2B"/>
    <w:rsid w:val="000E0010"/>
    <w:rsid w:val="000E0250"/>
    <w:rsid w:val="000E073C"/>
    <w:rsid w:val="000E0939"/>
    <w:rsid w:val="000E0BB1"/>
    <w:rsid w:val="000E0DFB"/>
    <w:rsid w:val="000E1143"/>
    <w:rsid w:val="000E1276"/>
    <w:rsid w:val="000E1363"/>
    <w:rsid w:val="000E15F3"/>
    <w:rsid w:val="000E1691"/>
    <w:rsid w:val="000E1731"/>
    <w:rsid w:val="000E25FC"/>
    <w:rsid w:val="000E27D9"/>
    <w:rsid w:val="000E282F"/>
    <w:rsid w:val="000E2C89"/>
    <w:rsid w:val="000E2CBE"/>
    <w:rsid w:val="000E2E16"/>
    <w:rsid w:val="000E2FBC"/>
    <w:rsid w:val="000E31F9"/>
    <w:rsid w:val="000E3364"/>
    <w:rsid w:val="000E356D"/>
    <w:rsid w:val="000E3651"/>
    <w:rsid w:val="000E3887"/>
    <w:rsid w:val="000E3C76"/>
    <w:rsid w:val="000E4088"/>
    <w:rsid w:val="000E4376"/>
    <w:rsid w:val="000E43C6"/>
    <w:rsid w:val="000E44AE"/>
    <w:rsid w:val="000E45DB"/>
    <w:rsid w:val="000E4692"/>
    <w:rsid w:val="000E4CEB"/>
    <w:rsid w:val="000E556E"/>
    <w:rsid w:val="000E582E"/>
    <w:rsid w:val="000E5ADE"/>
    <w:rsid w:val="000E5AEE"/>
    <w:rsid w:val="000E5F03"/>
    <w:rsid w:val="000E663B"/>
    <w:rsid w:val="000E696C"/>
    <w:rsid w:val="000E7615"/>
    <w:rsid w:val="000E76D8"/>
    <w:rsid w:val="000E7C1F"/>
    <w:rsid w:val="000F0BD7"/>
    <w:rsid w:val="000F0EAE"/>
    <w:rsid w:val="000F1275"/>
    <w:rsid w:val="000F16F5"/>
    <w:rsid w:val="000F182A"/>
    <w:rsid w:val="000F1F05"/>
    <w:rsid w:val="000F1F2F"/>
    <w:rsid w:val="000F2259"/>
    <w:rsid w:val="000F25E0"/>
    <w:rsid w:val="000F2A5D"/>
    <w:rsid w:val="000F2DC8"/>
    <w:rsid w:val="000F3425"/>
    <w:rsid w:val="000F3810"/>
    <w:rsid w:val="000F429B"/>
    <w:rsid w:val="000F47DC"/>
    <w:rsid w:val="000F4946"/>
    <w:rsid w:val="000F49C5"/>
    <w:rsid w:val="000F4E0C"/>
    <w:rsid w:val="000F552D"/>
    <w:rsid w:val="000F5580"/>
    <w:rsid w:val="000F55F4"/>
    <w:rsid w:val="000F5697"/>
    <w:rsid w:val="000F5757"/>
    <w:rsid w:val="000F5A8A"/>
    <w:rsid w:val="000F5ACC"/>
    <w:rsid w:val="000F5B5B"/>
    <w:rsid w:val="000F5B8F"/>
    <w:rsid w:val="000F5CAE"/>
    <w:rsid w:val="000F6094"/>
    <w:rsid w:val="000F62B1"/>
    <w:rsid w:val="000F6470"/>
    <w:rsid w:val="000F65DB"/>
    <w:rsid w:val="000F6777"/>
    <w:rsid w:val="000F690D"/>
    <w:rsid w:val="000F69DF"/>
    <w:rsid w:val="000F6C56"/>
    <w:rsid w:val="000F719A"/>
    <w:rsid w:val="000F735D"/>
    <w:rsid w:val="000F7E53"/>
    <w:rsid w:val="001000E3"/>
    <w:rsid w:val="00100295"/>
    <w:rsid w:val="001002B2"/>
    <w:rsid w:val="00100537"/>
    <w:rsid w:val="001005B5"/>
    <w:rsid w:val="00100FA0"/>
    <w:rsid w:val="00101770"/>
    <w:rsid w:val="001017C4"/>
    <w:rsid w:val="00101EA2"/>
    <w:rsid w:val="00101FDC"/>
    <w:rsid w:val="0010202C"/>
    <w:rsid w:val="00102394"/>
    <w:rsid w:val="00102C32"/>
    <w:rsid w:val="0010348F"/>
    <w:rsid w:val="001036D4"/>
    <w:rsid w:val="00103EAA"/>
    <w:rsid w:val="001042E8"/>
    <w:rsid w:val="0010489E"/>
    <w:rsid w:val="00104B3A"/>
    <w:rsid w:val="00105221"/>
    <w:rsid w:val="0010537F"/>
    <w:rsid w:val="00105653"/>
    <w:rsid w:val="00105A06"/>
    <w:rsid w:val="00105CBD"/>
    <w:rsid w:val="00105F09"/>
    <w:rsid w:val="00106135"/>
    <w:rsid w:val="00106370"/>
    <w:rsid w:val="001065B1"/>
    <w:rsid w:val="001069C1"/>
    <w:rsid w:val="00106CF1"/>
    <w:rsid w:val="001072E1"/>
    <w:rsid w:val="0010749E"/>
    <w:rsid w:val="001077AC"/>
    <w:rsid w:val="001079B4"/>
    <w:rsid w:val="00107A77"/>
    <w:rsid w:val="0011038B"/>
    <w:rsid w:val="001103A7"/>
    <w:rsid w:val="00110480"/>
    <w:rsid w:val="001105DA"/>
    <w:rsid w:val="00110714"/>
    <w:rsid w:val="00110769"/>
    <w:rsid w:val="001109FA"/>
    <w:rsid w:val="00110CB7"/>
    <w:rsid w:val="00110D5D"/>
    <w:rsid w:val="00110DAC"/>
    <w:rsid w:val="001111D1"/>
    <w:rsid w:val="00111377"/>
    <w:rsid w:val="001113C5"/>
    <w:rsid w:val="001116FB"/>
    <w:rsid w:val="00112080"/>
    <w:rsid w:val="00112519"/>
    <w:rsid w:val="00112636"/>
    <w:rsid w:val="001126EA"/>
    <w:rsid w:val="001127A9"/>
    <w:rsid w:val="00112D5F"/>
    <w:rsid w:val="00112FBF"/>
    <w:rsid w:val="00113846"/>
    <w:rsid w:val="00113869"/>
    <w:rsid w:val="00113876"/>
    <w:rsid w:val="00113B2B"/>
    <w:rsid w:val="00113E73"/>
    <w:rsid w:val="00114475"/>
    <w:rsid w:val="00114947"/>
    <w:rsid w:val="00114AD9"/>
    <w:rsid w:val="0011519A"/>
    <w:rsid w:val="0011533E"/>
    <w:rsid w:val="0011562B"/>
    <w:rsid w:val="0011565B"/>
    <w:rsid w:val="001156AC"/>
    <w:rsid w:val="00115D55"/>
    <w:rsid w:val="0011656E"/>
    <w:rsid w:val="00116688"/>
    <w:rsid w:val="00116796"/>
    <w:rsid w:val="00117480"/>
    <w:rsid w:val="00117C0F"/>
    <w:rsid w:val="00117C44"/>
    <w:rsid w:val="00117C79"/>
    <w:rsid w:val="00117DEC"/>
    <w:rsid w:val="00120B46"/>
    <w:rsid w:val="00120CDD"/>
    <w:rsid w:val="00120DC5"/>
    <w:rsid w:val="00121523"/>
    <w:rsid w:val="001216D6"/>
    <w:rsid w:val="0012172B"/>
    <w:rsid w:val="00121EC5"/>
    <w:rsid w:val="001222F7"/>
    <w:rsid w:val="00122810"/>
    <w:rsid w:val="00122884"/>
    <w:rsid w:val="00122AB3"/>
    <w:rsid w:val="00122BD2"/>
    <w:rsid w:val="00122BF5"/>
    <w:rsid w:val="00122E56"/>
    <w:rsid w:val="001230DF"/>
    <w:rsid w:val="001232EE"/>
    <w:rsid w:val="00123370"/>
    <w:rsid w:val="001237FB"/>
    <w:rsid w:val="0012384C"/>
    <w:rsid w:val="00123888"/>
    <w:rsid w:val="00123C2D"/>
    <w:rsid w:val="00123D77"/>
    <w:rsid w:val="00123EBA"/>
    <w:rsid w:val="00123FC4"/>
    <w:rsid w:val="00124525"/>
    <w:rsid w:val="00124791"/>
    <w:rsid w:val="00124803"/>
    <w:rsid w:val="00124860"/>
    <w:rsid w:val="00124C0A"/>
    <w:rsid w:val="00125454"/>
    <w:rsid w:val="00125BE6"/>
    <w:rsid w:val="00125CB7"/>
    <w:rsid w:val="00125F7B"/>
    <w:rsid w:val="0012614E"/>
    <w:rsid w:val="00126232"/>
    <w:rsid w:val="001264F6"/>
    <w:rsid w:val="00126824"/>
    <w:rsid w:val="00126C02"/>
    <w:rsid w:val="00126C79"/>
    <w:rsid w:val="00126DA9"/>
    <w:rsid w:val="00126DF0"/>
    <w:rsid w:val="00126E0C"/>
    <w:rsid w:val="00126E92"/>
    <w:rsid w:val="00127317"/>
    <w:rsid w:val="00127353"/>
    <w:rsid w:val="001276A8"/>
    <w:rsid w:val="0012797A"/>
    <w:rsid w:val="0012DBEB"/>
    <w:rsid w:val="001302B6"/>
    <w:rsid w:val="0013070E"/>
    <w:rsid w:val="00130758"/>
    <w:rsid w:val="001307F5"/>
    <w:rsid w:val="00130892"/>
    <w:rsid w:val="001308E5"/>
    <w:rsid w:val="001309B1"/>
    <w:rsid w:val="00130EBE"/>
    <w:rsid w:val="00131133"/>
    <w:rsid w:val="00131398"/>
    <w:rsid w:val="0013159F"/>
    <w:rsid w:val="00131760"/>
    <w:rsid w:val="00131826"/>
    <w:rsid w:val="00131AEC"/>
    <w:rsid w:val="00131FFF"/>
    <w:rsid w:val="0013201D"/>
    <w:rsid w:val="001320A1"/>
    <w:rsid w:val="001320A3"/>
    <w:rsid w:val="001325B2"/>
    <w:rsid w:val="00132E3E"/>
    <w:rsid w:val="00132FA0"/>
    <w:rsid w:val="0013331F"/>
    <w:rsid w:val="0013365A"/>
    <w:rsid w:val="00133811"/>
    <w:rsid w:val="00133820"/>
    <w:rsid w:val="00133A31"/>
    <w:rsid w:val="00133AC1"/>
    <w:rsid w:val="00133FDC"/>
    <w:rsid w:val="0013421C"/>
    <w:rsid w:val="001347DD"/>
    <w:rsid w:val="0013485C"/>
    <w:rsid w:val="001349C4"/>
    <w:rsid w:val="00134A73"/>
    <w:rsid w:val="00134B7B"/>
    <w:rsid w:val="00134E7C"/>
    <w:rsid w:val="00134FDB"/>
    <w:rsid w:val="00135097"/>
    <w:rsid w:val="001357D7"/>
    <w:rsid w:val="0013588A"/>
    <w:rsid w:val="00135B94"/>
    <w:rsid w:val="001368AB"/>
    <w:rsid w:val="00136BFB"/>
    <w:rsid w:val="00136EDF"/>
    <w:rsid w:val="00136F4C"/>
    <w:rsid w:val="00136FAA"/>
    <w:rsid w:val="001372F9"/>
    <w:rsid w:val="00137824"/>
    <w:rsid w:val="00137AB6"/>
    <w:rsid w:val="00137CFD"/>
    <w:rsid w:val="00137DA5"/>
    <w:rsid w:val="0014002E"/>
    <w:rsid w:val="00140462"/>
    <w:rsid w:val="00140832"/>
    <w:rsid w:val="001408C2"/>
    <w:rsid w:val="00140BCA"/>
    <w:rsid w:val="001419FF"/>
    <w:rsid w:val="00141F18"/>
    <w:rsid w:val="00142049"/>
    <w:rsid w:val="00142475"/>
    <w:rsid w:val="0014253E"/>
    <w:rsid w:val="00142F90"/>
    <w:rsid w:val="0014308C"/>
    <w:rsid w:val="00143271"/>
    <w:rsid w:val="0014329E"/>
    <w:rsid w:val="00143525"/>
    <w:rsid w:val="0014395F"/>
    <w:rsid w:val="00143BEA"/>
    <w:rsid w:val="001444B4"/>
    <w:rsid w:val="00144C97"/>
    <w:rsid w:val="00144DE7"/>
    <w:rsid w:val="00144E9A"/>
    <w:rsid w:val="00145085"/>
    <w:rsid w:val="00145188"/>
    <w:rsid w:val="0014551C"/>
    <w:rsid w:val="001456ED"/>
    <w:rsid w:val="00145B0B"/>
    <w:rsid w:val="00145ECA"/>
    <w:rsid w:val="0014649E"/>
    <w:rsid w:val="001468DF"/>
    <w:rsid w:val="00146FD3"/>
    <w:rsid w:val="00147055"/>
    <w:rsid w:val="001472C4"/>
    <w:rsid w:val="00147756"/>
    <w:rsid w:val="001478E5"/>
    <w:rsid w:val="00147B7E"/>
    <w:rsid w:val="00147DA7"/>
    <w:rsid w:val="00150852"/>
    <w:rsid w:val="0015086F"/>
    <w:rsid w:val="00150D23"/>
    <w:rsid w:val="00150F2A"/>
    <w:rsid w:val="00151140"/>
    <w:rsid w:val="001512DA"/>
    <w:rsid w:val="00151677"/>
    <w:rsid w:val="0015186F"/>
    <w:rsid w:val="001519B1"/>
    <w:rsid w:val="00151AB0"/>
    <w:rsid w:val="00151C00"/>
    <w:rsid w:val="00152134"/>
    <w:rsid w:val="0015225B"/>
    <w:rsid w:val="00152608"/>
    <w:rsid w:val="00152916"/>
    <w:rsid w:val="00152B3B"/>
    <w:rsid w:val="00152EAD"/>
    <w:rsid w:val="00153074"/>
    <w:rsid w:val="00153272"/>
    <w:rsid w:val="001533BD"/>
    <w:rsid w:val="0015362E"/>
    <w:rsid w:val="001536CA"/>
    <w:rsid w:val="00153A7C"/>
    <w:rsid w:val="00153CB1"/>
    <w:rsid w:val="001542FC"/>
    <w:rsid w:val="00154A5C"/>
    <w:rsid w:val="00154B71"/>
    <w:rsid w:val="00154DC2"/>
    <w:rsid w:val="00154EB6"/>
    <w:rsid w:val="001551F1"/>
    <w:rsid w:val="00155413"/>
    <w:rsid w:val="00155A38"/>
    <w:rsid w:val="00155BC5"/>
    <w:rsid w:val="00155BDE"/>
    <w:rsid w:val="00155F41"/>
    <w:rsid w:val="00155F60"/>
    <w:rsid w:val="0015646D"/>
    <w:rsid w:val="001566B4"/>
    <w:rsid w:val="00156760"/>
    <w:rsid w:val="001569FE"/>
    <w:rsid w:val="00156A8D"/>
    <w:rsid w:val="00156BCA"/>
    <w:rsid w:val="001572D2"/>
    <w:rsid w:val="0015747C"/>
    <w:rsid w:val="00157DCF"/>
    <w:rsid w:val="00160020"/>
    <w:rsid w:val="001600A8"/>
    <w:rsid w:val="001600C5"/>
    <w:rsid w:val="00160297"/>
    <w:rsid w:val="00160342"/>
    <w:rsid w:val="00160371"/>
    <w:rsid w:val="0016069C"/>
    <w:rsid w:val="0016074C"/>
    <w:rsid w:val="00160AF7"/>
    <w:rsid w:val="0016140C"/>
    <w:rsid w:val="001617C3"/>
    <w:rsid w:val="00161C16"/>
    <w:rsid w:val="00162009"/>
    <w:rsid w:val="00162840"/>
    <w:rsid w:val="001628DF"/>
    <w:rsid w:val="001629AB"/>
    <w:rsid w:val="00162C91"/>
    <w:rsid w:val="00162EFA"/>
    <w:rsid w:val="00162FF6"/>
    <w:rsid w:val="00163071"/>
    <w:rsid w:val="001635D8"/>
    <w:rsid w:val="00163945"/>
    <w:rsid w:val="00163A05"/>
    <w:rsid w:val="00163CD3"/>
    <w:rsid w:val="00164141"/>
    <w:rsid w:val="0016424E"/>
    <w:rsid w:val="00164C29"/>
    <w:rsid w:val="00164DF1"/>
    <w:rsid w:val="00164ECB"/>
    <w:rsid w:val="001658E6"/>
    <w:rsid w:val="00165AC2"/>
    <w:rsid w:val="00165DA9"/>
    <w:rsid w:val="00165ECF"/>
    <w:rsid w:val="00165F10"/>
    <w:rsid w:val="0016605B"/>
    <w:rsid w:val="00166591"/>
    <w:rsid w:val="001667E6"/>
    <w:rsid w:val="00166B9A"/>
    <w:rsid w:val="00166D0B"/>
    <w:rsid w:val="00166EFB"/>
    <w:rsid w:val="00166F91"/>
    <w:rsid w:val="00167451"/>
    <w:rsid w:val="001674BD"/>
    <w:rsid w:val="001675F6"/>
    <w:rsid w:val="00167939"/>
    <w:rsid w:val="00167A6B"/>
    <w:rsid w:val="00167B9A"/>
    <w:rsid w:val="00170631"/>
    <w:rsid w:val="001708A5"/>
    <w:rsid w:val="001708FD"/>
    <w:rsid w:val="00170BA2"/>
    <w:rsid w:val="00170BB7"/>
    <w:rsid w:val="00170DEE"/>
    <w:rsid w:val="0017101F"/>
    <w:rsid w:val="00171378"/>
    <w:rsid w:val="001716BF"/>
    <w:rsid w:val="00171725"/>
    <w:rsid w:val="00171DC5"/>
    <w:rsid w:val="001720F6"/>
    <w:rsid w:val="00172375"/>
    <w:rsid w:val="00172542"/>
    <w:rsid w:val="001725CC"/>
    <w:rsid w:val="00172704"/>
    <w:rsid w:val="00172977"/>
    <w:rsid w:val="001731D1"/>
    <w:rsid w:val="001733C6"/>
    <w:rsid w:val="00173513"/>
    <w:rsid w:val="00173B61"/>
    <w:rsid w:val="00173DB6"/>
    <w:rsid w:val="00173EEA"/>
    <w:rsid w:val="00173FA6"/>
    <w:rsid w:val="0017405C"/>
    <w:rsid w:val="0017408F"/>
    <w:rsid w:val="00174653"/>
    <w:rsid w:val="0017497D"/>
    <w:rsid w:val="00174A52"/>
    <w:rsid w:val="00174BD3"/>
    <w:rsid w:val="00174DA1"/>
    <w:rsid w:val="00174DD4"/>
    <w:rsid w:val="00174E24"/>
    <w:rsid w:val="00174E35"/>
    <w:rsid w:val="00175573"/>
    <w:rsid w:val="001759D7"/>
    <w:rsid w:val="00175B43"/>
    <w:rsid w:val="00175C80"/>
    <w:rsid w:val="00175D83"/>
    <w:rsid w:val="00175E1C"/>
    <w:rsid w:val="00175FE0"/>
    <w:rsid w:val="001760A7"/>
    <w:rsid w:val="00176184"/>
    <w:rsid w:val="0017645F"/>
    <w:rsid w:val="0017654C"/>
    <w:rsid w:val="001766D4"/>
    <w:rsid w:val="00176A96"/>
    <w:rsid w:val="00176C82"/>
    <w:rsid w:val="00176FAF"/>
    <w:rsid w:val="00176FB6"/>
    <w:rsid w:val="0017780A"/>
    <w:rsid w:val="0017794B"/>
    <w:rsid w:val="00177EB1"/>
    <w:rsid w:val="001800FF"/>
    <w:rsid w:val="001804B8"/>
    <w:rsid w:val="00180807"/>
    <w:rsid w:val="00180B31"/>
    <w:rsid w:val="00180BCE"/>
    <w:rsid w:val="00180C66"/>
    <w:rsid w:val="00181264"/>
    <w:rsid w:val="00181317"/>
    <w:rsid w:val="00181378"/>
    <w:rsid w:val="00181389"/>
    <w:rsid w:val="001814DB"/>
    <w:rsid w:val="0018150E"/>
    <w:rsid w:val="0018175C"/>
    <w:rsid w:val="00181964"/>
    <w:rsid w:val="001821D0"/>
    <w:rsid w:val="001823F6"/>
    <w:rsid w:val="00182904"/>
    <w:rsid w:val="0018292E"/>
    <w:rsid w:val="00182996"/>
    <w:rsid w:val="00182A68"/>
    <w:rsid w:val="00182B07"/>
    <w:rsid w:val="00182C09"/>
    <w:rsid w:val="00182CE9"/>
    <w:rsid w:val="00182D14"/>
    <w:rsid w:val="00182E10"/>
    <w:rsid w:val="0018326B"/>
    <w:rsid w:val="00183547"/>
    <w:rsid w:val="001838CB"/>
    <w:rsid w:val="00183AA5"/>
    <w:rsid w:val="001845EC"/>
    <w:rsid w:val="00184CF3"/>
    <w:rsid w:val="00184E93"/>
    <w:rsid w:val="00185550"/>
    <w:rsid w:val="00185570"/>
    <w:rsid w:val="00185749"/>
    <w:rsid w:val="00185C00"/>
    <w:rsid w:val="0018612B"/>
    <w:rsid w:val="001862EC"/>
    <w:rsid w:val="00186389"/>
    <w:rsid w:val="00186402"/>
    <w:rsid w:val="00186E71"/>
    <w:rsid w:val="001876F5"/>
    <w:rsid w:val="00187AB8"/>
    <w:rsid w:val="001908A0"/>
    <w:rsid w:val="00190A44"/>
    <w:rsid w:val="00190BFA"/>
    <w:rsid w:val="00190C84"/>
    <w:rsid w:val="001910BE"/>
    <w:rsid w:val="00191178"/>
    <w:rsid w:val="0019120B"/>
    <w:rsid w:val="0019144C"/>
    <w:rsid w:val="0019165A"/>
    <w:rsid w:val="001919B2"/>
    <w:rsid w:val="00191E99"/>
    <w:rsid w:val="00191FB5"/>
    <w:rsid w:val="00191FBF"/>
    <w:rsid w:val="0019201D"/>
    <w:rsid w:val="001922C4"/>
    <w:rsid w:val="00192AB1"/>
    <w:rsid w:val="0019345D"/>
    <w:rsid w:val="001938DA"/>
    <w:rsid w:val="00193AE5"/>
    <w:rsid w:val="00193C29"/>
    <w:rsid w:val="00193F81"/>
    <w:rsid w:val="0019446B"/>
    <w:rsid w:val="001945D1"/>
    <w:rsid w:val="001945D9"/>
    <w:rsid w:val="00194776"/>
    <w:rsid w:val="001949C4"/>
    <w:rsid w:val="00194A11"/>
    <w:rsid w:val="00194BED"/>
    <w:rsid w:val="00194CC1"/>
    <w:rsid w:val="00194E43"/>
    <w:rsid w:val="00195332"/>
    <w:rsid w:val="0019541D"/>
    <w:rsid w:val="0019565F"/>
    <w:rsid w:val="00195B75"/>
    <w:rsid w:val="00195F14"/>
    <w:rsid w:val="00196316"/>
    <w:rsid w:val="001963B9"/>
    <w:rsid w:val="00196B89"/>
    <w:rsid w:val="00197170"/>
    <w:rsid w:val="001975C5"/>
    <w:rsid w:val="001977A1"/>
    <w:rsid w:val="00197937"/>
    <w:rsid w:val="001A0008"/>
    <w:rsid w:val="001A037E"/>
    <w:rsid w:val="001A07D9"/>
    <w:rsid w:val="001A07F7"/>
    <w:rsid w:val="001A09AA"/>
    <w:rsid w:val="001A0AA3"/>
    <w:rsid w:val="001A0EC2"/>
    <w:rsid w:val="001A1456"/>
    <w:rsid w:val="001A1628"/>
    <w:rsid w:val="001A1C21"/>
    <w:rsid w:val="001A249B"/>
    <w:rsid w:val="001A25CD"/>
    <w:rsid w:val="001A28AE"/>
    <w:rsid w:val="001A2B1E"/>
    <w:rsid w:val="001A3AB4"/>
    <w:rsid w:val="001A3BC7"/>
    <w:rsid w:val="001A3EDE"/>
    <w:rsid w:val="001A4047"/>
    <w:rsid w:val="001A43E9"/>
    <w:rsid w:val="001A449F"/>
    <w:rsid w:val="001A50E2"/>
    <w:rsid w:val="001A5D81"/>
    <w:rsid w:val="001A5FB7"/>
    <w:rsid w:val="001A5FC1"/>
    <w:rsid w:val="001A682B"/>
    <w:rsid w:val="001A682C"/>
    <w:rsid w:val="001A6868"/>
    <w:rsid w:val="001A6A87"/>
    <w:rsid w:val="001A6D67"/>
    <w:rsid w:val="001A6FD3"/>
    <w:rsid w:val="001A6FD5"/>
    <w:rsid w:val="001A7692"/>
    <w:rsid w:val="001A77CE"/>
    <w:rsid w:val="001A7897"/>
    <w:rsid w:val="001A7AD5"/>
    <w:rsid w:val="001A7B7A"/>
    <w:rsid w:val="001A7C66"/>
    <w:rsid w:val="001A7F99"/>
    <w:rsid w:val="001B0263"/>
    <w:rsid w:val="001B033B"/>
    <w:rsid w:val="001B137B"/>
    <w:rsid w:val="001B1392"/>
    <w:rsid w:val="001B1650"/>
    <w:rsid w:val="001B1A4E"/>
    <w:rsid w:val="001B1C7D"/>
    <w:rsid w:val="001B1D0E"/>
    <w:rsid w:val="001B2561"/>
    <w:rsid w:val="001B25EA"/>
    <w:rsid w:val="001B26C2"/>
    <w:rsid w:val="001B2702"/>
    <w:rsid w:val="001B29DF"/>
    <w:rsid w:val="001B2C36"/>
    <w:rsid w:val="001B2C41"/>
    <w:rsid w:val="001B310D"/>
    <w:rsid w:val="001B340A"/>
    <w:rsid w:val="001B3491"/>
    <w:rsid w:val="001B34FF"/>
    <w:rsid w:val="001B356A"/>
    <w:rsid w:val="001B3589"/>
    <w:rsid w:val="001B3672"/>
    <w:rsid w:val="001B3A67"/>
    <w:rsid w:val="001B3B49"/>
    <w:rsid w:val="001B3BB9"/>
    <w:rsid w:val="001B4C25"/>
    <w:rsid w:val="001B51F9"/>
    <w:rsid w:val="001B548D"/>
    <w:rsid w:val="001B581D"/>
    <w:rsid w:val="001B595B"/>
    <w:rsid w:val="001B5C82"/>
    <w:rsid w:val="001B6128"/>
    <w:rsid w:val="001B61FA"/>
    <w:rsid w:val="001B6316"/>
    <w:rsid w:val="001B68FB"/>
    <w:rsid w:val="001B6AFE"/>
    <w:rsid w:val="001B73EF"/>
    <w:rsid w:val="001B78D5"/>
    <w:rsid w:val="001B7B07"/>
    <w:rsid w:val="001C0687"/>
    <w:rsid w:val="001C0734"/>
    <w:rsid w:val="001C0A17"/>
    <w:rsid w:val="001C0EB3"/>
    <w:rsid w:val="001C0FBE"/>
    <w:rsid w:val="001C1024"/>
    <w:rsid w:val="001C13A5"/>
    <w:rsid w:val="001C1CD1"/>
    <w:rsid w:val="001C201D"/>
    <w:rsid w:val="001C229C"/>
    <w:rsid w:val="001C237B"/>
    <w:rsid w:val="001C289E"/>
    <w:rsid w:val="001C28AC"/>
    <w:rsid w:val="001C2E51"/>
    <w:rsid w:val="001C2F35"/>
    <w:rsid w:val="001C2F4A"/>
    <w:rsid w:val="001C3352"/>
    <w:rsid w:val="001C3630"/>
    <w:rsid w:val="001C378D"/>
    <w:rsid w:val="001C38E8"/>
    <w:rsid w:val="001C399D"/>
    <w:rsid w:val="001C3C13"/>
    <w:rsid w:val="001C3DA9"/>
    <w:rsid w:val="001C42CB"/>
    <w:rsid w:val="001C44C2"/>
    <w:rsid w:val="001C4646"/>
    <w:rsid w:val="001C469D"/>
    <w:rsid w:val="001C47F8"/>
    <w:rsid w:val="001C48F7"/>
    <w:rsid w:val="001C4D9D"/>
    <w:rsid w:val="001C5035"/>
    <w:rsid w:val="001C55FA"/>
    <w:rsid w:val="001C5888"/>
    <w:rsid w:val="001C5DE6"/>
    <w:rsid w:val="001C5EEF"/>
    <w:rsid w:val="001C61D8"/>
    <w:rsid w:val="001C67DE"/>
    <w:rsid w:val="001C6949"/>
    <w:rsid w:val="001C6AE4"/>
    <w:rsid w:val="001C6AF5"/>
    <w:rsid w:val="001C7A5E"/>
    <w:rsid w:val="001C7BC8"/>
    <w:rsid w:val="001C7CF7"/>
    <w:rsid w:val="001D08A5"/>
    <w:rsid w:val="001D0C42"/>
    <w:rsid w:val="001D1414"/>
    <w:rsid w:val="001D16C0"/>
    <w:rsid w:val="001D1C56"/>
    <w:rsid w:val="001D1D61"/>
    <w:rsid w:val="001D22B5"/>
    <w:rsid w:val="001D2ADE"/>
    <w:rsid w:val="001D2C5B"/>
    <w:rsid w:val="001D2FE6"/>
    <w:rsid w:val="001D309F"/>
    <w:rsid w:val="001D3646"/>
    <w:rsid w:val="001D3764"/>
    <w:rsid w:val="001D3E0A"/>
    <w:rsid w:val="001D3E19"/>
    <w:rsid w:val="001D3E8C"/>
    <w:rsid w:val="001D3E8F"/>
    <w:rsid w:val="001D43AC"/>
    <w:rsid w:val="001D44DE"/>
    <w:rsid w:val="001D4632"/>
    <w:rsid w:val="001D4825"/>
    <w:rsid w:val="001D491B"/>
    <w:rsid w:val="001D4959"/>
    <w:rsid w:val="001D4D69"/>
    <w:rsid w:val="001D4D9C"/>
    <w:rsid w:val="001D5846"/>
    <w:rsid w:val="001D5A86"/>
    <w:rsid w:val="001D5B56"/>
    <w:rsid w:val="001D5F38"/>
    <w:rsid w:val="001D5FE7"/>
    <w:rsid w:val="001D6179"/>
    <w:rsid w:val="001D6463"/>
    <w:rsid w:val="001D653A"/>
    <w:rsid w:val="001D654C"/>
    <w:rsid w:val="001D6A2F"/>
    <w:rsid w:val="001D7834"/>
    <w:rsid w:val="001D7E6D"/>
    <w:rsid w:val="001E02B7"/>
    <w:rsid w:val="001E0489"/>
    <w:rsid w:val="001E06D1"/>
    <w:rsid w:val="001E08A4"/>
    <w:rsid w:val="001E0F03"/>
    <w:rsid w:val="001E1BAB"/>
    <w:rsid w:val="001E1DE8"/>
    <w:rsid w:val="001E229F"/>
    <w:rsid w:val="001E242E"/>
    <w:rsid w:val="001E24B1"/>
    <w:rsid w:val="001E24C8"/>
    <w:rsid w:val="001E2D35"/>
    <w:rsid w:val="001E307A"/>
    <w:rsid w:val="001E360E"/>
    <w:rsid w:val="001E3713"/>
    <w:rsid w:val="001E3B9B"/>
    <w:rsid w:val="001E3D53"/>
    <w:rsid w:val="001E3EA0"/>
    <w:rsid w:val="001E4A11"/>
    <w:rsid w:val="001E4FAE"/>
    <w:rsid w:val="001E5A55"/>
    <w:rsid w:val="001E5E6B"/>
    <w:rsid w:val="001E6031"/>
    <w:rsid w:val="001E7098"/>
    <w:rsid w:val="001E7D61"/>
    <w:rsid w:val="001E7D64"/>
    <w:rsid w:val="001F0149"/>
    <w:rsid w:val="001F016E"/>
    <w:rsid w:val="001F08EF"/>
    <w:rsid w:val="001F0B8A"/>
    <w:rsid w:val="001F0C76"/>
    <w:rsid w:val="001F122D"/>
    <w:rsid w:val="001F1470"/>
    <w:rsid w:val="001F14A3"/>
    <w:rsid w:val="001F1635"/>
    <w:rsid w:val="001F1680"/>
    <w:rsid w:val="001F1753"/>
    <w:rsid w:val="001F1C72"/>
    <w:rsid w:val="001F1FA7"/>
    <w:rsid w:val="001F228C"/>
    <w:rsid w:val="001F2328"/>
    <w:rsid w:val="001F23BB"/>
    <w:rsid w:val="001F24B0"/>
    <w:rsid w:val="001F3286"/>
    <w:rsid w:val="001F330B"/>
    <w:rsid w:val="001F3C88"/>
    <w:rsid w:val="001F3D5A"/>
    <w:rsid w:val="001F3DAA"/>
    <w:rsid w:val="001F3E00"/>
    <w:rsid w:val="001F3ECD"/>
    <w:rsid w:val="001F3FDA"/>
    <w:rsid w:val="001F4884"/>
    <w:rsid w:val="001F4A39"/>
    <w:rsid w:val="001F510C"/>
    <w:rsid w:val="001F5442"/>
    <w:rsid w:val="001F58D7"/>
    <w:rsid w:val="001F5934"/>
    <w:rsid w:val="001F5C73"/>
    <w:rsid w:val="001F5F25"/>
    <w:rsid w:val="001F5FC4"/>
    <w:rsid w:val="001F60B8"/>
    <w:rsid w:val="001F61DC"/>
    <w:rsid w:val="001F6657"/>
    <w:rsid w:val="001F6AEA"/>
    <w:rsid w:val="001F6B1C"/>
    <w:rsid w:val="001F71D3"/>
    <w:rsid w:val="001F72D2"/>
    <w:rsid w:val="001F73C9"/>
    <w:rsid w:val="001F75A4"/>
    <w:rsid w:val="001F790C"/>
    <w:rsid w:val="001F7A1A"/>
    <w:rsid w:val="001F7D70"/>
    <w:rsid w:val="0020036F"/>
    <w:rsid w:val="00200431"/>
    <w:rsid w:val="00200640"/>
    <w:rsid w:val="00200899"/>
    <w:rsid w:val="00200C0A"/>
    <w:rsid w:val="00200C31"/>
    <w:rsid w:val="002014A2"/>
    <w:rsid w:val="0020194C"/>
    <w:rsid w:val="00201C6F"/>
    <w:rsid w:val="00201DD3"/>
    <w:rsid w:val="00201E52"/>
    <w:rsid w:val="00201FFA"/>
    <w:rsid w:val="002022D8"/>
    <w:rsid w:val="002023B7"/>
    <w:rsid w:val="002028C6"/>
    <w:rsid w:val="002028D6"/>
    <w:rsid w:val="00202B45"/>
    <w:rsid w:val="00202B87"/>
    <w:rsid w:val="00202C1F"/>
    <w:rsid w:val="00203157"/>
    <w:rsid w:val="002034EA"/>
    <w:rsid w:val="00203905"/>
    <w:rsid w:val="00203C84"/>
    <w:rsid w:val="00203D4F"/>
    <w:rsid w:val="002043D2"/>
    <w:rsid w:val="002046EE"/>
    <w:rsid w:val="00204723"/>
    <w:rsid w:val="00204BDA"/>
    <w:rsid w:val="00205206"/>
    <w:rsid w:val="00205ABB"/>
    <w:rsid w:val="00205EFA"/>
    <w:rsid w:val="00206706"/>
    <w:rsid w:val="00206A35"/>
    <w:rsid w:val="00206BD7"/>
    <w:rsid w:val="00206C93"/>
    <w:rsid w:val="00206CAA"/>
    <w:rsid w:val="00206F88"/>
    <w:rsid w:val="00206FB8"/>
    <w:rsid w:val="002071AD"/>
    <w:rsid w:val="0020743F"/>
    <w:rsid w:val="002077E1"/>
    <w:rsid w:val="002079EC"/>
    <w:rsid w:val="00207C96"/>
    <w:rsid w:val="00207D97"/>
    <w:rsid w:val="00207E5B"/>
    <w:rsid w:val="00207FC5"/>
    <w:rsid w:val="002103DB"/>
    <w:rsid w:val="0021057E"/>
    <w:rsid w:val="002106D9"/>
    <w:rsid w:val="0021094E"/>
    <w:rsid w:val="00210A32"/>
    <w:rsid w:val="00210AC5"/>
    <w:rsid w:val="00210E24"/>
    <w:rsid w:val="002110FF"/>
    <w:rsid w:val="0021130C"/>
    <w:rsid w:val="0021154F"/>
    <w:rsid w:val="0021158D"/>
    <w:rsid w:val="00211C7D"/>
    <w:rsid w:val="00211E5B"/>
    <w:rsid w:val="002120A8"/>
    <w:rsid w:val="0021215C"/>
    <w:rsid w:val="002122F4"/>
    <w:rsid w:val="00212A72"/>
    <w:rsid w:val="00212D3D"/>
    <w:rsid w:val="00213530"/>
    <w:rsid w:val="0021369F"/>
    <w:rsid w:val="00213CB4"/>
    <w:rsid w:val="00213DD7"/>
    <w:rsid w:val="0021406C"/>
    <w:rsid w:val="0021407F"/>
    <w:rsid w:val="002140B8"/>
    <w:rsid w:val="00214416"/>
    <w:rsid w:val="00214423"/>
    <w:rsid w:val="00214457"/>
    <w:rsid w:val="00214DEF"/>
    <w:rsid w:val="00214E75"/>
    <w:rsid w:val="00214E84"/>
    <w:rsid w:val="0021546D"/>
    <w:rsid w:val="00215BA0"/>
    <w:rsid w:val="00216136"/>
    <w:rsid w:val="002164D9"/>
    <w:rsid w:val="0021669D"/>
    <w:rsid w:val="00216893"/>
    <w:rsid w:val="00216911"/>
    <w:rsid w:val="00216E0D"/>
    <w:rsid w:val="00216ED8"/>
    <w:rsid w:val="002173D9"/>
    <w:rsid w:val="00217428"/>
    <w:rsid w:val="00217588"/>
    <w:rsid w:val="002176B5"/>
    <w:rsid w:val="00217827"/>
    <w:rsid w:val="00217A9D"/>
    <w:rsid w:val="00217D6B"/>
    <w:rsid w:val="00217DAB"/>
    <w:rsid w:val="00217EB1"/>
    <w:rsid w:val="00217EC3"/>
    <w:rsid w:val="002200AF"/>
    <w:rsid w:val="00220154"/>
    <w:rsid w:val="00220690"/>
    <w:rsid w:val="00220992"/>
    <w:rsid w:val="002209AC"/>
    <w:rsid w:val="002209FB"/>
    <w:rsid w:val="00221A04"/>
    <w:rsid w:val="00221BFD"/>
    <w:rsid w:val="00222082"/>
    <w:rsid w:val="00222BCA"/>
    <w:rsid w:val="00222DDA"/>
    <w:rsid w:val="00222F49"/>
    <w:rsid w:val="00223307"/>
    <w:rsid w:val="0022393A"/>
    <w:rsid w:val="00223B16"/>
    <w:rsid w:val="00223D49"/>
    <w:rsid w:val="0022429B"/>
    <w:rsid w:val="002243D0"/>
    <w:rsid w:val="002244D2"/>
    <w:rsid w:val="002245E6"/>
    <w:rsid w:val="002246CF"/>
    <w:rsid w:val="00224C78"/>
    <w:rsid w:val="00224F57"/>
    <w:rsid w:val="00224FC0"/>
    <w:rsid w:val="00225100"/>
    <w:rsid w:val="0022559F"/>
    <w:rsid w:val="002258C1"/>
    <w:rsid w:val="00225F97"/>
    <w:rsid w:val="0022619A"/>
    <w:rsid w:val="00226538"/>
    <w:rsid w:val="002267C8"/>
    <w:rsid w:val="00226AEF"/>
    <w:rsid w:val="00226C34"/>
    <w:rsid w:val="00226C96"/>
    <w:rsid w:val="00227205"/>
    <w:rsid w:val="002274EA"/>
    <w:rsid w:val="002276CE"/>
    <w:rsid w:val="0022790D"/>
    <w:rsid w:val="002308AE"/>
    <w:rsid w:val="002308F1"/>
    <w:rsid w:val="00230E8B"/>
    <w:rsid w:val="00231088"/>
    <w:rsid w:val="002310A7"/>
    <w:rsid w:val="002310E4"/>
    <w:rsid w:val="0023161C"/>
    <w:rsid w:val="00231A00"/>
    <w:rsid w:val="00231AA0"/>
    <w:rsid w:val="00231ADD"/>
    <w:rsid w:val="00231EA6"/>
    <w:rsid w:val="002321F0"/>
    <w:rsid w:val="002326FA"/>
    <w:rsid w:val="00232759"/>
    <w:rsid w:val="0023283B"/>
    <w:rsid w:val="00232B41"/>
    <w:rsid w:val="00232DE6"/>
    <w:rsid w:val="00233085"/>
    <w:rsid w:val="00233427"/>
    <w:rsid w:val="00233492"/>
    <w:rsid w:val="00233C09"/>
    <w:rsid w:val="00233C19"/>
    <w:rsid w:val="00234065"/>
    <w:rsid w:val="0023414D"/>
    <w:rsid w:val="00234328"/>
    <w:rsid w:val="00234594"/>
    <w:rsid w:val="002345A9"/>
    <w:rsid w:val="00234A88"/>
    <w:rsid w:val="00234B3B"/>
    <w:rsid w:val="00234D03"/>
    <w:rsid w:val="002352F9"/>
    <w:rsid w:val="0023580D"/>
    <w:rsid w:val="002359ED"/>
    <w:rsid w:val="00235C56"/>
    <w:rsid w:val="00235E9C"/>
    <w:rsid w:val="0023628D"/>
    <w:rsid w:val="002363CD"/>
    <w:rsid w:val="002364F8"/>
    <w:rsid w:val="00236895"/>
    <w:rsid w:val="00236DB9"/>
    <w:rsid w:val="00237036"/>
    <w:rsid w:val="00237051"/>
    <w:rsid w:val="0023725C"/>
    <w:rsid w:val="00237375"/>
    <w:rsid w:val="00240748"/>
    <w:rsid w:val="00240756"/>
    <w:rsid w:val="00241036"/>
    <w:rsid w:val="002415FE"/>
    <w:rsid w:val="0024168A"/>
    <w:rsid w:val="0024193C"/>
    <w:rsid w:val="0024200F"/>
    <w:rsid w:val="002420FF"/>
    <w:rsid w:val="00242A49"/>
    <w:rsid w:val="00242B56"/>
    <w:rsid w:val="00242BC1"/>
    <w:rsid w:val="002432FF"/>
    <w:rsid w:val="002433D2"/>
    <w:rsid w:val="00243559"/>
    <w:rsid w:val="00243966"/>
    <w:rsid w:val="002439EA"/>
    <w:rsid w:val="00243B5D"/>
    <w:rsid w:val="00243D0B"/>
    <w:rsid w:val="0024443A"/>
    <w:rsid w:val="00244635"/>
    <w:rsid w:val="0024476B"/>
    <w:rsid w:val="00244838"/>
    <w:rsid w:val="00244B4B"/>
    <w:rsid w:val="00244DFC"/>
    <w:rsid w:val="00244E7C"/>
    <w:rsid w:val="00245B66"/>
    <w:rsid w:val="00245E8C"/>
    <w:rsid w:val="0024601F"/>
    <w:rsid w:val="0024672D"/>
    <w:rsid w:val="002467B3"/>
    <w:rsid w:val="002470B7"/>
    <w:rsid w:val="0024717F"/>
    <w:rsid w:val="0024790A"/>
    <w:rsid w:val="00247C63"/>
    <w:rsid w:val="00247CF5"/>
    <w:rsid w:val="00250574"/>
    <w:rsid w:val="00250666"/>
    <w:rsid w:val="00250677"/>
    <w:rsid w:val="00250A42"/>
    <w:rsid w:val="002510B9"/>
    <w:rsid w:val="00251192"/>
    <w:rsid w:val="002516F8"/>
    <w:rsid w:val="00251B7B"/>
    <w:rsid w:val="00251DE9"/>
    <w:rsid w:val="00251E72"/>
    <w:rsid w:val="002525D5"/>
    <w:rsid w:val="0025260F"/>
    <w:rsid w:val="00252683"/>
    <w:rsid w:val="002529EE"/>
    <w:rsid w:val="00252AD4"/>
    <w:rsid w:val="00252D9D"/>
    <w:rsid w:val="002530FC"/>
    <w:rsid w:val="002533DC"/>
    <w:rsid w:val="00253530"/>
    <w:rsid w:val="00253828"/>
    <w:rsid w:val="00253871"/>
    <w:rsid w:val="002538BF"/>
    <w:rsid w:val="00253AE8"/>
    <w:rsid w:val="00253DFA"/>
    <w:rsid w:val="002543F4"/>
    <w:rsid w:val="00254549"/>
    <w:rsid w:val="002549DA"/>
    <w:rsid w:val="00255009"/>
    <w:rsid w:val="002557EA"/>
    <w:rsid w:val="002559BA"/>
    <w:rsid w:val="0025618F"/>
    <w:rsid w:val="002563AE"/>
    <w:rsid w:val="00257040"/>
    <w:rsid w:val="00257A09"/>
    <w:rsid w:val="00257A31"/>
    <w:rsid w:val="00257B86"/>
    <w:rsid w:val="00257E8A"/>
    <w:rsid w:val="002604F7"/>
    <w:rsid w:val="002604FD"/>
    <w:rsid w:val="0026099D"/>
    <w:rsid w:val="002609F5"/>
    <w:rsid w:val="00260A59"/>
    <w:rsid w:val="00260B3D"/>
    <w:rsid w:val="00260F33"/>
    <w:rsid w:val="00260F36"/>
    <w:rsid w:val="00260F56"/>
    <w:rsid w:val="002611C2"/>
    <w:rsid w:val="002613A9"/>
    <w:rsid w:val="0026197A"/>
    <w:rsid w:val="00261CC6"/>
    <w:rsid w:val="00261E5A"/>
    <w:rsid w:val="002623C3"/>
    <w:rsid w:val="00262648"/>
    <w:rsid w:val="0026278E"/>
    <w:rsid w:val="00262802"/>
    <w:rsid w:val="00262C67"/>
    <w:rsid w:val="00262E04"/>
    <w:rsid w:val="00262F7A"/>
    <w:rsid w:val="00262F86"/>
    <w:rsid w:val="0026310E"/>
    <w:rsid w:val="00263339"/>
    <w:rsid w:val="00263717"/>
    <w:rsid w:val="00263C73"/>
    <w:rsid w:val="00263CAF"/>
    <w:rsid w:val="00263F5B"/>
    <w:rsid w:val="00263F8A"/>
    <w:rsid w:val="002640F9"/>
    <w:rsid w:val="00264EBB"/>
    <w:rsid w:val="0026506A"/>
    <w:rsid w:val="002652D6"/>
    <w:rsid w:val="00265BCF"/>
    <w:rsid w:val="00265CC6"/>
    <w:rsid w:val="00265F4E"/>
    <w:rsid w:val="00265FAB"/>
    <w:rsid w:val="002660DB"/>
    <w:rsid w:val="00266162"/>
    <w:rsid w:val="00266484"/>
    <w:rsid w:val="00266F08"/>
    <w:rsid w:val="00267446"/>
    <w:rsid w:val="00267573"/>
    <w:rsid w:val="00267604"/>
    <w:rsid w:val="0026761A"/>
    <w:rsid w:val="00267A40"/>
    <w:rsid w:val="00267EF9"/>
    <w:rsid w:val="00267F1E"/>
    <w:rsid w:val="00271256"/>
    <w:rsid w:val="0027177B"/>
    <w:rsid w:val="00271A5D"/>
    <w:rsid w:val="00271FE2"/>
    <w:rsid w:val="00272035"/>
    <w:rsid w:val="0027234C"/>
    <w:rsid w:val="00272860"/>
    <w:rsid w:val="002729A9"/>
    <w:rsid w:val="00272CF7"/>
    <w:rsid w:val="00273805"/>
    <w:rsid w:val="00273BF8"/>
    <w:rsid w:val="00273EDD"/>
    <w:rsid w:val="002741CC"/>
    <w:rsid w:val="002748FE"/>
    <w:rsid w:val="00274AC3"/>
    <w:rsid w:val="00274D26"/>
    <w:rsid w:val="0027524F"/>
    <w:rsid w:val="0027547A"/>
    <w:rsid w:val="00275922"/>
    <w:rsid w:val="00275CC9"/>
    <w:rsid w:val="00276203"/>
    <w:rsid w:val="00276630"/>
    <w:rsid w:val="002766B9"/>
    <w:rsid w:val="00276F0A"/>
    <w:rsid w:val="002779C6"/>
    <w:rsid w:val="00277E88"/>
    <w:rsid w:val="00277EA0"/>
    <w:rsid w:val="00280070"/>
    <w:rsid w:val="002803E0"/>
    <w:rsid w:val="00280E1A"/>
    <w:rsid w:val="002811C2"/>
    <w:rsid w:val="002811FD"/>
    <w:rsid w:val="002812D8"/>
    <w:rsid w:val="002814A0"/>
    <w:rsid w:val="00281705"/>
    <w:rsid w:val="00281739"/>
    <w:rsid w:val="002817DC"/>
    <w:rsid w:val="00281C34"/>
    <w:rsid w:val="00281C39"/>
    <w:rsid w:val="00281CFB"/>
    <w:rsid w:val="00281D11"/>
    <w:rsid w:val="00281D96"/>
    <w:rsid w:val="002820D4"/>
    <w:rsid w:val="0028240C"/>
    <w:rsid w:val="002825AE"/>
    <w:rsid w:val="0028284A"/>
    <w:rsid w:val="00282A64"/>
    <w:rsid w:val="00282D1A"/>
    <w:rsid w:val="00282FFF"/>
    <w:rsid w:val="00283069"/>
    <w:rsid w:val="00283096"/>
    <w:rsid w:val="002830DF"/>
    <w:rsid w:val="002831EE"/>
    <w:rsid w:val="0028326F"/>
    <w:rsid w:val="00283404"/>
    <w:rsid w:val="00283F9E"/>
    <w:rsid w:val="00284222"/>
    <w:rsid w:val="0028428A"/>
    <w:rsid w:val="002843B7"/>
    <w:rsid w:val="002846CF"/>
    <w:rsid w:val="00284B20"/>
    <w:rsid w:val="00284F5E"/>
    <w:rsid w:val="00285111"/>
    <w:rsid w:val="00285ACD"/>
    <w:rsid w:val="00286767"/>
    <w:rsid w:val="00286791"/>
    <w:rsid w:val="00286F3F"/>
    <w:rsid w:val="00287137"/>
    <w:rsid w:val="00287213"/>
    <w:rsid w:val="00287704"/>
    <w:rsid w:val="00287723"/>
    <w:rsid w:val="002878CA"/>
    <w:rsid w:val="00287EA4"/>
    <w:rsid w:val="00287EB6"/>
    <w:rsid w:val="00287F07"/>
    <w:rsid w:val="002901A9"/>
    <w:rsid w:val="0029057D"/>
    <w:rsid w:val="002909DD"/>
    <w:rsid w:val="00290E64"/>
    <w:rsid w:val="002911D9"/>
    <w:rsid w:val="00291260"/>
    <w:rsid w:val="002915C0"/>
    <w:rsid w:val="00291752"/>
    <w:rsid w:val="00291CBC"/>
    <w:rsid w:val="002920AF"/>
    <w:rsid w:val="00292245"/>
    <w:rsid w:val="00292534"/>
    <w:rsid w:val="00292844"/>
    <w:rsid w:val="002929E3"/>
    <w:rsid w:val="00292CF2"/>
    <w:rsid w:val="00292F4E"/>
    <w:rsid w:val="00293132"/>
    <w:rsid w:val="00293346"/>
    <w:rsid w:val="00293445"/>
    <w:rsid w:val="002935A6"/>
    <w:rsid w:val="00293CCF"/>
    <w:rsid w:val="00293EB9"/>
    <w:rsid w:val="002940F9"/>
    <w:rsid w:val="0029433F"/>
    <w:rsid w:val="00294379"/>
    <w:rsid w:val="00294AFA"/>
    <w:rsid w:val="00294B3C"/>
    <w:rsid w:val="00294FA1"/>
    <w:rsid w:val="00295594"/>
    <w:rsid w:val="00295602"/>
    <w:rsid w:val="002956EC"/>
    <w:rsid w:val="0029573A"/>
    <w:rsid w:val="00295759"/>
    <w:rsid w:val="0029579C"/>
    <w:rsid w:val="00295C02"/>
    <w:rsid w:val="00295C28"/>
    <w:rsid w:val="00296443"/>
    <w:rsid w:val="00296B76"/>
    <w:rsid w:val="00296BEE"/>
    <w:rsid w:val="00296C86"/>
    <w:rsid w:val="00296E12"/>
    <w:rsid w:val="00296E5B"/>
    <w:rsid w:val="0029713E"/>
    <w:rsid w:val="0029794E"/>
    <w:rsid w:val="00297A04"/>
    <w:rsid w:val="00297D6C"/>
    <w:rsid w:val="00297FC9"/>
    <w:rsid w:val="002A0456"/>
    <w:rsid w:val="002A0639"/>
    <w:rsid w:val="002A0A57"/>
    <w:rsid w:val="002A0B43"/>
    <w:rsid w:val="002A1645"/>
    <w:rsid w:val="002A1FDC"/>
    <w:rsid w:val="002A2082"/>
    <w:rsid w:val="002A2194"/>
    <w:rsid w:val="002A254A"/>
    <w:rsid w:val="002A269E"/>
    <w:rsid w:val="002A289B"/>
    <w:rsid w:val="002A294A"/>
    <w:rsid w:val="002A3818"/>
    <w:rsid w:val="002A3856"/>
    <w:rsid w:val="002A3967"/>
    <w:rsid w:val="002A3BAD"/>
    <w:rsid w:val="002A3C78"/>
    <w:rsid w:val="002A3F28"/>
    <w:rsid w:val="002A3F89"/>
    <w:rsid w:val="002A40C6"/>
    <w:rsid w:val="002A4287"/>
    <w:rsid w:val="002A473A"/>
    <w:rsid w:val="002A4AF8"/>
    <w:rsid w:val="002A4BF5"/>
    <w:rsid w:val="002A541F"/>
    <w:rsid w:val="002A55AF"/>
    <w:rsid w:val="002A57CE"/>
    <w:rsid w:val="002A6DE8"/>
    <w:rsid w:val="002A6FDD"/>
    <w:rsid w:val="002A755D"/>
    <w:rsid w:val="002A756A"/>
    <w:rsid w:val="002A7CA8"/>
    <w:rsid w:val="002B027B"/>
    <w:rsid w:val="002B04B9"/>
    <w:rsid w:val="002B0594"/>
    <w:rsid w:val="002B0808"/>
    <w:rsid w:val="002B0C35"/>
    <w:rsid w:val="002B0F6D"/>
    <w:rsid w:val="002B1565"/>
    <w:rsid w:val="002B178C"/>
    <w:rsid w:val="002B1A2C"/>
    <w:rsid w:val="002B1A3A"/>
    <w:rsid w:val="002B1AA2"/>
    <w:rsid w:val="002B1D96"/>
    <w:rsid w:val="002B1DC2"/>
    <w:rsid w:val="002B1EB6"/>
    <w:rsid w:val="002B1EEF"/>
    <w:rsid w:val="002B263C"/>
    <w:rsid w:val="002B2DE2"/>
    <w:rsid w:val="002B3124"/>
    <w:rsid w:val="002B320F"/>
    <w:rsid w:val="002B34CE"/>
    <w:rsid w:val="002B3632"/>
    <w:rsid w:val="002B3961"/>
    <w:rsid w:val="002B431A"/>
    <w:rsid w:val="002B4351"/>
    <w:rsid w:val="002B4431"/>
    <w:rsid w:val="002B4D75"/>
    <w:rsid w:val="002B4D79"/>
    <w:rsid w:val="002B4DA3"/>
    <w:rsid w:val="002B5021"/>
    <w:rsid w:val="002B52F2"/>
    <w:rsid w:val="002B539F"/>
    <w:rsid w:val="002B599D"/>
    <w:rsid w:val="002B5CEB"/>
    <w:rsid w:val="002B650F"/>
    <w:rsid w:val="002B697D"/>
    <w:rsid w:val="002B758C"/>
    <w:rsid w:val="002B7751"/>
    <w:rsid w:val="002B77EC"/>
    <w:rsid w:val="002B7BE5"/>
    <w:rsid w:val="002B7BFD"/>
    <w:rsid w:val="002B7E45"/>
    <w:rsid w:val="002C01F0"/>
    <w:rsid w:val="002C0383"/>
    <w:rsid w:val="002C0994"/>
    <w:rsid w:val="002C0CFC"/>
    <w:rsid w:val="002C16E8"/>
    <w:rsid w:val="002C1745"/>
    <w:rsid w:val="002C1B2D"/>
    <w:rsid w:val="002C1FE2"/>
    <w:rsid w:val="002C1FF5"/>
    <w:rsid w:val="002C2293"/>
    <w:rsid w:val="002C2879"/>
    <w:rsid w:val="002C2B72"/>
    <w:rsid w:val="002C2F04"/>
    <w:rsid w:val="002C2F67"/>
    <w:rsid w:val="002C2FEA"/>
    <w:rsid w:val="002C3384"/>
    <w:rsid w:val="002C33FD"/>
    <w:rsid w:val="002C3C36"/>
    <w:rsid w:val="002C3EB1"/>
    <w:rsid w:val="002C3F53"/>
    <w:rsid w:val="002C4982"/>
    <w:rsid w:val="002C56BD"/>
    <w:rsid w:val="002C5968"/>
    <w:rsid w:val="002C5BB9"/>
    <w:rsid w:val="002C5EF0"/>
    <w:rsid w:val="002C60C7"/>
    <w:rsid w:val="002C64E5"/>
    <w:rsid w:val="002C67B9"/>
    <w:rsid w:val="002C6FF9"/>
    <w:rsid w:val="002C701B"/>
    <w:rsid w:val="002C7454"/>
    <w:rsid w:val="002C78C8"/>
    <w:rsid w:val="002C7DF1"/>
    <w:rsid w:val="002C7F95"/>
    <w:rsid w:val="002C7FB6"/>
    <w:rsid w:val="002CC7D7"/>
    <w:rsid w:val="002D04CF"/>
    <w:rsid w:val="002D04D9"/>
    <w:rsid w:val="002D05D9"/>
    <w:rsid w:val="002D0805"/>
    <w:rsid w:val="002D0E77"/>
    <w:rsid w:val="002D1090"/>
    <w:rsid w:val="002D16CF"/>
    <w:rsid w:val="002D1997"/>
    <w:rsid w:val="002D1B10"/>
    <w:rsid w:val="002D1C43"/>
    <w:rsid w:val="002D1D04"/>
    <w:rsid w:val="002D23F3"/>
    <w:rsid w:val="002D278C"/>
    <w:rsid w:val="002D2B1D"/>
    <w:rsid w:val="002D333C"/>
    <w:rsid w:val="002D33E0"/>
    <w:rsid w:val="002D38F9"/>
    <w:rsid w:val="002D3A98"/>
    <w:rsid w:val="002D3EB3"/>
    <w:rsid w:val="002D4210"/>
    <w:rsid w:val="002D4607"/>
    <w:rsid w:val="002D4AB5"/>
    <w:rsid w:val="002D4E85"/>
    <w:rsid w:val="002D4EA4"/>
    <w:rsid w:val="002D4F93"/>
    <w:rsid w:val="002D540A"/>
    <w:rsid w:val="002D56D6"/>
    <w:rsid w:val="002D5867"/>
    <w:rsid w:val="002D5B3B"/>
    <w:rsid w:val="002D5F55"/>
    <w:rsid w:val="002D6277"/>
    <w:rsid w:val="002D6415"/>
    <w:rsid w:val="002D65C7"/>
    <w:rsid w:val="002D668F"/>
    <w:rsid w:val="002D6E08"/>
    <w:rsid w:val="002D6F9B"/>
    <w:rsid w:val="002D722F"/>
    <w:rsid w:val="002D7ADE"/>
    <w:rsid w:val="002D7B21"/>
    <w:rsid w:val="002E012D"/>
    <w:rsid w:val="002E01DE"/>
    <w:rsid w:val="002E0937"/>
    <w:rsid w:val="002E099E"/>
    <w:rsid w:val="002E0ABF"/>
    <w:rsid w:val="002E109D"/>
    <w:rsid w:val="002E1426"/>
    <w:rsid w:val="002E16CA"/>
    <w:rsid w:val="002E1947"/>
    <w:rsid w:val="002E1CC9"/>
    <w:rsid w:val="002E1F1E"/>
    <w:rsid w:val="002E1F72"/>
    <w:rsid w:val="002E220B"/>
    <w:rsid w:val="002E24FB"/>
    <w:rsid w:val="002E2504"/>
    <w:rsid w:val="002E2577"/>
    <w:rsid w:val="002E29F0"/>
    <w:rsid w:val="002E2A12"/>
    <w:rsid w:val="002E2A24"/>
    <w:rsid w:val="002E2A31"/>
    <w:rsid w:val="002E2BDC"/>
    <w:rsid w:val="002E2DCE"/>
    <w:rsid w:val="002E2F98"/>
    <w:rsid w:val="002E3062"/>
    <w:rsid w:val="002E3492"/>
    <w:rsid w:val="002E3BD9"/>
    <w:rsid w:val="002E3FB7"/>
    <w:rsid w:val="002E408C"/>
    <w:rsid w:val="002E42D8"/>
    <w:rsid w:val="002E44B3"/>
    <w:rsid w:val="002E4F0E"/>
    <w:rsid w:val="002E5045"/>
    <w:rsid w:val="002E5685"/>
    <w:rsid w:val="002E5B6A"/>
    <w:rsid w:val="002E5CDC"/>
    <w:rsid w:val="002E5E75"/>
    <w:rsid w:val="002E62B4"/>
    <w:rsid w:val="002E6562"/>
    <w:rsid w:val="002E683D"/>
    <w:rsid w:val="002E6988"/>
    <w:rsid w:val="002E7018"/>
    <w:rsid w:val="002E71D7"/>
    <w:rsid w:val="002E7235"/>
    <w:rsid w:val="002E7361"/>
    <w:rsid w:val="002F00AF"/>
    <w:rsid w:val="002F0469"/>
    <w:rsid w:val="002F0512"/>
    <w:rsid w:val="002F053D"/>
    <w:rsid w:val="002F0914"/>
    <w:rsid w:val="002F09A2"/>
    <w:rsid w:val="002F09C6"/>
    <w:rsid w:val="002F0BFA"/>
    <w:rsid w:val="002F13F4"/>
    <w:rsid w:val="002F1463"/>
    <w:rsid w:val="002F17B5"/>
    <w:rsid w:val="002F224B"/>
    <w:rsid w:val="002F2605"/>
    <w:rsid w:val="002F2DDB"/>
    <w:rsid w:val="002F3055"/>
    <w:rsid w:val="002F3485"/>
    <w:rsid w:val="002F34B9"/>
    <w:rsid w:val="002F3751"/>
    <w:rsid w:val="002F3F75"/>
    <w:rsid w:val="002F420F"/>
    <w:rsid w:val="002F4A64"/>
    <w:rsid w:val="002F4D72"/>
    <w:rsid w:val="002F4DF8"/>
    <w:rsid w:val="002F4F39"/>
    <w:rsid w:val="002F504A"/>
    <w:rsid w:val="002F512A"/>
    <w:rsid w:val="002F52C9"/>
    <w:rsid w:val="002F555D"/>
    <w:rsid w:val="002F557A"/>
    <w:rsid w:val="002F594E"/>
    <w:rsid w:val="002F5F13"/>
    <w:rsid w:val="002F6402"/>
    <w:rsid w:val="002F6697"/>
    <w:rsid w:val="002F6741"/>
    <w:rsid w:val="002F6764"/>
    <w:rsid w:val="002F6877"/>
    <w:rsid w:val="002F69EB"/>
    <w:rsid w:val="002F6AE6"/>
    <w:rsid w:val="002F6CFE"/>
    <w:rsid w:val="002F70D4"/>
    <w:rsid w:val="002F72AD"/>
    <w:rsid w:val="002F740E"/>
    <w:rsid w:val="002F79DF"/>
    <w:rsid w:val="002F7AA8"/>
    <w:rsid w:val="002F7C6F"/>
    <w:rsid w:val="002F7D02"/>
    <w:rsid w:val="0030010C"/>
    <w:rsid w:val="003002E2"/>
    <w:rsid w:val="00300640"/>
    <w:rsid w:val="00300C1A"/>
    <w:rsid w:val="00300DDC"/>
    <w:rsid w:val="00301048"/>
    <w:rsid w:val="00301406"/>
    <w:rsid w:val="00301460"/>
    <w:rsid w:val="00301493"/>
    <w:rsid w:val="0030168A"/>
    <w:rsid w:val="003016E1"/>
    <w:rsid w:val="00301792"/>
    <w:rsid w:val="003017DB"/>
    <w:rsid w:val="00301B8E"/>
    <w:rsid w:val="00301F30"/>
    <w:rsid w:val="003026EE"/>
    <w:rsid w:val="00302EFB"/>
    <w:rsid w:val="00303111"/>
    <w:rsid w:val="003031BC"/>
    <w:rsid w:val="00303419"/>
    <w:rsid w:val="00303770"/>
    <w:rsid w:val="00303933"/>
    <w:rsid w:val="00303CC0"/>
    <w:rsid w:val="00303E72"/>
    <w:rsid w:val="00304565"/>
    <w:rsid w:val="00304794"/>
    <w:rsid w:val="003048DE"/>
    <w:rsid w:val="00304902"/>
    <w:rsid w:val="00304983"/>
    <w:rsid w:val="00304FC6"/>
    <w:rsid w:val="00305122"/>
    <w:rsid w:val="0030545A"/>
    <w:rsid w:val="00305D38"/>
    <w:rsid w:val="00305D4E"/>
    <w:rsid w:val="00305DD8"/>
    <w:rsid w:val="00306091"/>
    <w:rsid w:val="003061A4"/>
    <w:rsid w:val="0030692E"/>
    <w:rsid w:val="00306B65"/>
    <w:rsid w:val="00306D16"/>
    <w:rsid w:val="00306FAC"/>
    <w:rsid w:val="00306FD1"/>
    <w:rsid w:val="003072EB"/>
    <w:rsid w:val="003075B4"/>
    <w:rsid w:val="0030761A"/>
    <w:rsid w:val="00310236"/>
    <w:rsid w:val="003104FF"/>
    <w:rsid w:val="00310AC7"/>
    <w:rsid w:val="00310C4E"/>
    <w:rsid w:val="00310F6F"/>
    <w:rsid w:val="003111DB"/>
    <w:rsid w:val="00311261"/>
    <w:rsid w:val="0031144C"/>
    <w:rsid w:val="0031155B"/>
    <w:rsid w:val="00311619"/>
    <w:rsid w:val="00311620"/>
    <w:rsid w:val="00311E3F"/>
    <w:rsid w:val="00312C16"/>
    <w:rsid w:val="00312D5C"/>
    <w:rsid w:val="00312F50"/>
    <w:rsid w:val="003137A4"/>
    <w:rsid w:val="00313898"/>
    <w:rsid w:val="0031390F"/>
    <w:rsid w:val="00313AE6"/>
    <w:rsid w:val="00313B7E"/>
    <w:rsid w:val="0031403C"/>
    <w:rsid w:val="003146BA"/>
    <w:rsid w:val="00314707"/>
    <w:rsid w:val="0031471B"/>
    <w:rsid w:val="0031524A"/>
    <w:rsid w:val="003159AB"/>
    <w:rsid w:val="003160CE"/>
    <w:rsid w:val="003166BA"/>
    <w:rsid w:val="00317052"/>
    <w:rsid w:val="003171FD"/>
    <w:rsid w:val="00320271"/>
    <w:rsid w:val="00320C15"/>
    <w:rsid w:val="003211D5"/>
    <w:rsid w:val="003213F8"/>
    <w:rsid w:val="0032165D"/>
    <w:rsid w:val="00321732"/>
    <w:rsid w:val="00321772"/>
    <w:rsid w:val="00321EE2"/>
    <w:rsid w:val="00321F46"/>
    <w:rsid w:val="00322007"/>
    <w:rsid w:val="0032220D"/>
    <w:rsid w:val="003226C3"/>
    <w:rsid w:val="00322D9A"/>
    <w:rsid w:val="00323102"/>
    <w:rsid w:val="00323208"/>
    <w:rsid w:val="0032323D"/>
    <w:rsid w:val="00323314"/>
    <w:rsid w:val="00323411"/>
    <w:rsid w:val="00323508"/>
    <w:rsid w:val="00323811"/>
    <w:rsid w:val="00323E8A"/>
    <w:rsid w:val="0032410C"/>
    <w:rsid w:val="0032428A"/>
    <w:rsid w:val="00324300"/>
    <w:rsid w:val="003246DD"/>
    <w:rsid w:val="0032488B"/>
    <w:rsid w:val="0032495C"/>
    <w:rsid w:val="00324A62"/>
    <w:rsid w:val="00325BF0"/>
    <w:rsid w:val="00325C19"/>
    <w:rsid w:val="00325C7D"/>
    <w:rsid w:val="00325DE2"/>
    <w:rsid w:val="00326034"/>
    <w:rsid w:val="0032661F"/>
    <w:rsid w:val="003267E4"/>
    <w:rsid w:val="00326E63"/>
    <w:rsid w:val="00327251"/>
    <w:rsid w:val="003272E8"/>
    <w:rsid w:val="00327676"/>
    <w:rsid w:val="00327748"/>
    <w:rsid w:val="0032775C"/>
    <w:rsid w:val="003277BC"/>
    <w:rsid w:val="0032792D"/>
    <w:rsid w:val="003279E7"/>
    <w:rsid w:val="00327D56"/>
    <w:rsid w:val="003303D0"/>
    <w:rsid w:val="00330564"/>
    <w:rsid w:val="00330870"/>
    <w:rsid w:val="003309A5"/>
    <w:rsid w:val="00330B10"/>
    <w:rsid w:val="00330B9C"/>
    <w:rsid w:val="00330FCB"/>
    <w:rsid w:val="00331001"/>
    <w:rsid w:val="0033139A"/>
    <w:rsid w:val="00331542"/>
    <w:rsid w:val="00331705"/>
    <w:rsid w:val="003317D5"/>
    <w:rsid w:val="00331DD6"/>
    <w:rsid w:val="00331F38"/>
    <w:rsid w:val="003320BD"/>
    <w:rsid w:val="00332421"/>
    <w:rsid w:val="003327CC"/>
    <w:rsid w:val="003333F1"/>
    <w:rsid w:val="003334BD"/>
    <w:rsid w:val="00333532"/>
    <w:rsid w:val="003336EA"/>
    <w:rsid w:val="003339D4"/>
    <w:rsid w:val="003339DA"/>
    <w:rsid w:val="00333A26"/>
    <w:rsid w:val="00333DC1"/>
    <w:rsid w:val="00333FA6"/>
    <w:rsid w:val="00334041"/>
    <w:rsid w:val="0033430A"/>
    <w:rsid w:val="0033463B"/>
    <w:rsid w:val="003347A2"/>
    <w:rsid w:val="00334911"/>
    <w:rsid w:val="00334A09"/>
    <w:rsid w:val="00334C45"/>
    <w:rsid w:val="003353B9"/>
    <w:rsid w:val="003357D2"/>
    <w:rsid w:val="00335862"/>
    <w:rsid w:val="00335A13"/>
    <w:rsid w:val="00335A33"/>
    <w:rsid w:val="00335C07"/>
    <w:rsid w:val="00336354"/>
    <w:rsid w:val="003365DD"/>
    <w:rsid w:val="003367EB"/>
    <w:rsid w:val="00337341"/>
    <w:rsid w:val="003377D3"/>
    <w:rsid w:val="00340897"/>
    <w:rsid w:val="00340F5F"/>
    <w:rsid w:val="00340F61"/>
    <w:rsid w:val="00340F79"/>
    <w:rsid w:val="00340FBB"/>
    <w:rsid w:val="0034113F"/>
    <w:rsid w:val="00341AA9"/>
    <w:rsid w:val="00341AC2"/>
    <w:rsid w:val="00341DC4"/>
    <w:rsid w:val="00341FA1"/>
    <w:rsid w:val="00341FA3"/>
    <w:rsid w:val="00341FC5"/>
    <w:rsid w:val="003422F6"/>
    <w:rsid w:val="00342473"/>
    <w:rsid w:val="00342AAA"/>
    <w:rsid w:val="00342DC8"/>
    <w:rsid w:val="00342F54"/>
    <w:rsid w:val="00343853"/>
    <w:rsid w:val="00343CB0"/>
    <w:rsid w:val="00343F58"/>
    <w:rsid w:val="003443AB"/>
    <w:rsid w:val="00344AF9"/>
    <w:rsid w:val="00344B0B"/>
    <w:rsid w:val="00344B1B"/>
    <w:rsid w:val="00344BE8"/>
    <w:rsid w:val="00344DB9"/>
    <w:rsid w:val="00344E73"/>
    <w:rsid w:val="00345034"/>
    <w:rsid w:val="00345298"/>
    <w:rsid w:val="003452A2"/>
    <w:rsid w:val="003452A4"/>
    <w:rsid w:val="00345A66"/>
    <w:rsid w:val="00345DF5"/>
    <w:rsid w:val="00345E49"/>
    <w:rsid w:val="0034605C"/>
    <w:rsid w:val="0034638E"/>
    <w:rsid w:val="003467F3"/>
    <w:rsid w:val="00346A12"/>
    <w:rsid w:val="00346A66"/>
    <w:rsid w:val="00346B61"/>
    <w:rsid w:val="003470FE"/>
    <w:rsid w:val="003473DF"/>
    <w:rsid w:val="0034763B"/>
    <w:rsid w:val="00347750"/>
    <w:rsid w:val="00350001"/>
    <w:rsid w:val="0035026B"/>
    <w:rsid w:val="00350614"/>
    <w:rsid w:val="0035080B"/>
    <w:rsid w:val="00350AF4"/>
    <w:rsid w:val="00350F0F"/>
    <w:rsid w:val="0035117A"/>
    <w:rsid w:val="003514E0"/>
    <w:rsid w:val="00351538"/>
    <w:rsid w:val="003519FB"/>
    <w:rsid w:val="0035203F"/>
    <w:rsid w:val="003521EE"/>
    <w:rsid w:val="003525AE"/>
    <w:rsid w:val="003527F8"/>
    <w:rsid w:val="00352B37"/>
    <w:rsid w:val="00353074"/>
    <w:rsid w:val="003530D8"/>
    <w:rsid w:val="00353101"/>
    <w:rsid w:val="00353615"/>
    <w:rsid w:val="00353A63"/>
    <w:rsid w:val="003544A4"/>
    <w:rsid w:val="003544EB"/>
    <w:rsid w:val="003545C6"/>
    <w:rsid w:val="003547ED"/>
    <w:rsid w:val="00354D66"/>
    <w:rsid w:val="00354D7D"/>
    <w:rsid w:val="00354DF8"/>
    <w:rsid w:val="00354E34"/>
    <w:rsid w:val="00354F10"/>
    <w:rsid w:val="0035519D"/>
    <w:rsid w:val="0035526A"/>
    <w:rsid w:val="00355353"/>
    <w:rsid w:val="00355BF9"/>
    <w:rsid w:val="00355F57"/>
    <w:rsid w:val="0035649E"/>
    <w:rsid w:val="0035658F"/>
    <w:rsid w:val="003565EC"/>
    <w:rsid w:val="003567AC"/>
    <w:rsid w:val="00356950"/>
    <w:rsid w:val="00356B2C"/>
    <w:rsid w:val="0035757D"/>
    <w:rsid w:val="00357854"/>
    <w:rsid w:val="00357AC6"/>
    <w:rsid w:val="00360476"/>
    <w:rsid w:val="003607FC"/>
    <w:rsid w:val="00360A6D"/>
    <w:rsid w:val="00360B55"/>
    <w:rsid w:val="00360F72"/>
    <w:rsid w:val="0036104C"/>
    <w:rsid w:val="003610EA"/>
    <w:rsid w:val="0036120E"/>
    <w:rsid w:val="00361333"/>
    <w:rsid w:val="0036140C"/>
    <w:rsid w:val="00361694"/>
    <w:rsid w:val="003618BF"/>
    <w:rsid w:val="00361CD7"/>
    <w:rsid w:val="00361D3A"/>
    <w:rsid w:val="00361EEE"/>
    <w:rsid w:val="003628DA"/>
    <w:rsid w:val="00362A0B"/>
    <w:rsid w:val="00362AB3"/>
    <w:rsid w:val="00362E85"/>
    <w:rsid w:val="00363556"/>
    <w:rsid w:val="00363B9D"/>
    <w:rsid w:val="003640BF"/>
    <w:rsid w:val="00364299"/>
    <w:rsid w:val="00364AA5"/>
    <w:rsid w:val="00364B19"/>
    <w:rsid w:val="00364B78"/>
    <w:rsid w:val="00364EAD"/>
    <w:rsid w:val="00364F01"/>
    <w:rsid w:val="0036539C"/>
    <w:rsid w:val="00365ADF"/>
    <w:rsid w:val="00365C95"/>
    <w:rsid w:val="003666D0"/>
    <w:rsid w:val="003669FD"/>
    <w:rsid w:val="00366B91"/>
    <w:rsid w:val="00366F63"/>
    <w:rsid w:val="00367555"/>
    <w:rsid w:val="0036779E"/>
    <w:rsid w:val="003677DB"/>
    <w:rsid w:val="00367A96"/>
    <w:rsid w:val="00367C01"/>
    <w:rsid w:val="00367D85"/>
    <w:rsid w:val="00370227"/>
    <w:rsid w:val="00370230"/>
    <w:rsid w:val="0037097F"/>
    <w:rsid w:val="003718A0"/>
    <w:rsid w:val="00372410"/>
    <w:rsid w:val="003728FF"/>
    <w:rsid w:val="003729EA"/>
    <w:rsid w:val="00372BDD"/>
    <w:rsid w:val="00372C75"/>
    <w:rsid w:val="00372CEB"/>
    <w:rsid w:val="00372E0F"/>
    <w:rsid w:val="00372F37"/>
    <w:rsid w:val="00372FCC"/>
    <w:rsid w:val="003736BA"/>
    <w:rsid w:val="00373BAE"/>
    <w:rsid w:val="00373D3D"/>
    <w:rsid w:val="00374867"/>
    <w:rsid w:val="00374A9E"/>
    <w:rsid w:val="00374BB0"/>
    <w:rsid w:val="00374C30"/>
    <w:rsid w:val="00374C4D"/>
    <w:rsid w:val="00374D38"/>
    <w:rsid w:val="00374DAB"/>
    <w:rsid w:val="00374EAA"/>
    <w:rsid w:val="003755F3"/>
    <w:rsid w:val="00375A25"/>
    <w:rsid w:val="00375B52"/>
    <w:rsid w:val="00375BED"/>
    <w:rsid w:val="00375E9A"/>
    <w:rsid w:val="003762D3"/>
    <w:rsid w:val="00376617"/>
    <w:rsid w:val="00376923"/>
    <w:rsid w:val="0037695A"/>
    <w:rsid w:val="00376D5D"/>
    <w:rsid w:val="00376E2F"/>
    <w:rsid w:val="00376EE1"/>
    <w:rsid w:val="00376FA2"/>
    <w:rsid w:val="0037735F"/>
    <w:rsid w:val="003773FD"/>
    <w:rsid w:val="0037765D"/>
    <w:rsid w:val="00377840"/>
    <w:rsid w:val="00377B37"/>
    <w:rsid w:val="00380224"/>
    <w:rsid w:val="003802A7"/>
    <w:rsid w:val="003802E4"/>
    <w:rsid w:val="003804CB"/>
    <w:rsid w:val="00380806"/>
    <w:rsid w:val="003810F8"/>
    <w:rsid w:val="003812AE"/>
    <w:rsid w:val="00381BFB"/>
    <w:rsid w:val="00381F19"/>
    <w:rsid w:val="003820C6"/>
    <w:rsid w:val="003824D4"/>
    <w:rsid w:val="00382548"/>
    <w:rsid w:val="0038272F"/>
    <w:rsid w:val="00382D7C"/>
    <w:rsid w:val="00383408"/>
    <w:rsid w:val="00383771"/>
    <w:rsid w:val="003838CF"/>
    <w:rsid w:val="00383AED"/>
    <w:rsid w:val="00383C3E"/>
    <w:rsid w:val="00383F3D"/>
    <w:rsid w:val="00383F86"/>
    <w:rsid w:val="003840D5"/>
    <w:rsid w:val="003844AE"/>
    <w:rsid w:val="0038473E"/>
    <w:rsid w:val="003848E9"/>
    <w:rsid w:val="003848ED"/>
    <w:rsid w:val="003849AB"/>
    <w:rsid w:val="00384A4E"/>
    <w:rsid w:val="00384A68"/>
    <w:rsid w:val="0038503C"/>
    <w:rsid w:val="00385657"/>
    <w:rsid w:val="0038594A"/>
    <w:rsid w:val="0038672B"/>
    <w:rsid w:val="003870D1"/>
    <w:rsid w:val="00387402"/>
    <w:rsid w:val="0038778F"/>
    <w:rsid w:val="003901D2"/>
    <w:rsid w:val="00390262"/>
    <w:rsid w:val="00390285"/>
    <w:rsid w:val="00390487"/>
    <w:rsid w:val="003905A2"/>
    <w:rsid w:val="0039098B"/>
    <w:rsid w:val="00390F84"/>
    <w:rsid w:val="003914D6"/>
    <w:rsid w:val="00391ACB"/>
    <w:rsid w:val="00391F72"/>
    <w:rsid w:val="00392069"/>
    <w:rsid w:val="00392235"/>
    <w:rsid w:val="00392A8A"/>
    <w:rsid w:val="00392ED2"/>
    <w:rsid w:val="0039316E"/>
    <w:rsid w:val="0039323F"/>
    <w:rsid w:val="00393746"/>
    <w:rsid w:val="00393B4F"/>
    <w:rsid w:val="00394315"/>
    <w:rsid w:val="00394392"/>
    <w:rsid w:val="003945BF"/>
    <w:rsid w:val="00394627"/>
    <w:rsid w:val="0039512F"/>
    <w:rsid w:val="0039515F"/>
    <w:rsid w:val="0039581B"/>
    <w:rsid w:val="00395D3A"/>
    <w:rsid w:val="00396115"/>
    <w:rsid w:val="00396731"/>
    <w:rsid w:val="003967E6"/>
    <w:rsid w:val="003970A8"/>
    <w:rsid w:val="003971C8"/>
    <w:rsid w:val="0039740C"/>
    <w:rsid w:val="00397411"/>
    <w:rsid w:val="003975BE"/>
    <w:rsid w:val="003976C9"/>
    <w:rsid w:val="00397707"/>
    <w:rsid w:val="003977C6"/>
    <w:rsid w:val="00397CD2"/>
    <w:rsid w:val="003A0A35"/>
    <w:rsid w:val="003A0C3B"/>
    <w:rsid w:val="003A0C8C"/>
    <w:rsid w:val="003A11AC"/>
    <w:rsid w:val="003A16A2"/>
    <w:rsid w:val="003A16FB"/>
    <w:rsid w:val="003A1ECE"/>
    <w:rsid w:val="003A2612"/>
    <w:rsid w:val="003A2666"/>
    <w:rsid w:val="003A314D"/>
    <w:rsid w:val="003A3196"/>
    <w:rsid w:val="003A35D9"/>
    <w:rsid w:val="003A3CF1"/>
    <w:rsid w:val="003A431E"/>
    <w:rsid w:val="003A4642"/>
    <w:rsid w:val="003A4DCA"/>
    <w:rsid w:val="003A4F94"/>
    <w:rsid w:val="003A523E"/>
    <w:rsid w:val="003A571A"/>
    <w:rsid w:val="003A580F"/>
    <w:rsid w:val="003A58AC"/>
    <w:rsid w:val="003A594F"/>
    <w:rsid w:val="003A5F76"/>
    <w:rsid w:val="003A606E"/>
    <w:rsid w:val="003A612D"/>
    <w:rsid w:val="003A6435"/>
    <w:rsid w:val="003A65A0"/>
    <w:rsid w:val="003A682C"/>
    <w:rsid w:val="003A6B5B"/>
    <w:rsid w:val="003A6B66"/>
    <w:rsid w:val="003A6B67"/>
    <w:rsid w:val="003A6CF8"/>
    <w:rsid w:val="003A6D67"/>
    <w:rsid w:val="003A702A"/>
    <w:rsid w:val="003A7C3E"/>
    <w:rsid w:val="003A7CB9"/>
    <w:rsid w:val="003B0201"/>
    <w:rsid w:val="003B04BB"/>
    <w:rsid w:val="003B0512"/>
    <w:rsid w:val="003B05CE"/>
    <w:rsid w:val="003B0781"/>
    <w:rsid w:val="003B091C"/>
    <w:rsid w:val="003B0CFE"/>
    <w:rsid w:val="003B12CA"/>
    <w:rsid w:val="003B17CC"/>
    <w:rsid w:val="003B19F5"/>
    <w:rsid w:val="003B1A32"/>
    <w:rsid w:val="003B1B2D"/>
    <w:rsid w:val="003B1BE7"/>
    <w:rsid w:val="003B1E2E"/>
    <w:rsid w:val="003B1F57"/>
    <w:rsid w:val="003B2116"/>
    <w:rsid w:val="003B266A"/>
    <w:rsid w:val="003B2784"/>
    <w:rsid w:val="003B28C7"/>
    <w:rsid w:val="003B293B"/>
    <w:rsid w:val="003B2B12"/>
    <w:rsid w:val="003B3102"/>
    <w:rsid w:val="003B32F1"/>
    <w:rsid w:val="003B35BC"/>
    <w:rsid w:val="003B3672"/>
    <w:rsid w:val="003B3A6E"/>
    <w:rsid w:val="003B4147"/>
    <w:rsid w:val="003B4969"/>
    <w:rsid w:val="003B4BD4"/>
    <w:rsid w:val="003B4C19"/>
    <w:rsid w:val="003B4F31"/>
    <w:rsid w:val="003B50A0"/>
    <w:rsid w:val="003B50EE"/>
    <w:rsid w:val="003B547C"/>
    <w:rsid w:val="003B5739"/>
    <w:rsid w:val="003B57BE"/>
    <w:rsid w:val="003B58DD"/>
    <w:rsid w:val="003B5D5B"/>
    <w:rsid w:val="003B6157"/>
    <w:rsid w:val="003B61F1"/>
    <w:rsid w:val="003B6361"/>
    <w:rsid w:val="003B67CD"/>
    <w:rsid w:val="003B6F25"/>
    <w:rsid w:val="003B73F2"/>
    <w:rsid w:val="003B7BD1"/>
    <w:rsid w:val="003C03A9"/>
    <w:rsid w:val="003C0490"/>
    <w:rsid w:val="003C05CC"/>
    <w:rsid w:val="003C0696"/>
    <w:rsid w:val="003C075B"/>
    <w:rsid w:val="003C0871"/>
    <w:rsid w:val="003C0AA2"/>
    <w:rsid w:val="003C0F7E"/>
    <w:rsid w:val="003C0FBD"/>
    <w:rsid w:val="003C136A"/>
    <w:rsid w:val="003C1686"/>
    <w:rsid w:val="003C1736"/>
    <w:rsid w:val="003C1E3C"/>
    <w:rsid w:val="003C315C"/>
    <w:rsid w:val="003C32AC"/>
    <w:rsid w:val="003C3911"/>
    <w:rsid w:val="003C39F7"/>
    <w:rsid w:val="003C3AA9"/>
    <w:rsid w:val="003C3BB7"/>
    <w:rsid w:val="003C3F49"/>
    <w:rsid w:val="003C42C4"/>
    <w:rsid w:val="003C42D3"/>
    <w:rsid w:val="003C456D"/>
    <w:rsid w:val="003C4CEE"/>
    <w:rsid w:val="003C4E81"/>
    <w:rsid w:val="003C5147"/>
    <w:rsid w:val="003C5179"/>
    <w:rsid w:val="003C523B"/>
    <w:rsid w:val="003C5291"/>
    <w:rsid w:val="003C56D5"/>
    <w:rsid w:val="003C59E0"/>
    <w:rsid w:val="003C5C7D"/>
    <w:rsid w:val="003C60C6"/>
    <w:rsid w:val="003C62E0"/>
    <w:rsid w:val="003C64F3"/>
    <w:rsid w:val="003C65C2"/>
    <w:rsid w:val="003C6AF9"/>
    <w:rsid w:val="003C6DDE"/>
    <w:rsid w:val="003C719E"/>
    <w:rsid w:val="003C7203"/>
    <w:rsid w:val="003C7282"/>
    <w:rsid w:val="003C73B5"/>
    <w:rsid w:val="003C7605"/>
    <w:rsid w:val="003C7872"/>
    <w:rsid w:val="003C7C83"/>
    <w:rsid w:val="003C7F71"/>
    <w:rsid w:val="003D0234"/>
    <w:rsid w:val="003D02F0"/>
    <w:rsid w:val="003D04E0"/>
    <w:rsid w:val="003D0531"/>
    <w:rsid w:val="003D0655"/>
    <w:rsid w:val="003D0755"/>
    <w:rsid w:val="003D0E96"/>
    <w:rsid w:val="003D1124"/>
    <w:rsid w:val="003D1183"/>
    <w:rsid w:val="003D130A"/>
    <w:rsid w:val="003D19B2"/>
    <w:rsid w:val="003D1ACD"/>
    <w:rsid w:val="003D21DA"/>
    <w:rsid w:val="003D22AD"/>
    <w:rsid w:val="003D2859"/>
    <w:rsid w:val="003D2BE9"/>
    <w:rsid w:val="003D2C3B"/>
    <w:rsid w:val="003D2DAD"/>
    <w:rsid w:val="003D2E41"/>
    <w:rsid w:val="003D2EFC"/>
    <w:rsid w:val="003D315A"/>
    <w:rsid w:val="003D31B5"/>
    <w:rsid w:val="003D370C"/>
    <w:rsid w:val="003D3AC5"/>
    <w:rsid w:val="003D3DED"/>
    <w:rsid w:val="003D3EED"/>
    <w:rsid w:val="003D3F6D"/>
    <w:rsid w:val="003D4146"/>
    <w:rsid w:val="003D459B"/>
    <w:rsid w:val="003D45F7"/>
    <w:rsid w:val="003D47AA"/>
    <w:rsid w:val="003D5041"/>
    <w:rsid w:val="003D512D"/>
    <w:rsid w:val="003D554A"/>
    <w:rsid w:val="003D59F6"/>
    <w:rsid w:val="003D5AD9"/>
    <w:rsid w:val="003D5D86"/>
    <w:rsid w:val="003D5EEB"/>
    <w:rsid w:val="003D6A10"/>
    <w:rsid w:val="003D6B26"/>
    <w:rsid w:val="003D6E7B"/>
    <w:rsid w:val="003D7111"/>
    <w:rsid w:val="003D72C1"/>
    <w:rsid w:val="003D7548"/>
    <w:rsid w:val="003D7898"/>
    <w:rsid w:val="003D7AB1"/>
    <w:rsid w:val="003D7BB9"/>
    <w:rsid w:val="003E05C9"/>
    <w:rsid w:val="003E0A01"/>
    <w:rsid w:val="003E0AB6"/>
    <w:rsid w:val="003E0C7A"/>
    <w:rsid w:val="003E1095"/>
    <w:rsid w:val="003E10BF"/>
    <w:rsid w:val="003E14A5"/>
    <w:rsid w:val="003E1790"/>
    <w:rsid w:val="003E18C7"/>
    <w:rsid w:val="003E1E94"/>
    <w:rsid w:val="003E22D2"/>
    <w:rsid w:val="003E2D58"/>
    <w:rsid w:val="003E3404"/>
    <w:rsid w:val="003E34D4"/>
    <w:rsid w:val="003E3599"/>
    <w:rsid w:val="003E399A"/>
    <w:rsid w:val="003E42A9"/>
    <w:rsid w:val="003E450D"/>
    <w:rsid w:val="003E479E"/>
    <w:rsid w:val="003E47F4"/>
    <w:rsid w:val="003E4928"/>
    <w:rsid w:val="003E4A29"/>
    <w:rsid w:val="003E4F22"/>
    <w:rsid w:val="003E5487"/>
    <w:rsid w:val="003E5D0D"/>
    <w:rsid w:val="003E5D97"/>
    <w:rsid w:val="003E5FED"/>
    <w:rsid w:val="003E6034"/>
    <w:rsid w:val="003E609C"/>
    <w:rsid w:val="003E60A6"/>
    <w:rsid w:val="003E60F1"/>
    <w:rsid w:val="003E6502"/>
    <w:rsid w:val="003E65BA"/>
    <w:rsid w:val="003E6B0B"/>
    <w:rsid w:val="003E6B3A"/>
    <w:rsid w:val="003E6CE1"/>
    <w:rsid w:val="003E78F3"/>
    <w:rsid w:val="003E7A72"/>
    <w:rsid w:val="003F01BC"/>
    <w:rsid w:val="003F055A"/>
    <w:rsid w:val="003F071B"/>
    <w:rsid w:val="003F0933"/>
    <w:rsid w:val="003F0BF6"/>
    <w:rsid w:val="003F0FF8"/>
    <w:rsid w:val="003F1106"/>
    <w:rsid w:val="003F1189"/>
    <w:rsid w:val="003F12B9"/>
    <w:rsid w:val="003F13F4"/>
    <w:rsid w:val="003F1CEE"/>
    <w:rsid w:val="003F24B1"/>
    <w:rsid w:val="003F25ED"/>
    <w:rsid w:val="003F261B"/>
    <w:rsid w:val="003F2890"/>
    <w:rsid w:val="003F2E22"/>
    <w:rsid w:val="003F3103"/>
    <w:rsid w:val="003F3163"/>
    <w:rsid w:val="003F358C"/>
    <w:rsid w:val="003F35F8"/>
    <w:rsid w:val="003F3816"/>
    <w:rsid w:val="003F3D1D"/>
    <w:rsid w:val="003F3F4F"/>
    <w:rsid w:val="003F4495"/>
    <w:rsid w:val="003F47DD"/>
    <w:rsid w:val="003F49B3"/>
    <w:rsid w:val="003F4E0F"/>
    <w:rsid w:val="003F4E12"/>
    <w:rsid w:val="003F4FDB"/>
    <w:rsid w:val="003F55CB"/>
    <w:rsid w:val="003F56AE"/>
    <w:rsid w:val="003F56B1"/>
    <w:rsid w:val="003F5DAC"/>
    <w:rsid w:val="003F5E14"/>
    <w:rsid w:val="003F607B"/>
    <w:rsid w:val="003F629C"/>
    <w:rsid w:val="003F6491"/>
    <w:rsid w:val="003F6829"/>
    <w:rsid w:val="003F690E"/>
    <w:rsid w:val="003F6CCC"/>
    <w:rsid w:val="003F76A1"/>
    <w:rsid w:val="003F7739"/>
    <w:rsid w:val="003F79A7"/>
    <w:rsid w:val="003F7B1B"/>
    <w:rsid w:val="003F7E77"/>
    <w:rsid w:val="0040012D"/>
    <w:rsid w:val="0040073C"/>
    <w:rsid w:val="00400A78"/>
    <w:rsid w:val="00400BA4"/>
    <w:rsid w:val="00400CC7"/>
    <w:rsid w:val="00400D05"/>
    <w:rsid w:val="00400E72"/>
    <w:rsid w:val="00400EC3"/>
    <w:rsid w:val="00401026"/>
    <w:rsid w:val="004014C9"/>
    <w:rsid w:val="004019B9"/>
    <w:rsid w:val="004020CC"/>
    <w:rsid w:val="004021BD"/>
    <w:rsid w:val="004024D3"/>
    <w:rsid w:val="0040286E"/>
    <w:rsid w:val="00402B90"/>
    <w:rsid w:val="004030EF"/>
    <w:rsid w:val="0040311E"/>
    <w:rsid w:val="00403516"/>
    <w:rsid w:val="00403A4A"/>
    <w:rsid w:val="00403BA5"/>
    <w:rsid w:val="00404038"/>
    <w:rsid w:val="004044C5"/>
    <w:rsid w:val="004046E0"/>
    <w:rsid w:val="00404A3C"/>
    <w:rsid w:val="00404C4F"/>
    <w:rsid w:val="0040559C"/>
    <w:rsid w:val="004065AB"/>
    <w:rsid w:val="004065E6"/>
    <w:rsid w:val="00406923"/>
    <w:rsid w:val="0040692F"/>
    <w:rsid w:val="00406A75"/>
    <w:rsid w:val="004070C7"/>
    <w:rsid w:val="00407174"/>
    <w:rsid w:val="004075F8"/>
    <w:rsid w:val="00407AE8"/>
    <w:rsid w:val="00407CA0"/>
    <w:rsid w:val="00407F60"/>
    <w:rsid w:val="00410362"/>
    <w:rsid w:val="00410486"/>
    <w:rsid w:val="004104D1"/>
    <w:rsid w:val="004105E0"/>
    <w:rsid w:val="004107EF"/>
    <w:rsid w:val="00410B73"/>
    <w:rsid w:val="00411307"/>
    <w:rsid w:val="00411311"/>
    <w:rsid w:val="00411382"/>
    <w:rsid w:val="00411438"/>
    <w:rsid w:val="0041156D"/>
    <w:rsid w:val="004119C1"/>
    <w:rsid w:val="0041220B"/>
    <w:rsid w:val="00412926"/>
    <w:rsid w:val="00412D64"/>
    <w:rsid w:val="00412F3D"/>
    <w:rsid w:val="0041338F"/>
    <w:rsid w:val="004133AF"/>
    <w:rsid w:val="00413665"/>
    <w:rsid w:val="00413751"/>
    <w:rsid w:val="004138CE"/>
    <w:rsid w:val="0041397A"/>
    <w:rsid w:val="00413CDD"/>
    <w:rsid w:val="00413EF0"/>
    <w:rsid w:val="004140B9"/>
    <w:rsid w:val="0041416E"/>
    <w:rsid w:val="004143ED"/>
    <w:rsid w:val="004144AF"/>
    <w:rsid w:val="0041481B"/>
    <w:rsid w:val="00414AD2"/>
    <w:rsid w:val="00414B95"/>
    <w:rsid w:val="00414C6D"/>
    <w:rsid w:val="00414D87"/>
    <w:rsid w:val="00414D93"/>
    <w:rsid w:val="004152F4"/>
    <w:rsid w:val="0041538A"/>
    <w:rsid w:val="00415455"/>
    <w:rsid w:val="0041561D"/>
    <w:rsid w:val="004167A8"/>
    <w:rsid w:val="00416C56"/>
    <w:rsid w:val="004170E4"/>
    <w:rsid w:val="004173AC"/>
    <w:rsid w:val="0041786B"/>
    <w:rsid w:val="004179DF"/>
    <w:rsid w:val="00417A4A"/>
    <w:rsid w:val="00417A64"/>
    <w:rsid w:val="00417FA2"/>
    <w:rsid w:val="004202B7"/>
    <w:rsid w:val="00420361"/>
    <w:rsid w:val="0042053C"/>
    <w:rsid w:val="00420667"/>
    <w:rsid w:val="004209DE"/>
    <w:rsid w:val="00420A29"/>
    <w:rsid w:val="00420D9B"/>
    <w:rsid w:val="00420EE4"/>
    <w:rsid w:val="00421506"/>
    <w:rsid w:val="004215DF"/>
    <w:rsid w:val="00421843"/>
    <w:rsid w:val="00421D44"/>
    <w:rsid w:val="00421E2B"/>
    <w:rsid w:val="00422043"/>
    <w:rsid w:val="00422119"/>
    <w:rsid w:val="00422343"/>
    <w:rsid w:val="00422434"/>
    <w:rsid w:val="00422B52"/>
    <w:rsid w:val="00422DE1"/>
    <w:rsid w:val="00422EC4"/>
    <w:rsid w:val="004235EA"/>
    <w:rsid w:val="00423807"/>
    <w:rsid w:val="00423864"/>
    <w:rsid w:val="00423CCC"/>
    <w:rsid w:val="00423EB1"/>
    <w:rsid w:val="0042436C"/>
    <w:rsid w:val="00425120"/>
    <w:rsid w:val="00426097"/>
    <w:rsid w:val="00426786"/>
    <w:rsid w:val="00426A4C"/>
    <w:rsid w:val="00426C6A"/>
    <w:rsid w:val="00426E8E"/>
    <w:rsid w:val="004271A2"/>
    <w:rsid w:val="004271BD"/>
    <w:rsid w:val="0042757F"/>
    <w:rsid w:val="00427619"/>
    <w:rsid w:val="0042763C"/>
    <w:rsid w:val="00430140"/>
    <w:rsid w:val="00430CBB"/>
    <w:rsid w:val="00430DAA"/>
    <w:rsid w:val="0043123B"/>
    <w:rsid w:val="00431370"/>
    <w:rsid w:val="004313E0"/>
    <w:rsid w:val="0043148C"/>
    <w:rsid w:val="0043162E"/>
    <w:rsid w:val="00431FE7"/>
    <w:rsid w:val="004322D8"/>
    <w:rsid w:val="0043233D"/>
    <w:rsid w:val="004326E3"/>
    <w:rsid w:val="004329C9"/>
    <w:rsid w:val="00432AE9"/>
    <w:rsid w:val="00432C4E"/>
    <w:rsid w:val="0043355A"/>
    <w:rsid w:val="004336DF"/>
    <w:rsid w:val="00433C2F"/>
    <w:rsid w:val="00433DAF"/>
    <w:rsid w:val="00433F24"/>
    <w:rsid w:val="004340B5"/>
    <w:rsid w:val="004349E7"/>
    <w:rsid w:val="00434A68"/>
    <w:rsid w:val="00434AFC"/>
    <w:rsid w:val="00434EA5"/>
    <w:rsid w:val="004351C8"/>
    <w:rsid w:val="00435612"/>
    <w:rsid w:val="004356B0"/>
    <w:rsid w:val="004358B6"/>
    <w:rsid w:val="004358F5"/>
    <w:rsid w:val="00435A72"/>
    <w:rsid w:val="00435E56"/>
    <w:rsid w:val="00436249"/>
    <w:rsid w:val="004364CE"/>
    <w:rsid w:val="0043672F"/>
    <w:rsid w:val="00436978"/>
    <w:rsid w:val="00436C8C"/>
    <w:rsid w:val="00436DBC"/>
    <w:rsid w:val="00436E11"/>
    <w:rsid w:val="00436E6A"/>
    <w:rsid w:val="0043744C"/>
    <w:rsid w:val="00437C1A"/>
    <w:rsid w:val="00437CDE"/>
    <w:rsid w:val="00440745"/>
    <w:rsid w:val="00440E95"/>
    <w:rsid w:val="004412E1"/>
    <w:rsid w:val="00441351"/>
    <w:rsid w:val="004415C6"/>
    <w:rsid w:val="0044161F"/>
    <w:rsid w:val="00441C58"/>
    <w:rsid w:val="00441D82"/>
    <w:rsid w:val="00441E4B"/>
    <w:rsid w:val="00442065"/>
    <w:rsid w:val="00442C31"/>
    <w:rsid w:val="00442C56"/>
    <w:rsid w:val="00442EFB"/>
    <w:rsid w:val="0044306E"/>
    <w:rsid w:val="004430DA"/>
    <w:rsid w:val="004433F6"/>
    <w:rsid w:val="00443767"/>
    <w:rsid w:val="004438FA"/>
    <w:rsid w:val="00443A18"/>
    <w:rsid w:val="00443C24"/>
    <w:rsid w:val="00443CD6"/>
    <w:rsid w:val="00443F9B"/>
    <w:rsid w:val="004440A0"/>
    <w:rsid w:val="004441D8"/>
    <w:rsid w:val="004444B9"/>
    <w:rsid w:val="00444A80"/>
    <w:rsid w:val="00444F7A"/>
    <w:rsid w:val="00444FC1"/>
    <w:rsid w:val="0044544B"/>
    <w:rsid w:val="00445741"/>
    <w:rsid w:val="00445A56"/>
    <w:rsid w:val="00445B03"/>
    <w:rsid w:val="00445DE0"/>
    <w:rsid w:val="00446371"/>
    <w:rsid w:val="00446AEC"/>
    <w:rsid w:val="00446F91"/>
    <w:rsid w:val="004470C7"/>
    <w:rsid w:val="00447308"/>
    <w:rsid w:val="0044785F"/>
    <w:rsid w:val="0044799D"/>
    <w:rsid w:val="00447B06"/>
    <w:rsid w:val="00447C75"/>
    <w:rsid w:val="00447D44"/>
    <w:rsid w:val="00447DFD"/>
    <w:rsid w:val="004505C2"/>
    <w:rsid w:val="004510C9"/>
    <w:rsid w:val="00451EAA"/>
    <w:rsid w:val="00452C48"/>
    <w:rsid w:val="004535A0"/>
    <w:rsid w:val="00453646"/>
    <w:rsid w:val="0045380D"/>
    <w:rsid w:val="00453F06"/>
    <w:rsid w:val="00453F70"/>
    <w:rsid w:val="004541D7"/>
    <w:rsid w:val="004542F8"/>
    <w:rsid w:val="0045434E"/>
    <w:rsid w:val="0045476A"/>
    <w:rsid w:val="00454EC0"/>
    <w:rsid w:val="00455153"/>
    <w:rsid w:val="00455322"/>
    <w:rsid w:val="00455381"/>
    <w:rsid w:val="0045583B"/>
    <w:rsid w:val="00455A39"/>
    <w:rsid w:val="0045623F"/>
    <w:rsid w:val="00456413"/>
    <w:rsid w:val="00456722"/>
    <w:rsid w:val="00456737"/>
    <w:rsid w:val="004569E8"/>
    <w:rsid w:val="00457680"/>
    <w:rsid w:val="00457A84"/>
    <w:rsid w:val="00457B15"/>
    <w:rsid w:val="00457C59"/>
    <w:rsid w:val="00457E36"/>
    <w:rsid w:val="0046038B"/>
    <w:rsid w:val="004607CF"/>
    <w:rsid w:val="00460BF2"/>
    <w:rsid w:val="00461243"/>
    <w:rsid w:val="0046125C"/>
    <w:rsid w:val="00461757"/>
    <w:rsid w:val="00461CC9"/>
    <w:rsid w:val="00461F85"/>
    <w:rsid w:val="00462132"/>
    <w:rsid w:val="004628D5"/>
    <w:rsid w:val="00462944"/>
    <w:rsid w:val="00462B5A"/>
    <w:rsid w:val="00462BD2"/>
    <w:rsid w:val="00462C48"/>
    <w:rsid w:val="004630E3"/>
    <w:rsid w:val="00463211"/>
    <w:rsid w:val="00463438"/>
    <w:rsid w:val="004634A4"/>
    <w:rsid w:val="00463597"/>
    <w:rsid w:val="004637D4"/>
    <w:rsid w:val="004638AF"/>
    <w:rsid w:val="004638F5"/>
    <w:rsid w:val="00463C94"/>
    <w:rsid w:val="004648F2"/>
    <w:rsid w:val="00464A8D"/>
    <w:rsid w:val="00464BA0"/>
    <w:rsid w:val="00466673"/>
    <w:rsid w:val="0046667C"/>
    <w:rsid w:val="00466D87"/>
    <w:rsid w:val="00466EE3"/>
    <w:rsid w:val="0046716A"/>
    <w:rsid w:val="004675EB"/>
    <w:rsid w:val="004677CA"/>
    <w:rsid w:val="00467A63"/>
    <w:rsid w:val="00467EC9"/>
    <w:rsid w:val="00467F23"/>
    <w:rsid w:val="00467F62"/>
    <w:rsid w:val="00470002"/>
    <w:rsid w:val="004704D2"/>
    <w:rsid w:val="00470703"/>
    <w:rsid w:val="00470A09"/>
    <w:rsid w:val="00471495"/>
    <w:rsid w:val="00471763"/>
    <w:rsid w:val="00471AC4"/>
    <w:rsid w:val="00471C30"/>
    <w:rsid w:val="00471ED5"/>
    <w:rsid w:val="00472613"/>
    <w:rsid w:val="00472C13"/>
    <w:rsid w:val="0047300C"/>
    <w:rsid w:val="00473021"/>
    <w:rsid w:val="004739B8"/>
    <w:rsid w:val="00473C6F"/>
    <w:rsid w:val="00473F3B"/>
    <w:rsid w:val="00473F85"/>
    <w:rsid w:val="004742EF"/>
    <w:rsid w:val="00474B96"/>
    <w:rsid w:val="00474D93"/>
    <w:rsid w:val="00475350"/>
    <w:rsid w:val="004756A0"/>
    <w:rsid w:val="004756C5"/>
    <w:rsid w:val="004758AF"/>
    <w:rsid w:val="0047591F"/>
    <w:rsid w:val="00475986"/>
    <w:rsid w:val="004759F7"/>
    <w:rsid w:val="00475FDA"/>
    <w:rsid w:val="0047632F"/>
    <w:rsid w:val="004764D0"/>
    <w:rsid w:val="00476539"/>
    <w:rsid w:val="00476B9E"/>
    <w:rsid w:val="00477736"/>
    <w:rsid w:val="00477836"/>
    <w:rsid w:val="004779C3"/>
    <w:rsid w:val="004800BE"/>
    <w:rsid w:val="0048028F"/>
    <w:rsid w:val="00480782"/>
    <w:rsid w:val="00480BFB"/>
    <w:rsid w:val="0048150C"/>
    <w:rsid w:val="00481908"/>
    <w:rsid w:val="00481A3D"/>
    <w:rsid w:val="00481AEC"/>
    <w:rsid w:val="00481FD0"/>
    <w:rsid w:val="004821E8"/>
    <w:rsid w:val="00482AB2"/>
    <w:rsid w:val="00482B0A"/>
    <w:rsid w:val="00482C08"/>
    <w:rsid w:val="00482D1A"/>
    <w:rsid w:val="00482D43"/>
    <w:rsid w:val="00482ED4"/>
    <w:rsid w:val="004832BF"/>
    <w:rsid w:val="004835B7"/>
    <w:rsid w:val="00483E12"/>
    <w:rsid w:val="00484D69"/>
    <w:rsid w:val="00484E25"/>
    <w:rsid w:val="00484F79"/>
    <w:rsid w:val="004855D7"/>
    <w:rsid w:val="00485B4F"/>
    <w:rsid w:val="00485B82"/>
    <w:rsid w:val="00485E50"/>
    <w:rsid w:val="0048604C"/>
    <w:rsid w:val="00486554"/>
    <w:rsid w:val="0048655E"/>
    <w:rsid w:val="00486777"/>
    <w:rsid w:val="00486788"/>
    <w:rsid w:val="004867A9"/>
    <w:rsid w:val="004869D6"/>
    <w:rsid w:val="00486A15"/>
    <w:rsid w:val="00486B67"/>
    <w:rsid w:val="00486BB2"/>
    <w:rsid w:val="00486C16"/>
    <w:rsid w:val="00486D4E"/>
    <w:rsid w:val="00486D53"/>
    <w:rsid w:val="00486E8B"/>
    <w:rsid w:val="00487034"/>
    <w:rsid w:val="0048727E"/>
    <w:rsid w:val="0048756D"/>
    <w:rsid w:val="00487D90"/>
    <w:rsid w:val="004901D7"/>
    <w:rsid w:val="004903CD"/>
    <w:rsid w:val="00490413"/>
    <w:rsid w:val="00490BD2"/>
    <w:rsid w:val="00490C80"/>
    <w:rsid w:val="00490CC2"/>
    <w:rsid w:val="0049103B"/>
    <w:rsid w:val="004911AE"/>
    <w:rsid w:val="00491287"/>
    <w:rsid w:val="0049131D"/>
    <w:rsid w:val="00491422"/>
    <w:rsid w:val="004917A3"/>
    <w:rsid w:val="00491AC2"/>
    <w:rsid w:val="00491D83"/>
    <w:rsid w:val="00491E4B"/>
    <w:rsid w:val="0049227D"/>
    <w:rsid w:val="0049263D"/>
    <w:rsid w:val="00492C05"/>
    <w:rsid w:val="00493611"/>
    <w:rsid w:val="00493D5F"/>
    <w:rsid w:val="0049402D"/>
    <w:rsid w:val="00494161"/>
    <w:rsid w:val="00494433"/>
    <w:rsid w:val="00494CD0"/>
    <w:rsid w:val="00495102"/>
    <w:rsid w:val="0049529B"/>
    <w:rsid w:val="0049548A"/>
    <w:rsid w:val="004956AC"/>
    <w:rsid w:val="0049595F"/>
    <w:rsid w:val="00496626"/>
    <w:rsid w:val="00496667"/>
    <w:rsid w:val="00496A4F"/>
    <w:rsid w:val="00496C08"/>
    <w:rsid w:val="0049716D"/>
    <w:rsid w:val="00497212"/>
    <w:rsid w:val="00497302"/>
    <w:rsid w:val="00497571"/>
    <w:rsid w:val="00497A7D"/>
    <w:rsid w:val="00497DAC"/>
    <w:rsid w:val="004A06EF"/>
    <w:rsid w:val="004A0C7B"/>
    <w:rsid w:val="004A0D10"/>
    <w:rsid w:val="004A12ED"/>
    <w:rsid w:val="004A1FB6"/>
    <w:rsid w:val="004A2255"/>
    <w:rsid w:val="004A2905"/>
    <w:rsid w:val="004A2E57"/>
    <w:rsid w:val="004A30CC"/>
    <w:rsid w:val="004A3465"/>
    <w:rsid w:val="004A35A2"/>
    <w:rsid w:val="004A361C"/>
    <w:rsid w:val="004A3654"/>
    <w:rsid w:val="004A36E9"/>
    <w:rsid w:val="004A37BD"/>
    <w:rsid w:val="004A3A40"/>
    <w:rsid w:val="004A3A4E"/>
    <w:rsid w:val="004A3B49"/>
    <w:rsid w:val="004A41B6"/>
    <w:rsid w:val="004A4360"/>
    <w:rsid w:val="004A46D9"/>
    <w:rsid w:val="004A4713"/>
    <w:rsid w:val="004A4F36"/>
    <w:rsid w:val="004A4F56"/>
    <w:rsid w:val="004A4FAC"/>
    <w:rsid w:val="004A4FDD"/>
    <w:rsid w:val="004A5357"/>
    <w:rsid w:val="004A5630"/>
    <w:rsid w:val="004A56B7"/>
    <w:rsid w:val="004A5E83"/>
    <w:rsid w:val="004A628B"/>
    <w:rsid w:val="004A69A2"/>
    <w:rsid w:val="004A69C4"/>
    <w:rsid w:val="004A69CD"/>
    <w:rsid w:val="004A6A39"/>
    <w:rsid w:val="004A6B1A"/>
    <w:rsid w:val="004A6B55"/>
    <w:rsid w:val="004A6EAB"/>
    <w:rsid w:val="004A6F1D"/>
    <w:rsid w:val="004A723A"/>
    <w:rsid w:val="004A727E"/>
    <w:rsid w:val="004A73F9"/>
    <w:rsid w:val="004A7491"/>
    <w:rsid w:val="004A75CA"/>
    <w:rsid w:val="004A78D8"/>
    <w:rsid w:val="004A7D30"/>
    <w:rsid w:val="004A7F83"/>
    <w:rsid w:val="004B001D"/>
    <w:rsid w:val="004B08A4"/>
    <w:rsid w:val="004B0A86"/>
    <w:rsid w:val="004B0B1D"/>
    <w:rsid w:val="004B1120"/>
    <w:rsid w:val="004B16D4"/>
    <w:rsid w:val="004B18D4"/>
    <w:rsid w:val="004B1A9B"/>
    <w:rsid w:val="004B2A3F"/>
    <w:rsid w:val="004B2BA7"/>
    <w:rsid w:val="004B2C9B"/>
    <w:rsid w:val="004B2D9C"/>
    <w:rsid w:val="004B30F3"/>
    <w:rsid w:val="004B32E2"/>
    <w:rsid w:val="004B339D"/>
    <w:rsid w:val="004B3607"/>
    <w:rsid w:val="004B405B"/>
    <w:rsid w:val="004B43FE"/>
    <w:rsid w:val="004B4494"/>
    <w:rsid w:val="004B4794"/>
    <w:rsid w:val="004B48B7"/>
    <w:rsid w:val="004B4BEF"/>
    <w:rsid w:val="004B4C27"/>
    <w:rsid w:val="004B4EC7"/>
    <w:rsid w:val="004B5205"/>
    <w:rsid w:val="004B521C"/>
    <w:rsid w:val="004B53D3"/>
    <w:rsid w:val="004B54E3"/>
    <w:rsid w:val="004B5608"/>
    <w:rsid w:val="004B575E"/>
    <w:rsid w:val="004B5873"/>
    <w:rsid w:val="004B5978"/>
    <w:rsid w:val="004B5B8E"/>
    <w:rsid w:val="004B5E00"/>
    <w:rsid w:val="004B6F5E"/>
    <w:rsid w:val="004B7A8B"/>
    <w:rsid w:val="004B7AD4"/>
    <w:rsid w:val="004B7DD0"/>
    <w:rsid w:val="004B7FF9"/>
    <w:rsid w:val="004C0301"/>
    <w:rsid w:val="004C064E"/>
    <w:rsid w:val="004C076E"/>
    <w:rsid w:val="004C1259"/>
    <w:rsid w:val="004C1260"/>
    <w:rsid w:val="004C20B4"/>
    <w:rsid w:val="004C2203"/>
    <w:rsid w:val="004C23A5"/>
    <w:rsid w:val="004C2421"/>
    <w:rsid w:val="004C25CB"/>
    <w:rsid w:val="004C2721"/>
    <w:rsid w:val="004C30D1"/>
    <w:rsid w:val="004C3D03"/>
    <w:rsid w:val="004C3E73"/>
    <w:rsid w:val="004C3F5B"/>
    <w:rsid w:val="004C3FBF"/>
    <w:rsid w:val="004C5050"/>
    <w:rsid w:val="004C52F9"/>
    <w:rsid w:val="004C55C6"/>
    <w:rsid w:val="004C587E"/>
    <w:rsid w:val="004C598E"/>
    <w:rsid w:val="004C5BE7"/>
    <w:rsid w:val="004C5C09"/>
    <w:rsid w:val="004C5C80"/>
    <w:rsid w:val="004C606B"/>
    <w:rsid w:val="004C696C"/>
    <w:rsid w:val="004C6D5B"/>
    <w:rsid w:val="004C709C"/>
    <w:rsid w:val="004C71AD"/>
    <w:rsid w:val="004C7406"/>
    <w:rsid w:val="004C7409"/>
    <w:rsid w:val="004C7516"/>
    <w:rsid w:val="004C75DC"/>
    <w:rsid w:val="004C7B42"/>
    <w:rsid w:val="004C7D13"/>
    <w:rsid w:val="004D0008"/>
    <w:rsid w:val="004D0188"/>
    <w:rsid w:val="004D0BBB"/>
    <w:rsid w:val="004D0DA5"/>
    <w:rsid w:val="004D0E71"/>
    <w:rsid w:val="004D0EE4"/>
    <w:rsid w:val="004D0EF1"/>
    <w:rsid w:val="004D107F"/>
    <w:rsid w:val="004D13EC"/>
    <w:rsid w:val="004D1AB7"/>
    <w:rsid w:val="004D1D02"/>
    <w:rsid w:val="004D21E5"/>
    <w:rsid w:val="004D26F1"/>
    <w:rsid w:val="004D3179"/>
    <w:rsid w:val="004D33CD"/>
    <w:rsid w:val="004D3BA8"/>
    <w:rsid w:val="004D3EE7"/>
    <w:rsid w:val="004D445A"/>
    <w:rsid w:val="004D46BD"/>
    <w:rsid w:val="004D5208"/>
    <w:rsid w:val="004D52D0"/>
    <w:rsid w:val="004D5694"/>
    <w:rsid w:val="004D58E5"/>
    <w:rsid w:val="004D59C8"/>
    <w:rsid w:val="004D5DF4"/>
    <w:rsid w:val="004D5FA0"/>
    <w:rsid w:val="004D626A"/>
    <w:rsid w:val="004D6506"/>
    <w:rsid w:val="004D6A38"/>
    <w:rsid w:val="004D6D74"/>
    <w:rsid w:val="004D6FC2"/>
    <w:rsid w:val="004D7246"/>
    <w:rsid w:val="004D7572"/>
    <w:rsid w:val="004D7CB7"/>
    <w:rsid w:val="004D7CE7"/>
    <w:rsid w:val="004D7DE8"/>
    <w:rsid w:val="004D7F0D"/>
    <w:rsid w:val="004E0674"/>
    <w:rsid w:val="004E09C8"/>
    <w:rsid w:val="004E0AC8"/>
    <w:rsid w:val="004E0B65"/>
    <w:rsid w:val="004E0D08"/>
    <w:rsid w:val="004E1111"/>
    <w:rsid w:val="004E1237"/>
    <w:rsid w:val="004E1D6E"/>
    <w:rsid w:val="004E2677"/>
    <w:rsid w:val="004E30CE"/>
    <w:rsid w:val="004E33BB"/>
    <w:rsid w:val="004E3DF4"/>
    <w:rsid w:val="004E40C0"/>
    <w:rsid w:val="004E46A6"/>
    <w:rsid w:val="004E4842"/>
    <w:rsid w:val="004E48BF"/>
    <w:rsid w:val="004E48DE"/>
    <w:rsid w:val="004E5562"/>
    <w:rsid w:val="004E55B3"/>
    <w:rsid w:val="004E5635"/>
    <w:rsid w:val="004E5875"/>
    <w:rsid w:val="004E596F"/>
    <w:rsid w:val="004E59F8"/>
    <w:rsid w:val="004E5A6D"/>
    <w:rsid w:val="004E5F61"/>
    <w:rsid w:val="004E62F7"/>
    <w:rsid w:val="004E667C"/>
    <w:rsid w:val="004E6877"/>
    <w:rsid w:val="004E6982"/>
    <w:rsid w:val="004E7050"/>
    <w:rsid w:val="004E7B07"/>
    <w:rsid w:val="004E7B3D"/>
    <w:rsid w:val="004E7FE6"/>
    <w:rsid w:val="004F081F"/>
    <w:rsid w:val="004F0916"/>
    <w:rsid w:val="004F0982"/>
    <w:rsid w:val="004F0BC8"/>
    <w:rsid w:val="004F0D29"/>
    <w:rsid w:val="004F0E6E"/>
    <w:rsid w:val="004F118D"/>
    <w:rsid w:val="004F1328"/>
    <w:rsid w:val="004F13A8"/>
    <w:rsid w:val="004F17FF"/>
    <w:rsid w:val="004F1A6F"/>
    <w:rsid w:val="004F1AE8"/>
    <w:rsid w:val="004F1CC5"/>
    <w:rsid w:val="004F1E29"/>
    <w:rsid w:val="004F2CBE"/>
    <w:rsid w:val="004F2D10"/>
    <w:rsid w:val="004F2D5E"/>
    <w:rsid w:val="004F2F0C"/>
    <w:rsid w:val="004F302C"/>
    <w:rsid w:val="004F33EE"/>
    <w:rsid w:val="004F3641"/>
    <w:rsid w:val="004F3C8A"/>
    <w:rsid w:val="004F3D52"/>
    <w:rsid w:val="004F3F76"/>
    <w:rsid w:val="004F46C9"/>
    <w:rsid w:val="004F4900"/>
    <w:rsid w:val="004F4FBE"/>
    <w:rsid w:val="004F62E9"/>
    <w:rsid w:val="004F63EC"/>
    <w:rsid w:val="004F6679"/>
    <w:rsid w:val="004F6706"/>
    <w:rsid w:val="004F6F0F"/>
    <w:rsid w:val="004F7FC8"/>
    <w:rsid w:val="0050010B"/>
    <w:rsid w:val="00500198"/>
    <w:rsid w:val="00500284"/>
    <w:rsid w:val="005006A3"/>
    <w:rsid w:val="00500767"/>
    <w:rsid w:val="00500D48"/>
    <w:rsid w:val="00501056"/>
    <w:rsid w:val="005016A9"/>
    <w:rsid w:val="005017F1"/>
    <w:rsid w:val="0050187B"/>
    <w:rsid w:val="00501890"/>
    <w:rsid w:val="00501DB7"/>
    <w:rsid w:val="00501E8A"/>
    <w:rsid w:val="00501F56"/>
    <w:rsid w:val="00502664"/>
    <w:rsid w:val="005026DD"/>
    <w:rsid w:val="00502B4A"/>
    <w:rsid w:val="00502C33"/>
    <w:rsid w:val="0050346E"/>
    <w:rsid w:val="0050358E"/>
    <w:rsid w:val="00503797"/>
    <w:rsid w:val="00503B5E"/>
    <w:rsid w:val="00503B7F"/>
    <w:rsid w:val="00503E9A"/>
    <w:rsid w:val="00503EB8"/>
    <w:rsid w:val="00504073"/>
    <w:rsid w:val="00504195"/>
    <w:rsid w:val="005041FB"/>
    <w:rsid w:val="0050459D"/>
    <w:rsid w:val="0050473F"/>
    <w:rsid w:val="00504BDC"/>
    <w:rsid w:val="00504FB9"/>
    <w:rsid w:val="00504FF0"/>
    <w:rsid w:val="0050516E"/>
    <w:rsid w:val="005056B7"/>
    <w:rsid w:val="00505E59"/>
    <w:rsid w:val="00506237"/>
    <w:rsid w:val="00506260"/>
    <w:rsid w:val="00506528"/>
    <w:rsid w:val="0050682D"/>
    <w:rsid w:val="00506D3D"/>
    <w:rsid w:val="00506E01"/>
    <w:rsid w:val="00507470"/>
    <w:rsid w:val="005075BA"/>
    <w:rsid w:val="0050777F"/>
    <w:rsid w:val="005077DD"/>
    <w:rsid w:val="00507830"/>
    <w:rsid w:val="00507840"/>
    <w:rsid w:val="00507A92"/>
    <w:rsid w:val="00507BCF"/>
    <w:rsid w:val="005101CB"/>
    <w:rsid w:val="0051045E"/>
    <w:rsid w:val="00511266"/>
    <w:rsid w:val="00511577"/>
    <w:rsid w:val="005118BD"/>
    <w:rsid w:val="005122A5"/>
    <w:rsid w:val="005123E5"/>
    <w:rsid w:val="00512796"/>
    <w:rsid w:val="00512C81"/>
    <w:rsid w:val="00512CC7"/>
    <w:rsid w:val="00512DE2"/>
    <w:rsid w:val="00513416"/>
    <w:rsid w:val="005134E4"/>
    <w:rsid w:val="005137C5"/>
    <w:rsid w:val="00513C90"/>
    <w:rsid w:val="00514838"/>
    <w:rsid w:val="00514861"/>
    <w:rsid w:val="00514A9C"/>
    <w:rsid w:val="00514AC3"/>
    <w:rsid w:val="00514C3A"/>
    <w:rsid w:val="00514CC8"/>
    <w:rsid w:val="005150BB"/>
    <w:rsid w:val="00515ADB"/>
    <w:rsid w:val="00515BC6"/>
    <w:rsid w:val="00515C8D"/>
    <w:rsid w:val="0051604C"/>
    <w:rsid w:val="005163A6"/>
    <w:rsid w:val="00516B8D"/>
    <w:rsid w:val="00516DE9"/>
    <w:rsid w:val="0051706D"/>
    <w:rsid w:val="00517719"/>
    <w:rsid w:val="00517792"/>
    <w:rsid w:val="005179BA"/>
    <w:rsid w:val="00517A5D"/>
    <w:rsid w:val="00517A74"/>
    <w:rsid w:val="00517BE3"/>
    <w:rsid w:val="00520373"/>
    <w:rsid w:val="005208BA"/>
    <w:rsid w:val="00520C9D"/>
    <w:rsid w:val="00520DFE"/>
    <w:rsid w:val="00520F75"/>
    <w:rsid w:val="005215A4"/>
    <w:rsid w:val="0052169D"/>
    <w:rsid w:val="00521ED1"/>
    <w:rsid w:val="005222FD"/>
    <w:rsid w:val="00522CFC"/>
    <w:rsid w:val="005233B3"/>
    <w:rsid w:val="005235ED"/>
    <w:rsid w:val="00523D25"/>
    <w:rsid w:val="0052501E"/>
    <w:rsid w:val="005256DA"/>
    <w:rsid w:val="005256F2"/>
    <w:rsid w:val="00525A0D"/>
    <w:rsid w:val="00525BA3"/>
    <w:rsid w:val="00526D1D"/>
    <w:rsid w:val="00526E60"/>
    <w:rsid w:val="0052748D"/>
    <w:rsid w:val="0052767B"/>
    <w:rsid w:val="00527892"/>
    <w:rsid w:val="00527CFD"/>
    <w:rsid w:val="005303CA"/>
    <w:rsid w:val="00530AF8"/>
    <w:rsid w:val="00530C55"/>
    <w:rsid w:val="0053143B"/>
    <w:rsid w:val="00531571"/>
    <w:rsid w:val="00531745"/>
    <w:rsid w:val="00531BF5"/>
    <w:rsid w:val="0053209E"/>
    <w:rsid w:val="00532297"/>
    <w:rsid w:val="00532B3A"/>
    <w:rsid w:val="00532FC1"/>
    <w:rsid w:val="0053315D"/>
    <w:rsid w:val="00533230"/>
    <w:rsid w:val="005332DA"/>
    <w:rsid w:val="005333C9"/>
    <w:rsid w:val="005334CE"/>
    <w:rsid w:val="005335D1"/>
    <w:rsid w:val="00533D05"/>
    <w:rsid w:val="00533ED0"/>
    <w:rsid w:val="005349ED"/>
    <w:rsid w:val="00534A99"/>
    <w:rsid w:val="00534C2F"/>
    <w:rsid w:val="00534C5B"/>
    <w:rsid w:val="00534D71"/>
    <w:rsid w:val="00534D7A"/>
    <w:rsid w:val="00534DF9"/>
    <w:rsid w:val="00535123"/>
    <w:rsid w:val="00535503"/>
    <w:rsid w:val="0053553F"/>
    <w:rsid w:val="00535703"/>
    <w:rsid w:val="00535897"/>
    <w:rsid w:val="00535B57"/>
    <w:rsid w:val="00535C1D"/>
    <w:rsid w:val="00536082"/>
    <w:rsid w:val="00536178"/>
    <w:rsid w:val="00536399"/>
    <w:rsid w:val="0053655F"/>
    <w:rsid w:val="00536584"/>
    <w:rsid w:val="00536E75"/>
    <w:rsid w:val="005371F1"/>
    <w:rsid w:val="0053726A"/>
    <w:rsid w:val="005379CF"/>
    <w:rsid w:val="005379D9"/>
    <w:rsid w:val="00537F39"/>
    <w:rsid w:val="0054046C"/>
    <w:rsid w:val="0054053C"/>
    <w:rsid w:val="005409A3"/>
    <w:rsid w:val="00540C81"/>
    <w:rsid w:val="005412D3"/>
    <w:rsid w:val="00541D61"/>
    <w:rsid w:val="00541DC9"/>
    <w:rsid w:val="00542027"/>
    <w:rsid w:val="00542360"/>
    <w:rsid w:val="0054237C"/>
    <w:rsid w:val="0054240F"/>
    <w:rsid w:val="00542460"/>
    <w:rsid w:val="00542518"/>
    <w:rsid w:val="005425E9"/>
    <w:rsid w:val="005428D5"/>
    <w:rsid w:val="00542940"/>
    <w:rsid w:val="00542D33"/>
    <w:rsid w:val="00542EEB"/>
    <w:rsid w:val="00542FA9"/>
    <w:rsid w:val="00543009"/>
    <w:rsid w:val="005435F8"/>
    <w:rsid w:val="00543637"/>
    <w:rsid w:val="005437B9"/>
    <w:rsid w:val="00543DDC"/>
    <w:rsid w:val="00543E66"/>
    <w:rsid w:val="00543E7D"/>
    <w:rsid w:val="00543FA6"/>
    <w:rsid w:val="00543FBD"/>
    <w:rsid w:val="00544397"/>
    <w:rsid w:val="005443CB"/>
    <w:rsid w:val="00545229"/>
    <w:rsid w:val="00545AE0"/>
    <w:rsid w:val="00545F5B"/>
    <w:rsid w:val="0054641B"/>
    <w:rsid w:val="00546645"/>
    <w:rsid w:val="005466BD"/>
    <w:rsid w:val="00546867"/>
    <w:rsid w:val="00546B5B"/>
    <w:rsid w:val="00546FD5"/>
    <w:rsid w:val="0054739D"/>
    <w:rsid w:val="005508C1"/>
    <w:rsid w:val="0055091B"/>
    <w:rsid w:val="00550D21"/>
    <w:rsid w:val="00550DDF"/>
    <w:rsid w:val="005512EA"/>
    <w:rsid w:val="00551711"/>
    <w:rsid w:val="00551A0C"/>
    <w:rsid w:val="00551A67"/>
    <w:rsid w:val="00551BDD"/>
    <w:rsid w:val="00552003"/>
    <w:rsid w:val="00552632"/>
    <w:rsid w:val="00552659"/>
    <w:rsid w:val="00552DEA"/>
    <w:rsid w:val="00552E29"/>
    <w:rsid w:val="00553547"/>
    <w:rsid w:val="00553704"/>
    <w:rsid w:val="00553D38"/>
    <w:rsid w:val="00553D8C"/>
    <w:rsid w:val="00553F84"/>
    <w:rsid w:val="005540AF"/>
    <w:rsid w:val="0055418B"/>
    <w:rsid w:val="00554207"/>
    <w:rsid w:val="005546E8"/>
    <w:rsid w:val="005547D7"/>
    <w:rsid w:val="00554810"/>
    <w:rsid w:val="00554DA2"/>
    <w:rsid w:val="00554DF0"/>
    <w:rsid w:val="00554EDA"/>
    <w:rsid w:val="00555202"/>
    <w:rsid w:val="005552F7"/>
    <w:rsid w:val="00555341"/>
    <w:rsid w:val="00555465"/>
    <w:rsid w:val="005555AA"/>
    <w:rsid w:val="00555651"/>
    <w:rsid w:val="00555719"/>
    <w:rsid w:val="00555EF9"/>
    <w:rsid w:val="00555F81"/>
    <w:rsid w:val="0055606A"/>
    <w:rsid w:val="0055613B"/>
    <w:rsid w:val="00556310"/>
    <w:rsid w:val="00556356"/>
    <w:rsid w:val="00556436"/>
    <w:rsid w:val="0055665F"/>
    <w:rsid w:val="00556788"/>
    <w:rsid w:val="00556B2F"/>
    <w:rsid w:val="00557043"/>
    <w:rsid w:val="005571BD"/>
    <w:rsid w:val="0055767C"/>
    <w:rsid w:val="00557B60"/>
    <w:rsid w:val="00557EE2"/>
    <w:rsid w:val="0056039D"/>
    <w:rsid w:val="005604FF"/>
    <w:rsid w:val="005606C0"/>
    <w:rsid w:val="005608C5"/>
    <w:rsid w:val="005612C5"/>
    <w:rsid w:val="0056136C"/>
    <w:rsid w:val="00561664"/>
    <w:rsid w:val="005617AF"/>
    <w:rsid w:val="0056184A"/>
    <w:rsid w:val="005618C4"/>
    <w:rsid w:val="005618F7"/>
    <w:rsid w:val="00561A2E"/>
    <w:rsid w:val="0056217E"/>
    <w:rsid w:val="0056248B"/>
    <w:rsid w:val="00562DF7"/>
    <w:rsid w:val="0056320E"/>
    <w:rsid w:val="005635FD"/>
    <w:rsid w:val="00563D38"/>
    <w:rsid w:val="005646A0"/>
    <w:rsid w:val="0056486E"/>
    <w:rsid w:val="00564E7A"/>
    <w:rsid w:val="00564F6E"/>
    <w:rsid w:val="005653D8"/>
    <w:rsid w:val="0056631D"/>
    <w:rsid w:val="0056632B"/>
    <w:rsid w:val="005663AA"/>
    <w:rsid w:val="00566592"/>
    <w:rsid w:val="005667A3"/>
    <w:rsid w:val="005669A5"/>
    <w:rsid w:val="005672FF"/>
    <w:rsid w:val="00567304"/>
    <w:rsid w:val="005674A4"/>
    <w:rsid w:val="005677FB"/>
    <w:rsid w:val="00567DD4"/>
    <w:rsid w:val="00567F08"/>
    <w:rsid w:val="00570137"/>
    <w:rsid w:val="00570609"/>
    <w:rsid w:val="00570D44"/>
    <w:rsid w:val="00570E03"/>
    <w:rsid w:val="00570F58"/>
    <w:rsid w:val="0057196F"/>
    <w:rsid w:val="00571FF8"/>
    <w:rsid w:val="0057209D"/>
    <w:rsid w:val="0057220F"/>
    <w:rsid w:val="005722D1"/>
    <w:rsid w:val="0057241B"/>
    <w:rsid w:val="0057287C"/>
    <w:rsid w:val="00572936"/>
    <w:rsid w:val="00572AA3"/>
    <w:rsid w:val="00572C8C"/>
    <w:rsid w:val="0057303A"/>
    <w:rsid w:val="00573127"/>
    <w:rsid w:val="0057379A"/>
    <w:rsid w:val="00573980"/>
    <w:rsid w:val="00573B8A"/>
    <w:rsid w:val="00573E32"/>
    <w:rsid w:val="00573F73"/>
    <w:rsid w:val="0057414A"/>
    <w:rsid w:val="00574315"/>
    <w:rsid w:val="005743D0"/>
    <w:rsid w:val="0057453E"/>
    <w:rsid w:val="0057473A"/>
    <w:rsid w:val="00574D38"/>
    <w:rsid w:val="00574E17"/>
    <w:rsid w:val="00574F85"/>
    <w:rsid w:val="0057566B"/>
    <w:rsid w:val="0057575F"/>
    <w:rsid w:val="00575938"/>
    <w:rsid w:val="005759D4"/>
    <w:rsid w:val="00575E64"/>
    <w:rsid w:val="00576618"/>
    <w:rsid w:val="00576642"/>
    <w:rsid w:val="005766D9"/>
    <w:rsid w:val="00576956"/>
    <w:rsid w:val="00576977"/>
    <w:rsid w:val="00576D4C"/>
    <w:rsid w:val="00577479"/>
    <w:rsid w:val="00577AFE"/>
    <w:rsid w:val="00577B69"/>
    <w:rsid w:val="00577C3E"/>
    <w:rsid w:val="00580352"/>
    <w:rsid w:val="00581EBB"/>
    <w:rsid w:val="0058219A"/>
    <w:rsid w:val="00582398"/>
    <w:rsid w:val="005823F8"/>
    <w:rsid w:val="005823FD"/>
    <w:rsid w:val="00582579"/>
    <w:rsid w:val="005825BC"/>
    <w:rsid w:val="005826CE"/>
    <w:rsid w:val="00582802"/>
    <w:rsid w:val="005828B8"/>
    <w:rsid w:val="0058298F"/>
    <w:rsid w:val="00582A4D"/>
    <w:rsid w:val="00582DA3"/>
    <w:rsid w:val="00582F84"/>
    <w:rsid w:val="005831C0"/>
    <w:rsid w:val="0058382E"/>
    <w:rsid w:val="00583956"/>
    <w:rsid w:val="00583B3E"/>
    <w:rsid w:val="00583D4D"/>
    <w:rsid w:val="00583F8F"/>
    <w:rsid w:val="005840DD"/>
    <w:rsid w:val="00584520"/>
    <w:rsid w:val="00584587"/>
    <w:rsid w:val="00584658"/>
    <w:rsid w:val="00584876"/>
    <w:rsid w:val="00584D79"/>
    <w:rsid w:val="00584EEB"/>
    <w:rsid w:val="00584F82"/>
    <w:rsid w:val="0058500D"/>
    <w:rsid w:val="00585015"/>
    <w:rsid w:val="0058504B"/>
    <w:rsid w:val="00585074"/>
    <w:rsid w:val="0058521C"/>
    <w:rsid w:val="005853E7"/>
    <w:rsid w:val="005855C2"/>
    <w:rsid w:val="00585654"/>
    <w:rsid w:val="005858C8"/>
    <w:rsid w:val="0058590B"/>
    <w:rsid w:val="0058605E"/>
    <w:rsid w:val="005861A0"/>
    <w:rsid w:val="0058695A"/>
    <w:rsid w:val="00586DB1"/>
    <w:rsid w:val="0058744D"/>
    <w:rsid w:val="005875BE"/>
    <w:rsid w:val="005875D3"/>
    <w:rsid w:val="005875E2"/>
    <w:rsid w:val="005877DD"/>
    <w:rsid w:val="005879B4"/>
    <w:rsid w:val="00587C56"/>
    <w:rsid w:val="00590010"/>
    <w:rsid w:val="00590058"/>
    <w:rsid w:val="005901AB"/>
    <w:rsid w:val="00590269"/>
    <w:rsid w:val="005905FC"/>
    <w:rsid w:val="00590A44"/>
    <w:rsid w:val="00590D8C"/>
    <w:rsid w:val="00590E04"/>
    <w:rsid w:val="00590E60"/>
    <w:rsid w:val="00590F3A"/>
    <w:rsid w:val="00591510"/>
    <w:rsid w:val="00591585"/>
    <w:rsid w:val="005916BC"/>
    <w:rsid w:val="00591970"/>
    <w:rsid w:val="00591DE8"/>
    <w:rsid w:val="00591F7E"/>
    <w:rsid w:val="00591FC1"/>
    <w:rsid w:val="00592417"/>
    <w:rsid w:val="005927CE"/>
    <w:rsid w:val="005927F4"/>
    <w:rsid w:val="00592961"/>
    <w:rsid w:val="005929B9"/>
    <w:rsid w:val="00592EE7"/>
    <w:rsid w:val="005946A9"/>
    <w:rsid w:val="00595606"/>
    <w:rsid w:val="00595831"/>
    <w:rsid w:val="0059589C"/>
    <w:rsid w:val="005959B8"/>
    <w:rsid w:val="00595ADF"/>
    <w:rsid w:val="00595B20"/>
    <w:rsid w:val="00596535"/>
    <w:rsid w:val="005969E2"/>
    <w:rsid w:val="00596DB7"/>
    <w:rsid w:val="00597257"/>
    <w:rsid w:val="0059735B"/>
    <w:rsid w:val="00597613"/>
    <w:rsid w:val="00597A76"/>
    <w:rsid w:val="00597BA5"/>
    <w:rsid w:val="00597D00"/>
    <w:rsid w:val="005A00D1"/>
    <w:rsid w:val="005A015A"/>
    <w:rsid w:val="005A03DF"/>
    <w:rsid w:val="005A0546"/>
    <w:rsid w:val="005A060D"/>
    <w:rsid w:val="005A06B4"/>
    <w:rsid w:val="005A0B1C"/>
    <w:rsid w:val="005A1278"/>
    <w:rsid w:val="005A1660"/>
    <w:rsid w:val="005A172B"/>
    <w:rsid w:val="005A1D13"/>
    <w:rsid w:val="005A1E58"/>
    <w:rsid w:val="005A255A"/>
    <w:rsid w:val="005A25E3"/>
    <w:rsid w:val="005A2637"/>
    <w:rsid w:val="005A26DB"/>
    <w:rsid w:val="005A27FE"/>
    <w:rsid w:val="005A288D"/>
    <w:rsid w:val="005A2CF6"/>
    <w:rsid w:val="005A2D0C"/>
    <w:rsid w:val="005A374A"/>
    <w:rsid w:val="005A39C9"/>
    <w:rsid w:val="005A436D"/>
    <w:rsid w:val="005A4A7D"/>
    <w:rsid w:val="005A4C6E"/>
    <w:rsid w:val="005A4EE0"/>
    <w:rsid w:val="005A512D"/>
    <w:rsid w:val="005A53CE"/>
    <w:rsid w:val="005A5458"/>
    <w:rsid w:val="005A549D"/>
    <w:rsid w:val="005A5508"/>
    <w:rsid w:val="005A5667"/>
    <w:rsid w:val="005A579F"/>
    <w:rsid w:val="005A5876"/>
    <w:rsid w:val="005A5C50"/>
    <w:rsid w:val="005A641A"/>
    <w:rsid w:val="005A68B1"/>
    <w:rsid w:val="005A6CF9"/>
    <w:rsid w:val="005A6E78"/>
    <w:rsid w:val="005A7099"/>
    <w:rsid w:val="005A77AA"/>
    <w:rsid w:val="005A7ED1"/>
    <w:rsid w:val="005B02EF"/>
    <w:rsid w:val="005B0321"/>
    <w:rsid w:val="005B039D"/>
    <w:rsid w:val="005B04A7"/>
    <w:rsid w:val="005B04A8"/>
    <w:rsid w:val="005B0840"/>
    <w:rsid w:val="005B0C6B"/>
    <w:rsid w:val="005B0FE2"/>
    <w:rsid w:val="005B1035"/>
    <w:rsid w:val="005B12E8"/>
    <w:rsid w:val="005B1AB2"/>
    <w:rsid w:val="005B1C08"/>
    <w:rsid w:val="005B1FF9"/>
    <w:rsid w:val="005B238A"/>
    <w:rsid w:val="005B292A"/>
    <w:rsid w:val="005B2E46"/>
    <w:rsid w:val="005B3384"/>
    <w:rsid w:val="005B36DC"/>
    <w:rsid w:val="005B3886"/>
    <w:rsid w:val="005B39CE"/>
    <w:rsid w:val="005B4515"/>
    <w:rsid w:val="005B516B"/>
    <w:rsid w:val="005B51D0"/>
    <w:rsid w:val="005B5249"/>
    <w:rsid w:val="005B59A6"/>
    <w:rsid w:val="005B5E27"/>
    <w:rsid w:val="005B5EB2"/>
    <w:rsid w:val="005B602F"/>
    <w:rsid w:val="005B67FD"/>
    <w:rsid w:val="005B787C"/>
    <w:rsid w:val="005B7C30"/>
    <w:rsid w:val="005B7D86"/>
    <w:rsid w:val="005B7DE5"/>
    <w:rsid w:val="005BDF53"/>
    <w:rsid w:val="005C01AF"/>
    <w:rsid w:val="005C064A"/>
    <w:rsid w:val="005C0682"/>
    <w:rsid w:val="005C0A49"/>
    <w:rsid w:val="005C0C93"/>
    <w:rsid w:val="005C11B6"/>
    <w:rsid w:val="005C1C09"/>
    <w:rsid w:val="005C27AE"/>
    <w:rsid w:val="005C2961"/>
    <w:rsid w:val="005C2FCD"/>
    <w:rsid w:val="005C3462"/>
    <w:rsid w:val="005C38BF"/>
    <w:rsid w:val="005C3AFB"/>
    <w:rsid w:val="005C3B5A"/>
    <w:rsid w:val="005C3E86"/>
    <w:rsid w:val="005C3E9E"/>
    <w:rsid w:val="005C4097"/>
    <w:rsid w:val="005C4244"/>
    <w:rsid w:val="005C448F"/>
    <w:rsid w:val="005C44FC"/>
    <w:rsid w:val="005C4651"/>
    <w:rsid w:val="005C49C0"/>
    <w:rsid w:val="005C49D0"/>
    <w:rsid w:val="005C4B13"/>
    <w:rsid w:val="005C4D61"/>
    <w:rsid w:val="005C57BD"/>
    <w:rsid w:val="005C57E5"/>
    <w:rsid w:val="005C58FC"/>
    <w:rsid w:val="005C5F37"/>
    <w:rsid w:val="005C5FD5"/>
    <w:rsid w:val="005C5FE9"/>
    <w:rsid w:val="005C62F7"/>
    <w:rsid w:val="005C6522"/>
    <w:rsid w:val="005C67D5"/>
    <w:rsid w:val="005C6C55"/>
    <w:rsid w:val="005C6F5D"/>
    <w:rsid w:val="005C70FD"/>
    <w:rsid w:val="005C7117"/>
    <w:rsid w:val="005C713F"/>
    <w:rsid w:val="005C772B"/>
    <w:rsid w:val="005C787A"/>
    <w:rsid w:val="005C79C3"/>
    <w:rsid w:val="005C7DA4"/>
    <w:rsid w:val="005D00E1"/>
    <w:rsid w:val="005D05CA"/>
    <w:rsid w:val="005D0C91"/>
    <w:rsid w:val="005D0E4B"/>
    <w:rsid w:val="005D11DC"/>
    <w:rsid w:val="005D13A5"/>
    <w:rsid w:val="005D13ED"/>
    <w:rsid w:val="005D1FCA"/>
    <w:rsid w:val="005D20D9"/>
    <w:rsid w:val="005D2E71"/>
    <w:rsid w:val="005D2EC1"/>
    <w:rsid w:val="005D2F64"/>
    <w:rsid w:val="005D307D"/>
    <w:rsid w:val="005D335A"/>
    <w:rsid w:val="005D3B35"/>
    <w:rsid w:val="005D4737"/>
    <w:rsid w:val="005D4780"/>
    <w:rsid w:val="005D4D1A"/>
    <w:rsid w:val="005D5282"/>
    <w:rsid w:val="005D53FD"/>
    <w:rsid w:val="005D558E"/>
    <w:rsid w:val="005D5B9E"/>
    <w:rsid w:val="005D5FF6"/>
    <w:rsid w:val="005D619B"/>
    <w:rsid w:val="005D6972"/>
    <w:rsid w:val="005D6C19"/>
    <w:rsid w:val="005D6C23"/>
    <w:rsid w:val="005D6D40"/>
    <w:rsid w:val="005D701A"/>
    <w:rsid w:val="005D7029"/>
    <w:rsid w:val="005D736C"/>
    <w:rsid w:val="005D7433"/>
    <w:rsid w:val="005D7465"/>
    <w:rsid w:val="005E02FF"/>
    <w:rsid w:val="005E079D"/>
    <w:rsid w:val="005E1018"/>
    <w:rsid w:val="005E1040"/>
    <w:rsid w:val="005E109C"/>
    <w:rsid w:val="005E1120"/>
    <w:rsid w:val="005E1186"/>
    <w:rsid w:val="005E1946"/>
    <w:rsid w:val="005E2044"/>
    <w:rsid w:val="005E22DC"/>
    <w:rsid w:val="005E23F9"/>
    <w:rsid w:val="005E2538"/>
    <w:rsid w:val="005E253B"/>
    <w:rsid w:val="005E25D7"/>
    <w:rsid w:val="005E2732"/>
    <w:rsid w:val="005E2DFD"/>
    <w:rsid w:val="005E31C3"/>
    <w:rsid w:val="005E3778"/>
    <w:rsid w:val="005E3811"/>
    <w:rsid w:val="005E388E"/>
    <w:rsid w:val="005E3BDF"/>
    <w:rsid w:val="005E3E5B"/>
    <w:rsid w:val="005E3F20"/>
    <w:rsid w:val="005E416F"/>
    <w:rsid w:val="005E4A09"/>
    <w:rsid w:val="005E4D77"/>
    <w:rsid w:val="005E4EA6"/>
    <w:rsid w:val="005E524E"/>
    <w:rsid w:val="005E55DB"/>
    <w:rsid w:val="005E5861"/>
    <w:rsid w:val="005E6B44"/>
    <w:rsid w:val="005E6C9A"/>
    <w:rsid w:val="005E6FBD"/>
    <w:rsid w:val="005E757F"/>
    <w:rsid w:val="005E7AED"/>
    <w:rsid w:val="005E7C77"/>
    <w:rsid w:val="005E7E87"/>
    <w:rsid w:val="005F0285"/>
    <w:rsid w:val="005F02FB"/>
    <w:rsid w:val="005F047E"/>
    <w:rsid w:val="005F0DDF"/>
    <w:rsid w:val="005F0F5D"/>
    <w:rsid w:val="005F10D7"/>
    <w:rsid w:val="005F14B2"/>
    <w:rsid w:val="005F2387"/>
    <w:rsid w:val="005F2822"/>
    <w:rsid w:val="005F2A75"/>
    <w:rsid w:val="005F2ACE"/>
    <w:rsid w:val="005F3116"/>
    <w:rsid w:val="005F3118"/>
    <w:rsid w:val="005F37DC"/>
    <w:rsid w:val="005F3AA4"/>
    <w:rsid w:val="005F3AFE"/>
    <w:rsid w:val="005F434A"/>
    <w:rsid w:val="005F46C3"/>
    <w:rsid w:val="005F4B88"/>
    <w:rsid w:val="005F4D89"/>
    <w:rsid w:val="005F4F2C"/>
    <w:rsid w:val="005F4F4C"/>
    <w:rsid w:val="005F5421"/>
    <w:rsid w:val="005F54B4"/>
    <w:rsid w:val="005F5802"/>
    <w:rsid w:val="005F5A84"/>
    <w:rsid w:val="005F5B28"/>
    <w:rsid w:val="005F5B86"/>
    <w:rsid w:val="005F5F37"/>
    <w:rsid w:val="005F6067"/>
    <w:rsid w:val="005F6269"/>
    <w:rsid w:val="005F64B9"/>
    <w:rsid w:val="005F67B3"/>
    <w:rsid w:val="005F67CF"/>
    <w:rsid w:val="005F687E"/>
    <w:rsid w:val="005F69F2"/>
    <w:rsid w:val="005F7571"/>
    <w:rsid w:val="005F790F"/>
    <w:rsid w:val="006000A4"/>
    <w:rsid w:val="006002EF"/>
    <w:rsid w:val="00600CF3"/>
    <w:rsid w:val="00600F1C"/>
    <w:rsid w:val="006012ED"/>
    <w:rsid w:val="0060148D"/>
    <w:rsid w:val="006014E9"/>
    <w:rsid w:val="00601812"/>
    <w:rsid w:val="0060188E"/>
    <w:rsid w:val="0060274C"/>
    <w:rsid w:val="006028B1"/>
    <w:rsid w:val="0060290A"/>
    <w:rsid w:val="00602A7C"/>
    <w:rsid w:val="00602B6F"/>
    <w:rsid w:val="006035A3"/>
    <w:rsid w:val="00603984"/>
    <w:rsid w:val="00603DE2"/>
    <w:rsid w:val="00603EAD"/>
    <w:rsid w:val="006045F4"/>
    <w:rsid w:val="0060483B"/>
    <w:rsid w:val="00604A45"/>
    <w:rsid w:val="00604C1B"/>
    <w:rsid w:val="00604ED2"/>
    <w:rsid w:val="00604FDC"/>
    <w:rsid w:val="00605265"/>
    <w:rsid w:val="00605400"/>
    <w:rsid w:val="00605467"/>
    <w:rsid w:val="006054F8"/>
    <w:rsid w:val="00605830"/>
    <w:rsid w:val="00605981"/>
    <w:rsid w:val="00605A2D"/>
    <w:rsid w:val="00605A89"/>
    <w:rsid w:val="00605CD6"/>
    <w:rsid w:val="006061AE"/>
    <w:rsid w:val="00606695"/>
    <w:rsid w:val="00606743"/>
    <w:rsid w:val="00606D76"/>
    <w:rsid w:val="0060754C"/>
    <w:rsid w:val="00607BDB"/>
    <w:rsid w:val="00607FEE"/>
    <w:rsid w:val="00610402"/>
    <w:rsid w:val="006107AF"/>
    <w:rsid w:val="00610ED2"/>
    <w:rsid w:val="006110A5"/>
    <w:rsid w:val="006113BC"/>
    <w:rsid w:val="00611A7D"/>
    <w:rsid w:val="00611BD5"/>
    <w:rsid w:val="0061215F"/>
    <w:rsid w:val="00612571"/>
    <w:rsid w:val="006127E6"/>
    <w:rsid w:val="00612961"/>
    <w:rsid w:val="00612A56"/>
    <w:rsid w:val="00613018"/>
    <w:rsid w:val="006131D6"/>
    <w:rsid w:val="0061347B"/>
    <w:rsid w:val="006134D4"/>
    <w:rsid w:val="006134EE"/>
    <w:rsid w:val="006136F6"/>
    <w:rsid w:val="00613B1C"/>
    <w:rsid w:val="00613B93"/>
    <w:rsid w:val="00613CC1"/>
    <w:rsid w:val="00613D87"/>
    <w:rsid w:val="0061431E"/>
    <w:rsid w:val="00614784"/>
    <w:rsid w:val="006149EC"/>
    <w:rsid w:val="00614D58"/>
    <w:rsid w:val="00614DB2"/>
    <w:rsid w:val="00615051"/>
    <w:rsid w:val="006151B6"/>
    <w:rsid w:val="00615A15"/>
    <w:rsid w:val="00615B12"/>
    <w:rsid w:val="00615C0E"/>
    <w:rsid w:val="00615E25"/>
    <w:rsid w:val="00616206"/>
    <w:rsid w:val="006164F9"/>
    <w:rsid w:val="00616798"/>
    <w:rsid w:val="00616D6E"/>
    <w:rsid w:val="0061728A"/>
    <w:rsid w:val="006174D0"/>
    <w:rsid w:val="00617666"/>
    <w:rsid w:val="0061772F"/>
    <w:rsid w:val="006178CE"/>
    <w:rsid w:val="00617B93"/>
    <w:rsid w:val="00617BE2"/>
    <w:rsid w:val="00617BE3"/>
    <w:rsid w:val="00620371"/>
    <w:rsid w:val="00620433"/>
    <w:rsid w:val="00620768"/>
    <w:rsid w:val="00620842"/>
    <w:rsid w:val="00620962"/>
    <w:rsid w:val="00620B34"/>
    <w:rsid w:val="00620BEF"/>
    <w:rsid w:val="00620C13"/>
    <w:rsid w:val="006215BF"/>
    <w:rsid w:val="0062167E"/>
    <w:rsid w:val="006217D6"/>
    <w:rsid w:val="00621B48"/>
    <w:rsid w:val="00621BE0"/>
    <w:rsid w:val="00621CEE"/>
    <w:rsid w:val="00621E07"/>
    <w:rsid w:val="00621FB7"/>
    <w:rsid w:val="006220DD"/>
    <w:rsid w:val="0062251C"/>
    <w:rsid w:val="00622594"/>
    <w:rsid w:val="006228DB"/>
    <w:rsid w:val="00622A5E"/>
    <w:rsid w:val="00622B69"/>
    <w:rsid w:val="00622CCD"/>
    <w:rsid w:val="00622E57"/>
    <w:rsid w:val="0062354E"/>
    <w:rsid w:val="006236C7"/>
    <w:rsid w:val="00623B13"/>
    <w:rsid w:val="00623D65"/>
    <w:rsid w:val="00623F13"/>
    <w:rsid w:val="00624247"/>
    <w:rsid w:val="00624410"/>
    <w:rsid w:val="006246F4"/>
    <w:rsid w:val="00624FC9"/>
    <w:rsid w:val="006258D2"/>
    <w:rsid w:val="00625A01"/>
    <w:rsid w:val="00625D1F"/>
    <w:rsid w:val="00626275"/>
    <w:rsid w:val="00626453"/>
    <w:rsid w:val="0062681F"/>
    <w:rsid w:val="00626E10"/>
    <w:rsid w:val="00626F0C"/>
    <w:rsid w:val="006272C5"/>
    <w:rsid w:val="00627342"/>
    <w:rsid w:val="006273EE"/>
    <w:rsid w:val="00627D7D"/>
    <w:rsid w:val="00627FD9"/>
    <w:rsid w:val="0063061D"/>
    <w:rsid w:val="006306B3"/>
    <w:rsid w:val="006307BC"/>
    <w:rsid w:val="0063097C"/>
    <w:rsid w:val="006310A5"/>
    <w:rsid w:val="0063147D"/>
    <w:rsid w:val="00631D8F"/>
    <w:rsid w:val="00631DCB"/>
    <w:rsid w:val="00631FC5"/>
    <w:rsid w:val="00632378"/>
    <w:rsid w:val="00633101"/>
    <w:rsid w:val="00633252"/>
    <w:rsid w:val="0063339A"/>
    <w:rsid w:val="00633444"/>
    <w:rsid w:val="006335BA"/>
    <w:rsid w:val="00633650"/>
    <w:rsid w:val="00633A4D"/>
    <w:rsid w:val="00633AF1"/>
    <w:rsid w:val="00633FB6"/>
    <w:rsid w:val="006340C0"/>
    <w:rsid w:val="00634129"/>
    <w:rsid w:val="0063427D"/>
    <w:rsid w:val="006342C0"/>
    <w:rsid w:val="00634368"/>
    <w:rsid w:val="0063486D"/>
    <w:rsid w:val="00634FD9"/>
    <w:rsid w:val="00635787"/>
    <w:rsid w:val="00635976"/>
    <w:rsid w:val="00635CCA"/>
    <w:rsid w:val="0063604A"/>
    <w:rsid w:val="0063635E"/>
    <w:rsid w:val="006363FE"/>
    <w:rsid w:val="00636A28"/>
    <w:rsid w:val="00636BAA"/>
    <w:rsid w:val="00636F1B"/>
    <w:rsid w:val="0063735E"/>
    <w:rsid w:val="00637598"/>
    <w:rsid w:val="00637844"/>
    <w:rsid w:val="00637BFD"/>
    <w:rsid w:val="006403D7"/>
    <w:rsid w:val="006404BA"/>
    <w:rsid w:val="0064057B"/>
    <w:rsid w:val="006407C0"/>
    <w:rsid w:val="006407DF"/>
    <w:rsid w:val="00640A78"/>
    <w:rsid w:val="00640C00"/>
    <w:rsid w:val="00640FE2"/>
    <w:rsid w:val="00641A45"/>
    <w:rsid w:val="00641AB3"/>
    <w:rsid w:val="00641F68"/>
    <w:rsid w:val="00642465"/>
    <w:rsid w:val="00642677"/>
    <w:rsid w:val="006428B5"/>
    <w:rsid w:val="006429E1"/>
    <w:rsid w:val="00642BCD"/>
    <w:rsid w:val="00642F7F"/>
    <w:rsid w:val="00643107"/>
    <w:rsid w:val="00643476"/>
    <w:rsid w:val="00643717"/>
    <w:rsid w:val="00643C5E"/>
    <w:rsid w:val="00644216"/>
    <w:rsid w:val="0064463D"/>
    <w:rsid w:val="006447CE"/>
    <w:rsid w:val="006448DA"/>
    <w:rsid w:val="00644974"/>
    <w:rsid w:val="00644E33"/>
    <w:rsid w:val="00644F38"/>
    <w:rsid w:val="00644FA1"/>
    <w:rsid w:val="006450D7"/>
    <w:rsid w:val="00645339"/>
    <w:rsid w:val="006453FA"/>
    <w:rsid w:val="00645A58"/>
    <w:rsid w:val="006460C9"/>
    <w:rsid w:val="006460EB"/>
    <w:rsid w:val="006460F0"/>
    <w:rsid w:val="006460FE"/>
    <w:rsid w:val="0064632F"/>
    <w:rsid w:val="006463A5"/>
    <w:rsid w:val="006465EA"/>
    <w:rsid w:val="00646944"/>
    <w:rsid w:val="00646A9F"/>
    <w:rsid w:val="00646B2D"/>
    <w:rsid w:val="00646F80"/>
    <w:rsid w:val="006472EE"/>
    <w:rsid w:val="006478E0"/>
    <w:rsid w:val="0065051C"/>
    <w:rsid w:val="0065070F"/>
    <w:rsid w:val="00650755"/>
    <w:rsid w:val="006508D0"/>
    <w:rsid w:val="00650CBA"/>
    <w:rsid w:val="00650D5D"/>
    <w:rsid w:val="00650E70"/>
    <w:rsid w:val="00651117"/>
    <w:rsid w:val="00651A89"/>
    <w:rsid w:val="00651C94"/>
    <w:rsid w:val="0065298C"/>
    <w:rsid w:val="00652A9F"/>
    <w:rsid w:val="00652BD2"/>
    <w:rsid w:val="00652D23"/>
    <w:rsid w:val="00652D5F"/>
    <w:rsid w:val="0065356B"/>
    <w:rsid w:val="00653F35"/>
    <w:rsid w:val="00654069"/>
    <w:rsid w:val="006544D4"/>
    <w:rsid w:val="0065478E"/>
    <w:rsid w:val="00654A4F"/>
    <w:rsid w:val="00654AC8"/>
    <w:rsid w:val="00654DA4"/>
    <w:rsid w:val="00654EAB"/>
    <w:rsid w:val="00654EC9"/>
    <w:rsid w:val="00655272"/>
    <w:rsid w:val="006552B5"/>
    <w:rsid w:val="00655319"/>
    <w:rsid w:val="00655709"/>
    <w:rsid w:val="00655764"/>
    <w:rsid w:val="0065611E"/>
    <w:rsid w:val="00656279"/>
    <w:rsid w:val="006567A6"/>
    <w:rsid w:val="00656C65"/>
    <w:rsid w:val="0065721B"/>
    <w:rsid w:val="00657336"/>
    <w:rsid w:val="006573B2"/>
    <w:rsid w:val="00657556"/>
    <w:rsid w:val="006579CD"/>
    <w:rsid w:val="00657ABC"/>
    <w:rsid w:val="00657E75"/>
    <w:rsid w:val="0066008A"/>
    <w:rsid w:val="00660CC1"/>
    <w:rsid w:val="00660DA5"/>
    <w:rsid w:val="0066135F"/>
    <w:rsid w:val="006613C3"/>
    <w:rsid w:val="00661539"/>
    <w:rsid w:val="0066193C"/>
    <w:rsid w:val="006619CE"/>
    <w:rsid w:val="00661B28"/>
    <w:rsid w:val="0066200C"/>
    <w:rsid w:val="00662338"/>
    <w:rsid w:val="0066289B"/>
    <w:rsid w:val="00662CE4"/>
    <w:rsid w:val="00662F91"/>
    <w:rsid w:val="006630F1"/>
    <w:rsid w:val="006631AA"/>
    <w:rsid w:val="00663337"/>
    <w:rsid w:val="006633BD"/>
    <w:rsid w:val="00663B38"/>
    <w:rsid w:val="00663B64"/>
    <w:rsid w:val="006640D8"/>
    <w:rsid w:val="0066463F"/>
    <w:rsid w:val="00664CAD"/>
    <w:rsid w:val="006650B2"/>
    <w:rsid w:val="00665117"/>
    <w:rsid w:val="00665536"/>
    <w:rsid w:val="0066554F"/>
    <w:rsid w:val="00665759"/>
    <w:rsid w:val="0066599D"/>
    <w:rsid w:val="00665F7A"/>
    <w:rsid w:val="006660F1"/>
    <w:rsid w:val="00666291"/>
    <w:rsid w:val="00666553"/>
    <w:rsid w:val="00666686"/>
    <w:rsid w:val="00666B96"/>
    <w:rsid w:val="00666DC2"/>
    <w:rsid w:val="00666F8A"/>
    <w:rsid w:val="0066725B"/>
    <w:rsid w:val="0066735D"/>
    <w:rsid w:val="006673EB"/>
    <w:rsid w:val="00667A87"/>
    <w:rsid w:val="00667AB9"/>
    <w:rsid w:val="00667C58"/>
    <w:rsid w:val="00667F2B"/>
    <w:rsid w:val="0067035E"/>
    <w:rsid w:val="00670578"/>
    <w:rsid w:val="00670685"/>
    <w:rsid w:val="00670EA6"/>
    <w:rsid w:val="00671212"/>
    <w:rsid w:val="006715A9"/>
    <w:rsid w:val="006717AE"/>
    <w:rsid w:val="00671D78"/>
    <w:rsid w:val="0067224C"/>
    <w:rsid w:val="00672410"/>
    <w:rsid w:val="00672597"/>
    <w:rsid w:val="00672688"/>
    <w:rsid w:val="0067320D"/>
    <w:rsid w:val="0067363F"/>
    <w:rsid w:val="006737A3"/>
    <w:rsid w:val="0067388F"/>
    <w:rsid w:val="00673B87"/>
    <w:rsid w:val="0067402C"/>
    <w:rsid w:val="006753D2"/>
    <w:rsid w:val="006755DF"/>
    <w:rsid w:val="00675643"/>
    <w:rsid w:val="0067576A"/>
    <w:rsid w:val="0067587F"/>
    <w:rsid w:val="0067589F"/>
    <w:rsid w:val="0067590F"/>
    <w:rsid w:val="0067596C"/>
    <w:rsid w:val="006759B4"/>
    <w:rsid w:val="00675AC0"/>
    <w:rsid w:val="00675E9D"/>
    <w:rsid w:val="00676065"/>
    <w:rsid w:val="00676A96"/>
    <w:rsid w:val="0067774A"/>
    <w:rsid w:val="006777B6"/>
    <w:rsid w:val="0067791F"/>
    <w:rsid w:val="00677929"/>
    <w:rsid w:val="00677B3B"/>
    <w:rsid w:val="00677B3C"/>
    <w:rsid w:val="006800BE"/>
    <w:rsid w:val="00680632"/>
    <w:rsid w:val="00680913"/>
    <w:rsid w:val="006812E9"/>
    <w:rsid w:val="006815D6"/>
    <w:rsid w:val="006817C4"/>
    <w:rsid w:val="00681E37"/>
    <w:rsid w:val="00681E43"/>
    <w:rsid w:val="00682392"/>
    <w:rsid w:val="00682498"/>
    <w:rsid w:val="00682631"/>
    <w:rsid w:val="0068284C"/>
    <w:rsid w:val="00682E0A"/>
    <w:rsid w:val="00682FED"/>
    <w:rsid w:val="006830A1"/>
    <w:rsid w:val="00683141"/>
    <w:rsid w:val="00683171"/>
    <w:rsid w:val="00683206"/>
    <w:rsid w:val="00683273"/>
    <w:rsid w:val="006834B4"/>
    <w:rsid w:val="006835A5"/>
    <w:rsid w:val="006835CA"/>
    <w:rsid w:val="006835CB"/>
    <w:rsid w:val="00683CD2"/>
    <w:rsid w:val="00683F1D"/>
    <w:rsid w:val="00684375"/>
    <w:rsid w:val="0068458E"/>
    <w:rsid w:val="00684870"/>
    <w:rsid w:val="00684CE6"/>
    <w:rsid w:val="00684FA5"/>
    <w:rsid w:val="0068512A"/>
    <w:rsid w:val="006852BD"/>
    <w:rsid w:val="00685561"/>
    <w:rsid w:val="00685F9D"/>
    <w:rsid w:val="006862D0"/>
    <w:rsid w:val="00686693"/>
    <w:rsid w:val="00686B09"/>
    <w:rsid w:val="006870AE"/>
    <w:rsid w:val="0068716D"/>
    <w:rsid w:val="006873F7"/>
    <w:rsid w:val="00687C0B"/>
    <w:rsid w:val="00687CE2"/>
    <w:rsid w:val="00687FB3"/>
    <w:rsid w:val="006901F7"/>
    <w:rsid w:val="0069024A"/>
    <w:rsid w:val="006902AB"/>
    <w:rsid w:val="00690C60"/>
    <w:rsid w:val="00690D18"/>
    <w:rsid w:val="00690F94"/>
    <w:rsid w:val="0069155E"/>
    <w:rsid w:val="00691ABE"/>
    <w:rsid w:val="00691F9F"/>
    <w:rsid w:val="00692001"/>
    <w:rsid w:val="0069227F"/>
    <w:rsid w:val="006923EF"/>
    <w:rsid w:val="00692502"/>
    <w:rsid w:val="0069296F"/>
    <w:rsid w:val="006929B7"/>
    <w:rsid w:val="00692C8A"/>
    <w:rsid w:val="00692E22"/>
    <w:rsid w:val="00692FA5"/>
    <w:rsid w:val="00693145"/>
    <w:rsid w:val="00693344"/>
    <w:rsid w:val="006935B3"/>
    <w:rsid w:val="006935F6"/>
    <w:rsid w:val="006939AC"/>
    <w:rsid w:val="00693B28"/>
    <w:rsid w:val="00693EA2"/>
    <w:rsid w:val="00693EC5"/>
    <w:rsid w:val="006942FB"/>
    <w:rsid w:val="006943FE"/>
    <w:rsid w:val="006946C2"/>
    <w:rsid w:val="00694A68"/>
    <w:rsid w:val="00694A8D"/>
    <w:rsid w:val="00694C15"/>
    <w:rsid w:val="006951B0"/>
    <w:rsid w:val="006954AF"/>
    <w:rsid w:val="006959A9"/>
    <w:rsid w:val="00696508"/>
    <w:rsid w:val="006968CE"/>
    <w:rsid w:val="0069699C"/>
    <w:rsid w:val="006969C9"/>
    <w:rsid w:val="00696BFB"/>
    <w:rsid w:val="00696C89"/>
    <w:rsid w:val="00696CCA"/>
    <w:rsid w:val="0069733D"/>
    <w:rsid w:val="0069734B"/>
    <w:rsid w:val="006A0EB6"/>
    <w:rsid w:val="006A0EDA"/>
    <w:rsid w:val="006A11B5"/>
    <w:rsid w:val="006A1207"/>
    <w:rsid w:val="006A13D0"/>
    <w:rsid w:val="006A1938"/>
    <w:rsid w:val="006A1B4A"/>
    <w:rsid w:val="006A1FF0"/>
    <w:rsid w:val="006A2030"/>
    <w:rsid w:val="006A21FA"/>
    <w:rsid w:val="006A22CF"/>
    <w:rsid w:val="006A2F23"/>
    <w:rsid w:val="006A3076"/>
    <w:rsid w:val="006A30F5"/>
    <w:rsid w:val="006A316F"/>
    <w:rsid w:val="006A35D3"/>
    <w:rsid w:val="006A3A89"/>
    <w:rsid w:val="006A3E8C"/>
    <w:rsid w:val="006A483A"/>
    <w:rsid w:val="006A488A"/>
    <w:rsid w:val="006A5966"/>
    <w:rsid w:val="006A5F6B"/>
    <w:rsid w:val="006A6091"/>
    <w:rsid w:val="006A632A"/>
    <w:rsid w:val="006A67C1"/>
    <w:rsid w:val="006A686F"/>
    <w:rsid w:val="006A6C2D"/>
    <w:rsid w:val="006A6D73"/>
    <w:rsid w:val="006A7002"/>
    <w:rsid w:val="006A7477"/>
    <w:rsid w:val="006A74A8"/>
    <w:rsid w:val="006A7AD6"/>
    <w:rsid w:val="006A7BCF"/>
    <w:rsid w:val="006A7FEE"/>
    <w:rsid w:val="006B038D"/>
    <w:rsid w:val="006B03F4"/>
    <w:rsid w:val="006B07DC"/>
    <w:rsid w:val="006B0881"/>
    <w:rsid w:val="006B0B3B"/>
    <w:rsid w:val="006B1049"/>
    <w:rsid w:val="006B104C"/>
    <w:rsid w:val="006B1284"/>
    <w:rsid w:val="006B16C4"/>
    <w:rsid w:val="006B1BBA"/>
    <w:rsid w:val="006B1EF1"/>
    <w:rsid w:val="006B26F3"/>
    <w:rsid w:val="006B28A2"/>
    <w:rsid w:val="006B2978"/>
    <w:rsid w:val="006B2A6E"/>
    <w:rsid w:val="006B2AF3"/>
    <w:rsid w:val="006B2DC8"/>
    <w:rsid w:val="006B2F6F"/>
    <w:rsid w:val="006B3495"/>
    <w:rsid w:val="006B3554"/>
    <w:rsid w:val="006B3811"/>
    <w:rsid w:val="006B3B4C"/>
    <w:rsid w:val="006B3C13"/>
    <w:rsid w:val="006B3EB6"/>
    <w:rsid w:val="006B422B"/>
    <w:rsid w:val="006B4449"/>
    <w:rsid w:val="006B4A6F"/>
    <w:rsid w:val="006B4A7A"/>
    <w:rsid w:val="006B4C1F"/>
    <w:rsid w:val="006B4EAA"/>
    <w:rsid w:val="006B508D"/>
    <w:rsid w:val="006B5416"/>
    <w:rsid w:val="006B5A91"/>
    <w:rsid w:val="006B5EAE"/>
    <w:rsid w:val="006B6449"/>
    <w:rsid w:val="006B69BA"/>
    <w:rsid w:val="006B6A22"/>
    <w:rsid w:val="006B6A90"/>
    <w:rsid w:val="006B6C86"/>
    <w:rsid w:val="006B6C9D"/>
    <w:rsid w:val="006B70DC"/>
    <w:rsid w:val="006B71E1"/>
    <w:rsid w:val="006B7281"/>
    <w:rsid w:val="006B746A"/>
    <w:rsid w:val="006B7775"/>
    <w:rsid w:val="006B7957"/>
    <w:rsid w:val="006C138E"/>
    <w:rsid w:val="006C15DD"/>
    <w:rsid w:val="006C1877"/>
    <w:rsid w:val="006C1CA8"/>
    <w:rsid w:val="006C1FA0"/>
    <w:rsid w:val="006C20DB"/>
    <w:rsid w:val="006C229F"/>
    <w:rsid w:val="006C2A30"/>
    <w:rsid w:val="006C2CD5"/>
    <w:rsid w:val="006C341B"/>
    <w:rsid w:val="006C3757"/>
    <w:rsid w:val="006C39F1"/>
    <w:rsid w:val="006C3B02"/>
    <w:rsid w:val="006C3B2D"/>
    <w:rsid w:val="006C4078"/>
    <w:rsid w:val="006C434F"/>
    <w:rsid w:val="006C443D"/>
    <w:rsid w:val="006C4A5B"/>
    <w:rsid w:val="006C4A77"/>
    <w:rsid w:val="006C4B1B"/>
    <w:rsid w:val="006C5272"/>
    <w:rsid w:val="006C5C13"/>
    <w:rsid w:val="006C5FA0"/>
    <w:rsid w:val="006C624C"/>
    <w:rsid w:val="006C6635"/>
    <w:rsid w:val="006C713E"/>
    <w:rsid w:val="006C72A0"/>
    <w:rsid w:val="006C752E"/>
    <w:rsid w:val="006C76B1"/>
    <w:rsid w:val="006C7887"/>
    <w:rsid w:val="006C7B43"/>
    <w:rsid w:val="006C7CE3"/>
    <w:rsid w:val="006D01F6"/>
    <w:rsid w:val="006D022C"/>
    <w:rsid w:val="006D0479"/>
    <w:rsid w:val="006D061A"/>
    <w:rsid w:val="006D0781"/>
    <w:rsid w:val="006D07BF"/>
    <w:rsid w:val="006D0A15"/>
    <w:rsid w:val="006D0AE4"/>
    <w:rsid w:val="006D0C0C"/>
    <w:rsid w:val="006D1484"/>
    <w:rsid w:val="006D1D9E"/>
    <w:rsid w:val="006D1E7B"/>
    <w:rsid w:val="006D218F"/>
    <w:rsid w:val="006D243C"/>
    <w:rsid w:val="006D273B"/>
    <w:rsid w:val="006D3218"/>
    <w:rsid w:val="006D340D"/>
    <w:rsid w:val="006D3498"/>
    <w:rsid w:val="006D36F1"/>
    <w:rsid w:val="006D37DD"/>
    <w:rsid w:val="006D3995"/>
    <w:rsid w:val="006D3BFD"/>
    <w:rsid w:val="006D40BE"/>
    <w:rsid w:val="006D42E0"/>
    <w:rsid w:val="006D4598"/>
    <w:rsid w:val="006D4F6B"/>
    <w:rsid w:val="006D5085"/>
    <w:rsid w:val="006D56CC"/>
    <w:rsid w:val="006D56DD"/>
    <w:rsid w:val="006D56FF"/>
    <w:rsid w:val="006D59F0"/>
    <w:rsid w:val="006D5ECF"/>
    <w:rsid w:val="006D61F5"/>
    <w:rsid w:val="006D6271"/>
    <w:rsid w:val="006D62D5"/>
    <w:rsid w:val="006D6656"/>
    <w:rsid w:val="006D6772"/>
    <w:rsid w:val="006D6C7F"/>
    <w:rsid w:val="006D7059"/>
    <w:rsid w:val="006D7399"/>
    <w:rsid w:val="006D75F9"/>
    <w:rsid w:val="006D7EDE"/>
    <w:rsid w:val="006E0CA7"/>
    <w:rsid w:val="006E109D"/>
    <w:rsid w:val="006E1139"/>
    <w:rsid w:val="006E147A"/>
    <w:rsid w:val="006E154F"/>
    <w:rsid w:val="006E173B"/>
    <w:rsid w:val="006E1791"/>
    <w:rsid w:val="006E1EF4"/>
    <w:rsid w:val="006E287E"/>
    <w:rsid w:val="006E30D0"/>
    <w:rsid w:val="006E347C"/>
    <w:rsid w:val="006E3992"/>
    <w:rsid w:val="006E4467"/>
    <w:rsid w:val="006E456E"/>
    <w:rsid w:val="006E48CC"/>
    <w:rsid w:val="006E4C23"/>
    <w:rsid w:val="006E4FCB"/>
    <w:rsid w:val="006E4FF5"/>
    <w:rsid w:val="006E5103"/>
    <w:rsid w:val="006E514B"/>
    <w:rsid w:val="006E542A"/>
    <w:rsid w:val="006E5433"/>
    <w:rsid w:val="006E572B"/>
    <w:rsid w:val="006E57FF"/>
    <w:rsid w:val="006E589E"/>
    <w:rsid w:val="006E5AF0"/>
    <w:rsid w:val="006E64B5"/>
    <w:rsid w:val="006E6643"/>
    <w:rsid w:val="006E6BE2"/>
    <w:rsid w:val="006E6E29"/>
    <w:rsid w:val="006E6F64"/>
    <w:rsid w:val="006E75F6"/>
    <w:rsid w:val="006E7D03"/>
    <w:rsid w:val="006E7D07"/>
    <w:rsid w:val="006F0170"/>
    <w:rsid w:val="006F04C3"/>
    <w:rsid w:val="006F0AB9"/>
    <w:rsid w:val="006F1731"/>
    <w:rsid w:val="006F1976"/>
    <w:rsid w:val="006F1FFD"/>
    <w:rsid w:val="006F2235"/>
    <w:rsid w:val="006F22B1"/>
    <w:rsid w:val="006F22B4"/>
    <w:rsid w:val="006F262E"/>
    <w:rsid w:val="006F27C3"/>
    <w:rsid w:val="006F2AEF"/>
    <w:rsid w:val="006F2DE2"/>
    <w:rsid w:val="006F30ED"/>
    <w:rsid w:val="006F3811"/>
    <w:rsid w:val="006F39E5"/>
    <w:rsid w:val="006F4128"/>
    <w:rsid w:val="006F4186"/>
    <w:rsid w:val="006F4332"/>
    <w:rsid w:val="006F448B"/>
    <w:rsid w:val="006F44BF"/>
    <w:rsid w:val="006F45D0"/>
    <w:rsid w:val="006F45F9"/>
    <w:rsid w:val="006F4841"/>
    <w:rsid w:val="006F485C"/>
    <w:rsid w:val="006F48A4"/>
    <w:rsid w:val="006F4A2B"/>
    <w:rsid w:val="006F4ABF"/>
    <w:rsid w:val="006F4CE4"/>
    <w:rsid w:val="006F4FF4"/>
    <w:rsid w:val="006F53AE"/>
    <w:rsid w:val="006F5859"/>
    <w:rsid w:val="006F5B1E"/>
    <w:rsid w:val="006F5B3B"/>
    <w:rsid w:val="006F5FA9"/>
    <w:rsid w:val="006F6060"/>
    <w:rsid w:val="006F6B18"/>
    <w:rsid w:val="006F6C58"/>
    <w:rsid w:val="006F72AB"/>
    <w:rsid w:val="006F72FF"/>
    <w:rsid w:val="006F7D08"/>
    <w:rsid w:val="006F7E22"/>
    <w:rsid w:val="006F7F80"/>
    <w:rsid w:val="00700575"/>
    <w:rsid w:val="007006D4"/>
    <w:rsid w:val="00700854"/>
    <w:rsid w:val="0070133B"/>
    <w:rsid w:val="007015DB"/>
    <w:rsid w:val="007017B2"/>
    <w:rsid w:val="0070181D"/>
    <w:rsid w:val="007019A6"/>
    <w:rsid w:val="00701B77"/>
    <w:rsid w:val="00701C06"/>
    <w:rsid w:val="00701F8A"/>
    <w:rsid w:val="00701FBD"/>
    <w:rsid w:val="0070211E"/>
    <w:rsid w:val="00702376"/>
    <w:rsid w:val="0070275B"/>
    <w:rsid w:val="00702985"/>
    <w:rsid w:val="00702999"/>
    <w:rsid w:val="00702C53"/>
    <w:rsid w:val="00702D1D"/>
    <w:rsid w:val="00703005"/>
    <w:rsid w:val="00703015"/>
    <w:rsid w:val="007038E1"/>
    <w:rsid w:val="00704421"/>
    <w:rsid w:val="00704560"/>
    <w:rsid w:val="007047C3"/>
    <w:rsid w:val="00704B18"/>
    <w:rsid w:val="00704C5D"/>
    <w:rsid w:val="00704C9C"/>
    <w:rsid w:val="00705037"/>
    <w:rsid w:val="007051D8"/>
    <w:rsid w:val="007052FD"/>
    <w:rsid w:val="00705491"/>
    <w:rsid w:val="00705703"/>
    <w:rsid w:val="00705E41"/>
    <w:rsid w:val="00705E49"/>
    <w:rsid w:val="00705F03"/>
    <w:rsid w:val="00705FDD"/>
    <w:rsid w:val="00706788"/>
    <w:rsid w:val="00706A82"/>
    <w:rsid w:val="00706AA8"/>
    <w:rsid w:val="007072B4"/>
    <w:rsid w:val="007078F3"/>
    <w:rsid w:val="007106CF"/>
    <w:rsid w:val="00710DAC"/>
    <w:rsid w:val="007113E0"/>
    <w:rsid w:val="00711CEE"/>
    <w:rsid w:val="00711DFD"/>
    <w:rsid w:val="00712231"/>
    <w:rsid w:val="007123F1"/>
    <w:rsid w:val="00712476"/>
    <w:rsid w:val="00712D4B"/>
    <w:rsid w:val="0071308F"/>
    <w:rsid w:val="0071314B"/>
    <w:rsid w:val="0071315B"/>
    <w:rsid w:val="00713476"/>
    <w:rsid w:val="00713A5A"/>
    <w:rsid w:val="00713C5D"/>
    <w:rsid w:val="007140C3"/>
    <w:rsid w:val="007141E1"/>
    <w:rsid w:val="0071435D"/>
    <w:rsid w:val="007146B9"/>
    <w:rsid w:val="00714C1C"/>
    <w:rsid w:val="00715213"/>
    <w:rsid w:val="00715405"/>
    <w:rsid w:val="00715427"/>
    <w:rsid w:val="0071588D"/>
    <w:rsid w:val="00715972"/>
    <w:rsid w:val="00715977"/>
    <w:rsid w:val="007162CE"/>
    <w:rsid w:val="007164D5"/>
    <w:rsid w:val="0071658A"/>
    <w:rsid w:val="0071689A"/>
    <w:rsid w:val="00716BDF"/>
    <w:rsid w:val="0071717D"/>
    <w:rsid w:val="00717309"/>
    <w:rsid w:val="00717727"/>
    <w:rsid w:val="007179BB"/>
    <w:rsid w:val="007179CF"/>
    <w:rsid w:val="00717CD5"/>
    <w:rsid w:val="00717E64"/>
    <w:rsid w:val="00717F06"/>
    <w:rsid w:val="00717F41"/>
    <w:rsid w:val="00717FA6"/>
    <w:rsid w:val="0071B45A"/>
    <w:rsid w:val="0072020F"/>
    <w:rsid w:val="007205A9"/>
    <w:rsid w:val="0072065B"/>
    <w:rsid w:val="00720982"/>
    <w:rsid w:val="00720A75"/>
    <w:rsid w:val="00720B75"/>
    <w:rsid w:val="00720BCF"/>
    <w:rsid w:val="00720C51"/>
    <w:rsid w:val="00720DE1"/>
    <w:rsid w:val="00720E8D"/>
    <w:rsid w:val="00721090"/>
    <w:rsid w:val="007213A4"/>
    <w:rsid w:val="00721632"/>
    <w:rsid w:val="00721A33"/>
    <w:rsid w:val="00721A76"/>
    <w:rsid w:val="00721A95"/>
    <w:rsid w:val="007221E9"/>
    <w:rsid w:val="007225AE"/>
    <w:rsid w:val="00722647"/>
    <w:rsid w:val="007227C8"/>
    <w:rsid w:val="007229B3"/>
    <w:rsid w:val="00722D84"/>
    <w:rsid w:val="00722DD3"/>
    <w:rsid w:val="007231CA"/>
    <w:rsid w:val="007236FE"/>
    <w:rsid w:val="007242AC"/>
    <w:rsid w:val="00724995"/>
    <w:rsid w:val="00724C03"/>
    <w:rsid w:val="00724D8D"/>
    <w:rsid w:val="00724F36"/>
    <w:rsid w:val="00725040"/>
    <w:rsid w:val="00725516"/>
    <w:rsid w:val="00725BE5"/>
    <w:rsid w:val="00725EDF"/>
    <w:rsid w:val="0072618B"/>
    <w:rsid w:val="00726822"/>
    <w:rsid w:val="00726CB4"/>
    <w:rsid w:val="007270AB"/>
    <w:rsid w:val="007278EE"/>
    <w:rsid w:val="00727982"/>
    <w:rsid w:val="007304C2"/>
    <w:rsid w:val="007305B2"/>
    <w:rsid w:val="00730894"/>
    <w:rsid w:val="007308E0"/>
    <w:rsid w:val="00730D25"/>
    <w:rsid w:val="00730D68"/>
    <w:rsid w:val="0073100E"/>
    <w:rsid w:val="0073131C"/>
    <w:rsid w:val="00731ED7"/>
    <w:rsid w:val="0073246D"/>
    <w:rsid w:val="00732497"/>
    <w:rsid w:val="0073253D"/>
    <w:rsid w:val="0073271B"/>
    <w:rsid w:val="007328F3"/>
    <w:rsid w:val="007329F1"/>
    <w:rsid w:val="00732A17"/>
    <w:rsid w:val="00732A69"/>
    <w:rsid w:val="00732D0B"/>
    <w:rsid w:val="00732EB6"/>
    <w:rsid w:val="00733001"/>
    <w:rsid w:val="0073305D"/>
    <w:rsid w:val="00733A7C"/>
    <w:rsid w:val="00733E84"/>
    <w:rsid w:val="0073457D"/>
    <w:rsid w:val="0073457F"/>
    <w:rsid w:val="007345BD"/>
    <w:rsid w:val="007345C6"/>
    <w:rsid w:val="00734822"/>
    <w:rsid w:val="00734AB7"/>
    <w:rsid w:val="007355D4"/>
    <w:rsid w:val="007355F1"/>
    <w:rsid w:val="0073567E"/>
    <w:rsid w:val="007361AA"/>
    <w:rsid w:val="007361B0"/>
    <w:rsid w:val="007361C1"/>
    <w:rsid w:val="007362DF"/>
    <w:rsid w:val="00736825"/>
    <w:rsid w:val="00736932"/>
    <w:rsid w:val="00736ACF"/>
    <w:rsid w:val="00736C35"/>
    <w:rsid w:val="00736D3C"/>
    <w:rsid w:val="00736DB5"/>
    <w:rsid w:val="00737644"/>
    <w:rsid w:val="00737B7D"/>
    <w:rsid w:val="00737DB1"/>
    <w:rsid w:val="007404CD"/>
    <w:rsid w:val="007404ED"/>
    <w:rsid w:val="00740CBD"/>
    <w:rsid w:val="00740F2B"/>
    <w:rsid w:val="00741759"/>
    <w:rsid w:val="007419F7"/>
    <w:rsid w:val="00741B3E"/>
    <w:rsid w:val="00741FCC"/>
    <w:rsid w:val="00741FD6"/>
    <w:rsid w:val="007421CB"/>
    <w:rsid w:val="007423B6"/>
    <w:rsid w:val="007425C3"/>
    <w:rsid w:val="0074268C"/>
    <w:rsid w:val="00742BE7"/>
    <w:rsid w:val="00742D12"/>
    <w:rsid w:val="007433CF"/>
    <w:rsid w:val="00743686"/>
    <w:rsid w:val="0074372B"/>
    <w:rsid w:val="007438E1"/>
    <w:rsid w:val="00743BA9"/>
    <w:rsid w:val="00743D13"/>
    <w:rsid w:val="00743FE7"/>
    <w:rsid w:val="007440D2"/>
    <w:rsid w:val="007440DD"/>
    <w:rsid w:val="007441B1"/>
    <w:rsid w:val="00744590"/>
    <w:rsid w:val="0074494F"/>
    <w:rsid w:val="007449C7"/>
    <w:rsid w:val="00744DEE"/>
    <w:rsid w:val="00744E1B"/>
    <w:rsid w:val="00744F08"/>
    <w:rsid w:val="0074513B"/>
    <w:rsid w:val="00745405"/>
    <w:rsid w:val="00745581"/>
    <w:rsid w:val="0074571E"/>
    <w:rsid w:val="00745905"/>
    <w:rsid w:val="00745977"/>
    <w:rsid w:val="007460FD"/>
    <w:rsid w:val="0074688E"/>
    <w:rsid w:val="007468EF"/>
    <w:rsid w:val="007469EB"/>
    <w:rsid w:val="007469FA"/>
    <w:rsid w:val="00746A53"/>
    <w:rsid w:val="00746BDA"/>
    <w:rsid w:val="00747046"/>
    <w:rsid w:val="007472B4"/>
    <w:rsid w:val="007474A1"/>
    <w:rsid w:val="007474CD"/>
    <w:rsid w:val="00747695"/>
    <w:rsid w:val="00747798"/>
    <w:rsid w:val="00747828"/>
    <w:rsid w:val="0074792D"/>
    <w:rsid w:val="00747F3D"/>
    <w:rsid w:val="007504DD"/>
    <w:rsid w:val="007505EF"/>
    <w:rsid w:val="00750A3A"/>
    <w:rsid w:val="00750C51"/>
    <w:rsid w:val="00750E10"/>
    <w:rsid w:val="00750EB8"/>
    <w:rsid w:val="00751667"/>
    <w:rsid w:val="0075196B"/>
    <w:rsid w:val="00751E8C"/>
    <w:rsid w:val="00751F02"/>
    <w:rsid w:val="007520D3"/>
    <w:rsid w:val="007521C1"/>
    <w:rsid w:val="00752716"/>
    <w:rsid w:val="00752A15"/>
    <w:rsid w:val="00753301"/>
    <w:rsid w:val="00753B3E"/>
    <w:rsid w:val="00753C11"/>
    <w:rsid w:val="00753E14"/>
    <w:rsid w:val="00754078"/>
    <w:rsid w:val="0075464C"/>
    <w:rsid w:val="0075481C"/>
    <w:rsid w:val="00754845"/>
    <w:rsid w:val="00754E61"/>
    <w:rsid w:val="0075504D"/>
    <w:rsid w:val="0075537C"/>
    <w:rsid w:val="007553D9"/>
    <w:rsid w:val="007557DB"/>
    <w:rsid w:val="0075599F"/>
    <w:rsid w:val="00755A84"/>
    <w:rsid w:val="00755CC1"/>
    <w:rsid w:val="00755DB2"/>
    <w:rsid w:val="00755FAA"/>
    <w:rsid w:val="00756081"/>
    <w:rsid w:val="007560D2"/>
    <w:rsid w:val="00756666"/>
    <w:rsid w:val="00756E13"/>
    <w:rsid w:val="00756E19"/>
    <w:rsid w:val="00757242"/>
    <w:rsid w:val="00757529"/>
    <w:rsid w:val="007577AD"/>
    <w:rsid w:val="00757C40"/>
    <w:rsid w:val="00757EEC"/>
    <w:rsid w:val="0076008D"/>
    <w:rsid w:val="007606D2"/>
    <w:rsid w:val="00760CB5"/>
    <w:rsid w:val="0076169A"/>
    <w:rsid w:val="00761FC4"/>
    <w:rsid w:val="00762223"/>
    <w:rsid w:val="0076236E"/>
    <w:rsid w:val="00762729"/>
    <w:rsid w:val="00762A05"/>
    <w:rsid w:val="00762A5E"/>
    <w:rsid w:val="00762C65"/>
    <w:rsid w:val="00762F57"/>
    <w:rsid w:val="0076360B"/>
    <w:rsid w:val="00763780"/>
    <w:rsid w:val="007638A7"/>
    <w:rsid w:val="00763ABC"/>
    <w:rsid w:val="00763CD4"/>
    <w:rsid w:val="00763D63"/>
    <w:rsid w:val="00764063"/>
    <w:rsid w:val="00764201"/>
    <w:rsid w:val="00764298"/>
    <w:rsid w:val="007643E7"/>
    <w:rsid w:val="007645C1"/>
    <w:rsid w:val="0076489B"/>
    <w:rsid w:val="00764A83"/>
    <w:rsid w:val="00765536"/>
    <w:rsid w:val="00765596"/>
    <w:rsid w:val="0076588D"/>
    <w:rsid w:val="00765BF0"/>
    <w:rsid w:val="00765E34"/>
    <w:rsid w:val="00766344"/>
    <w:rsid w:val="00766511"/>
    <w:rsid w:val="00766FC1"/>
    <w:rsid w:val="0076714D"/>
    <w:rsid w:val="00767A64"/>
    <w:rsid w:val="00767A89"/>
    <w:rsid w:val="007704D9"/>
    <w:rsid w:val="0077059C"/>
    <w:rsid w:val="00770ED6"/>
    <w:rsid w:val="00771482"/>
    <w:rsid w:val="0077153E"/>
    <w:rsid w:val="007716AF"/>
    <w:rsid w:val="007716D5"/>
    <w:rsid w:val="00771ED2"/>
    <w:rsid w:val="0077238B"/>
    <w:rsid w:val="007723C9"/>
    <w:rsid w:val="0077262C"/>
    <w:rsid w:val="007726EB"/>
    <w:rsid w:val="00772C55"/>
    <w:rsid w:val="00772D30"/>
    <w:rsid w:val="00772E6B"/>
    <w:rsid w:val="00773112"/>
    <w:rsid w:val="00773126"/>
    <w:rsid w:val="007731A7"/>
    <w:rsid w:val="007735A7"/>
    <w:rsid w:val="007735E1"/>
    <w:rsid w:val="0077367F"/>
    <w:rsid w:val="00773CEF"/>
    <w:rsid w:val="007744C9"/>
    <w:rsid w:val="00774542"/>
    <w:rsid w:val="00774C20"/>
    <w:rsid w:val="0077550E"/>
    <w:rsid w:val="0077569A"/>
    <w:rsid w:val="00775CB0"/>
    <w:rsid w:val="00775CB8"/>
    <w:rsid w:val="00775F70"/>
    <w:rsid w:val="00776482"/>
    <w:rsid w:val="0077662C"/>
    <w:rsid w:val="00776A58"/>
    <w:rsid w:val="00777876"/>
    <w:rsid w:val="00777A9D"/>
    <w:rsid w:val="00777E77"/>
    <w:rsid w:val="00780052"/>
    <w:rsid w:val="00780A28"/>
    <w:rsid w:val="007815CC"/>
    <w:rsid w:val="00781691"/>
    <w:rsid w:val="00781DA7"/>
    <w:rsid w:val="00782191"/>
    <w:rsid w:val="007822A0"/>
    <w:rsid w:val="007829A6"/>
    <w:rsid w:val="00782AE4"/>
    <w:rsid w:val="00782D5C"/>
    <w:rsid w:val="0078311F"/>
    <w:rsid w:val="00783BFD"/>
    <w:rsid w:val="00784348"/>
    <w:rsid w:val="007846AA"/>
    <w:rsid w:val="0078483F"/>
    <w:rsid w:val="00784AE9"/>
    <w:rsid w:val="00784E5E"/>
    <w:rsid w:val="0078524E"/>
    <w:rsid w:val="00785337"/>
    <w:rsid w:val="00785717"/>
    <w:rsid w:val="0078576F"/>
    <w:rsid w:val="0078594F"/>
    <w:rsid w:val="00785C9C"/>
    <w:rsid w:val="00785CA7"/>
    <w:rsid w:val="00785F74"/>
    <w:rsid w:val="007865EF"/>
    <w:rsid w:val="0078676C"/>
    <w:rsid w:val="007868AE"/>
    <w:rsid w:val="00786C7F"/>
    <w:rsid w:val="00786DEA"/>
    <w:rsid w:val="00786EA0"/>
    <w:rsid w:val="00786FBC"/>
    <w:rsid w:val="007871BD"/>
    <w:rsid w:val="00787727"/>
    <w:rsid w:val="00787D58"/>
    <w:rsid w:val="00787F08"/>
    <w:rsid w:val="007900FE"/>
    <w:rsid w:val="007902C1"/>
    <w:rsid w:val="007903EB"/>
    <w:rsid w:val="0079054D"/>
    <w:rsid w:val="007907EC"/>
    <w:rsid w:val="00790861"/>
    <w:rsid w:val="00790C51"/>
    <w:rsid w:val="00790D57"/>
    <w:rsid w:val="00790EB5"/>
    <w:rsid w:val="00790EFF"/>
    <w:rsid w:val="00790F43"/>
    <w:rsid w:val="007910AD"/>
    <w:rsid w:val="0079175C"/>
    <w:rsid w:val="007918DD"/>
    <w:rsid w:val="00791C3A"/>
    <w:rsid w:val="00791D09"/>
    <w:rsid w:val="00791D14"/>
    <w:rsid w:val="00791EE1"/>
    <w:rsid w:val="007920F3"/>
    <w:rsid w:val="0079272C"/>
    <w:rsid w:val="007929F3"/>
    <w:rsid w:val="00792BCF"/>
    <w:rsid w:val="0079351A"/>
    <w:rsid w:val="0079376D"/>
    <w:rsid w:val="00793A0D"/>
    <w:rsid w:val="00793B5B"/>
    <w:rsid w:val="00793C4E"/>
    <w:rsid w:val="0079401D"/>
    <w:rsid w:val="00794D9B"/>
    <w:rsid w:val="00794F2B"/>
    <w:rsid w:val="0079511E"/>
    <w:rsid w:val="00795235"/>
    <w:rsid w:val="0079558C"/>
    <w:rsid w:val="00795920"/>
    <w:rsid w:val="0079616C"/>
    <w:rsid w:val="007961A7"/>
    <w:rsid w:val="007965D2"/>
    <w:rsid w:val="0079662F"/>
    <w:rsid w:val="00796641"/>
    <w:rsid w:val="00796D5D"/>
    <w:rsid w:val="00796D6D"/>
    <w:rsid w:val="0079749E"/>
    <w:rsid w:val="007976C9"/>
    <w:rsid w:val="00797B3D"/>
    <w:rsid w:val="00797F19"/>
    <w:rsid w:val="007A00B5"/>
    <w:rsid w:val="007A07B0"/>
    <w:rsid w:val="007A0AA3"/>
    <w:rsid w:val="007A1348"/>
    <w:rsid w:val="007A1463"/>
    <w:rsid w:val="007A1AAF"/>
    <w:rsid w:val="007A1CE1"/>
    <w:rsid w:val="007A217B"/>
    <w:rsid w:val="007A2295"/>
    <w:rsid w:val="007A256A"/>
    <w:rsid w:val="007A2AEE"/>
    <w:rsid w:val="007A2C2D"/>
    <w:rsid w:val="007A2E04"/>
    <w:rsid w:val="007A3124"/>
    <w:rsid w:val="007A323F"/>
    <w:rsid w:val="007A3538"/>
    <w:rsid w:val="007A361A"/>
    <w:rsid w:val="007A3A2B"/>
    <w:rsid w:val="007A3A97"/>
    <w:rsid w:val="007A4328"/>
    <w:rsid w:val="007A466C"/>
    <w:rsid w:val="007A46BB"/>
    <w:rsid w:val="007A4AC5"/>
    <w:rsid w:val="007A4B4A"/>
    <w:rsid w:val="007A54BD"/>
    <w:rsid w:val="007A5C54"/>
    <w:rsid w:val="007A618D"/>
    <w:rsid w:val="007A621A"/>
    <w:rsid w:val="007A6598"/>
    <w:rsid w:val="007A6A77"/>
    <w:rsid w:val="007A6CFE"/>
    <w:rsid w:val="007A7458"/>
    <w:rsid w:val="007A77B6"/>
    <w:rsid w:val="007A7849"/>
    <w:rsid w:val="007A7997"/>
    <w:rsid w:val="007A7C65"/>
    <w:rsid w:val="007A7ED0"/>
    <w:rsid w:val="007A7F2B"/>
    <w:rsid w:val="007A7F87"/>
    <w:rsid w:val="007B0141"/>
    <w:rsid w:val="007B0621"/>
    <w:rsid w:val="007B0653"/>
    <w:rsid w:val="007B06D4"/>
    <w:rsid w:val="007B084F"/>
    <w:rsid w:val="007B08EE"/>
    <w:rsid w:val="007B1097"/>
    <w:rsid w:val="007B1420"/>
    <w:rsid w:val="007B19D8"/>
    <w:rsid w:val="007B214D"/>
    <w:rsid w:val="007B2193"/>
    <w:rsid w:val="007B2440"/>
    <w:rsid w:val="007B2797"/>
    <w:rsid w:val="007B2F14"/>
    <w:rsid w:val="007B346D"/>
    <w:rsid w:val="007B3D09"/>
    <w:rsid w:val="007B3D57"/>
    <w:rsid w:val="007B3F75"/>
    <w:rsid w:val="007B4131"/>
    <w:rsid w:val="007B4261"/>
    <w:rsid w:val="007B44A9"/>
    <w:rsid w:val="007B4957"/>
    <w:rsid w:val="007B50C9"/>
    <w:rsid w:val="007B5337"/>
    <w:rsid w:val="007B5B70"/>
    <w:rsid w:val="007B63D3"/>
    <w:rsid w:val="007B665E"/>
    <w:rsid w:val="007B70C4"/>
    <w:rsid w:val="007B72EB"/>
    <w:rsid w:val="007B74B2"/>
    <w:rsid w:val="007B7760"/>
    <w:rsid w:val="007B77BE"/>
    <w:rsid w:val="007B786C"/>
    <w:rsid w:val="007B7EE9"/>
    <w:rsid w:val="007B7FE8"/>
    <w:rsid w:val="007C0068"/>
    <w:rsid w:val="007C00E3"/>
    <w:rsid w:val="007C013F"/>
    <w:rsid w:val="007C02EC"/>
    <w:rsid w:val="007C0C48"/>
    <w:rsid w:val="007C0D55"/>
    <w:rsid w:val="007C141D"/>
    <w:rsid w:val="007C1C90"/>
    <w:rsid w:val="007C2017"/>
    <w:rsid w:val="007C21C4"/>
    <w:rsid w:val="007C2542"/>
    <w:rsid w:val="007C2556"/>
    <w:rsid w:val="007C26D0"/>
    <w:rsid w:val="007C2943"/>
    <w:rsid w:val="007C318F"/>
    <w:rsid w:val="007C352E"/>
    <w:rsid w:val="007C35E6"/>
    <w:rsid w:val="007C3DCC"/>
    <w:rsid w:val="007C3EB3"/>
    <w:rsid w:val="007C4392"/>
    <w:rsid w:val="007C4771"/>
    <w:rsid w:val="007C493A"/>
    <w:rsid w:val="007C4F1B"/>
    <w:rsid w:val="007C5DE9"/>
    <w:rsid w:val="007C5E16"/>
    <w:rsid w:val="007C5ECD"/>
    <w:rsid w:val="007C6543"/>
    <w:rsid w:val="007C6A33"/>
    <w:rsid w:val="007C6DF2"/>
    <w:rsid w:val="007C6E35"/>
    <w:rsid w:val="007C6E61"/>
    <w:rsid w:val="007C6F52"/>
    <w:rsid w:val="007C703C"/>
    <w:rsid w:val="007C70CA"/>
    <w:rsid w:val="007C7434"/>
    <w:rsid w:val="007D001A"/>
    <w:rsid w:val="007D069C"/>
    <w:rsid w:val="007D0A3D"/>
    <w:rsid w:val="007D0A99"/>
    <w:rsid w:val="007D0AFE"/>
    <w:rsid w:val="007D0B82"/>
    <w:rsid w:val="007D1698"/>
    <w:rsid w:val="007D1764"/>
    <w:rsid w:val="007D17C5"/>
    <w:rsid w:val="007D1818"/>
    <w:rsid w:val="007D197F"/>
    <w:rsid w:val="007D1B33"/>
    <w:rsid w:val="007D1B50"/>
    <w:rsid w:val="007D1DE9"/>
    <w:rsid w:val="007D1F6D"/>
    <w:rsid w:val="007D235D"/>
    <w:rsid w:val="007D29CD"/>
    <w:rsid w:val="007D2A09"/>
    <w:rsid w:val="007D2B46"/>
    <w:rsid w:val="007D3049"/>
    <w:rsid w:val="007D343E"/>
    <w:rsid w:val="007D371A"/>
    <w:rsid w:val="007D37C9"/>
    <w:rsid w:val="007D3822"/>
    <w:rsid w:val="007D38D4"/>
    <w:rsid w:val="007D39B2"/>
    <w:rsid w:val="007D3AC6"/>
    <w:rsid w:val="007D3B72"/>
    <w:rsid w:val="007D3C5F"/>
    <w:rsid w:val="007D4474"/>
    <w:rsid w:val="007D481C"/>
    <w:rsid w:val="007D497D"/>
    <w:rsid w:val="007D4D6F"/>
    <w:rsid w:val="007D4DAD"/>
    <w:rsid w:val="007D503D"/>
    <w:rsid w:val="007D54B4"/>
    <w:rsid w:val="007D5B15"/>
    <w:rsid w:val="007D5ED7"/>
    <w:rsid w:val="007D6505"/>
    <w:rsid w:val="007D6A47"/>
    <w:rsid w:val="007D6F21"/>
    <w:rsid w:val="007D6F3E"/>
    <w:rsid w:val="007D7583"/>
    <w:rsid w:val="007D76DA"/>
    <w:rsid w:val="007D7A5A"/>
    <w:rsid w:val="007E022A"/>
    <w:rsid w:val="007E0A4B"/>
    <w:rsid w:val="007E0B48"/>
    <w:rsid w:val="007E0F88"/>
    <w:rsid w:val="007E10AC"/>
    <w:rsid w:val="007E10FE"/>
    <w:rsid w:val="007E17F8"/>
    <w:rsid w:val="007E1B09"/>
    <w:rsid w:val="007E1BA3"/>
    <w:rsid w:val="007E1E30"/>
    <w:rsid w:val="007E2313"/>
    <w:rsid w:val="007E269A"/>
    <w:rsid w:val="007E26A6"/>
    <w:rsid w:val="007E274C"/>
    <w:rsid w:val="007E2C4C"/>
    <w:rsid w:val="007E30A6"/>
    <w:rsid w:val="007E36A0"/>
    <w:rsid w:val="007E3CAB"/>
    <w:rsid w:val="007E3ED5"/>
    <w:rsid w:val="007E462F"/>
    <w:rsid w:val="007E47C7"/>
    <w:rsid w:val="007E4886"/>
    <w:rsid w:val="007E48A8"/>
    <w:rsid w:val="007E4FD9"/>
    <w:rsid w:val="007E503F"/>
    <w:rsid w:val="007E5857"/>
    <w:rsid w:val="007E5A00"/>
    <w:rsid w:val="007E5DF1"/>
    <w:rsid w:val="007E6368"/>
    <w:rsid w:val="007E6614"/>
    <w:rsid w:val="007E6646"/>
    <w:rsid w:val="007E67EB"/>
    <w:rsid w:val="007E6867"/>
    <w:rsid w:val="007E688A"/>
    <w:rsid w:val="007E6B1A"/>
    <w:rsid w:val="007E6FA4"/>
    <w:rsid w:val="007E7453"/>
    <w:rsid w:val="007E753B"/>
    <w:rsid w:val="007E75A6"/>
    <w:rsid w:val="007E7AB4"/>
    <w:rsid w:val="007E7D88"/>
    <w:rsid w:val="007F00C9"/>
    <w:rsid w:val="007F0747"/>
    <w:rsid w:val="007F0D3C"/>
    <w:rsid w:val="007F0F8C"/>
    <w:rsid w:val="007F12C2"/>
    <w:rsid w:val="007F137B"/>
    <w:rsid w:val="007F140F"/>
    <w:rsid w:val="007F16A8"/>
    <w:rsid w:val="007F19D7"/>
    <w:rsid w:val="007F1D51"/>
    <w:rsid w:val="007F201A"/>
    <w:rsid w:val="007F21AC"/>
    <w:rsid w:val="007F2568"/>
    <w:rsid w:val="007F2810"/>
    <w:rsid w:val="007F28CA"/>
    <w:rsid w:val="007F292D"/>
    <w:rsid w:val="007F2A27"/>
    <w:rsid w:val="007F3035"/>
    <w:rsid w:val="007F30CA"/>
    <w:rsid w:val="007F3749"/>
    <w:rsid w:val="007F3B8D"/>
    <w:rsid w:val="007F3D3A"/>
    <w:rsid w:val="007F40C4"/>
    <w:rsid w:val="007F526B"/>
    <w:rsid w:val="007F526F"/>
    <w:rsid w:val="007F52D4"/>
    <w:rsid w:val="007F58D4"/>
    <w:rsid w:val="007F5934"/>
    <w:rsid w:val="007F59D9"/>
    <w:rsid w:val="007F5DD6"/>
    <w:rsid w:val="007F5E91"/>
    <w:rsid w:val="007F5F31"/>
    <w:rsid w:val="007F602E"/>
    <w:rsid w:val="007F6215"/>
    <w:rsid w:val="007F6347"/>
    <w:rsid w:val="007F65D9"/>
    <w:rsid w:val="007F6B95"/>
    <w:rsid w:val="007F6F77"/>
    <w:rsid w:val="007F74E8"/>
    <w:rsid w:val="007F76B2"/>
    <w:rsid w:val="007F7827"/>
    <w:rsid w:val="007F7C3A"/>
    <w:rsid w:val="007F7ECD"/>
    <w:rsid w:val="008002EC"/>
    <w:rsid w:val="00800546"/>
    <w:rsid w:val="008008DD"/>
    <w:rsid w:val="00800973"/>
    <w:rsid w:val="008010DB"/>
    <w:rsid w:val="00801563"/>
    <w:rsid w:val="008019A9"/>
    <w:rsid w:val="00801AE4"/>
    <w:rsid w:val="00801D0D"/>
    <w:rsid w:val="00801D60"/>
    <w:rsid w:val="0080205C"/>
    <w:rsid w:val="008024CF"/>
    <w:rsid w:val="0080254D"/>
    <w:rsid w:val="008029A0"/>
    <w:rsid w:val="00802DC5"/>
    <w:rsid w:val="00802E1C"/>
    <w:rsid w:val="00802F6C"/>
    <w:rsid w:val="00803011"/>
    <w:rsid w:val="00803478"/>
    <w:rsid w:val="0080363A"/>
    <w:rsid w:val="00803848"/>
    <w:rsid w:val="00803BA6"/>
    <w:rsid w:val="00803C80"/>
    <w:rsid w:val="0080426D"/>
    <w:rsid w:val="008042C9"/>
    <w:rsid w:val="008046F6"/>
    <w:rsid w:val="0080490B"/>
    <w:rsid w:val="00804918"/>
    <w:rsid w:val="00804CD3"/>
    <w:rsid w:val="00804EC7"/>
    <w:rsid w:val="00804F0F"/>
    <w:rsid w:val="00804FCB"/>
    <w:rsid w:val="0080535A"/>
    <w:rsid w:val="0080559C"/>
    <w:rsid w:val="008056C0"/>
    <w:rsid w:val="008063A8"/>
    <w:rsid w:val="008065E9"/>
    <w:rsid w:val="00806632"/>
    <w:rsid w:val="00806746"/>
    <w:rsid w:val="0080678B"/>
    <w:rsid w:val="00806B9F"/>
    <w:rsid w:val="00807095"/>
    <w:rsid w:val="0080749D"/>
    <w:rsid w:val="0080756D"/>
    <w:rsid w:val="00807E7A"/>
    <w:rsid w:val="008102B9"/>
    <w:rsid w:val="00810525"/>
    <w:rsid w:val="008107A4"/>
    <w:rsid w:val="008109BB"/>
    <w:rsid w:val="00810A0B"/>
    <w:rsid w:val="00811119"/>
    <w:rsid w:val="00811240"/>
    <w:rsid w:val="008112D1"/>
    <w:rsid w:val="00811749"/>
    <w:rsid w:val="00811ABC"/>
    <w:rsid w:val="00811D3B"/>
    <w:rsid w:val="00811E0F"/>
    <w:rsid w:val="0081252C"/>
    <w:rsid w:val="0081265C"/>
    <w:rsid w:val="0081287F"/>
    <w:rsid w:val="00812DA7"/>
    <w:rsid w:val="0081327B"/>
    <w:rsid w:val="008132A6"/>
    <w:rsid w:val="008133AF"/>
    <w:rsid w:val="0081372F"/>
    <w:rsid w:val="00813DAD"/>
    <w:rsid w:val="00813F75"/>
    <w:rsid w:val="00814151"/>
    <w:rsid w:val="008147D4"/>
    <w:rsid w:val="00814E49"/>
    <w:rsid w:val="00814E51"/>
    <w:rsid w:val="00815365"/>
    <w:rsid w:val="0081539B"/>
    <w:rsid w:val="008156ED"/>
    <w:rsid w:val="008157C8"/>
    <w:rsid w:val="00815D61"/>
    <w:rsid w:val="00815EBC"/>
    <w:rsid w:val="008169C6"/>
    <w:rsid w:val="00816AE7"/>
    <w:rsid w:val="00816F71"/>
    <w:rsid w:val="00817142"/>
    <w:rsid w:val="0081736D"/>
    <w:rsid w:val="00817569"/>
    <w:rsid w:val="00820202"/>
    <w:rsid w:val="00820B52"/>
    <w:rsid w:val="00820DDA"/>
    <w:rsid w:val="00821230"/>
    <w:rsid w:val="00821420"/>
    <w:rsid w:val="0082146D"/>
    <w:rsid w:val="008215D8"/>
    <w:rsid w:val="00821674"/>
    <w:rsid w:val="00821BB1"/>
    <w:rsid w:val="00821DE8"/>
    <w:rsid w:val="00821E05"/>
    <w:rsid w:val="00822081"/>
    <w:rsid w:val="00822669"/>
    <w:rsid w:val="00822724"/>
    <w:rsid w:val="0082281E"/>
    <w:rsid w:val="00822A12"/>
    <w:rsid w:val="00823342"/>
    <w:rsid w:val="008237B8"/>
    <w:rsid w:val="00823AB9"/>
    <w:rsid w:val="00824153"/>
    <w:rsid w:val="00825558"/>
    <w:rsid w:val="00825720"/>
    <w:rsid w:val="00825AAA"/>
    <w:rsid w:val="00825EAD"/>
    <w:rsid w:val="008262E0"/>
    <w:rsid w:val="00826499"/>
    <w:rsid w:val="00826B30"/>
    <w:rsid w:val="008270B2"/>
    <w:rsid w:val="008270E3"/>
    <w:rsid w:val="008271F3"/>
    <w:rsid w:val="00827656"/>
    <w:rsid w:val="00827B9C"/>
    <w:rsid w:val="00830088"/>
    <w:rsid w:val="00830B5F"/>
    <w:rsid w:val="00830D27"/>
    <w:rsid w:val="00831869"/>
    <w:rsid w:val="00831B89"/>
    <w:rsid w:val="00831EA7"/>
    <w:rsid w:val="00832EFE"/>
    <w:rsid w:val="008336D0"/>
    <w:rsid w:val="00833843"/>
    <w:rsid w:val="008339AF"/>
    <w:rsid w:val="0083414C"/>
    <w:rsid w:val="00834702"/>
    <w:rsid w:val="00834BC4"/>
    <w:rsid w:val="00835211"/>
    <w:rsid w:val="00835544"/>
    <w:rsid w:val="00835F07"/>
    <w:rsid w:val="00836023"/>
    <w:rsid w:val="00836221"/>
    <w:rsid w:val="00836571"/>
    <w:rsid w:val="00836626"/>
    <w:rsid w:val="00836642"/>
    <w:rsid w:val="0083680C"/>
    <w:rsid w:val="00836AD7"/>
    <w:rsid w:val="00836BF1"/>
    <w:rsid w:val="00836DE5"/>
    <w:rsid w:val="00836E15"/>
    <w:rsid w:val="00836F48"/>
    <w:rsid w:val="00837069"/>
    <w:rsid w:val="0083717E"/>
    <w:rsid w:val="008375A4"/>
    <w:rsid w:val="00837870"/>
    <w:rsid w:val="00837996"/>
    <w:rsid w:val="00837A29"/>
    <w:rsid w:val="00837D98"/>
    <w:rsid w:val="00837DD1"/>
    <w:rsid w:val="0084029D"/>
    <w:rsid w:val="0084126E"/>
    <w:rsid w:val="008416D3"/>
    <w:rsid w:val="0084172F"/>
    <w:rsid w:val="0084182C"/>
    <w:rsid w:val="00841971"/>
    <w:rsid w:val="00841BC1"/>
    <w:rsid w:val="00841E39"/>
    <w:rsid w:val="00841F1C"/>
    <w:rsid w:val="00841F58"/>
    <w:rsid w:val="008421A0"/>
    <w:rsid w:val="0084275D"/>
    <w:rsid w:val="00842991"/>
    <w:rsid w:val="00842AA6"/>
    <w:rsid w:val="0084317D"/>
    <w:rsid w:val="0084338A"/>
    <w:rsid w:val="0084338C"/>
    <w:rsid w:val="008436FD"/>
    <w:rsid w:val="008440C2"/>
    <w:rsid w:val="0084414E"/>
    <w:rsid w:val="008441B5"/>
    <w:rsid w:val="0084466D"/>
    <w:rsid w:val="00844B43"/>
    <w:rsid w:val="00844F2C"/>
    <w:rsid w:val="00844F5A"/>
    <w:rsid w:val="0084502A"/>
    <w:rsid w:val="008453AE"/>
    <w:rsid w:val="00845A70"/>
    <w:rsid w:val="00846080"/>
    <w:rsid w:val="00846082"/>
    <w:rsid w:val="008461E8"/>
    <w:rsid w:val="008467AE"/>
    <w:rsid w:val="00846B16"/>
    <w:rsid w:val="00846D2D"/>
    <w:rsid w:val="00846DFF"/>
    <w:rsid w:val="008474AA"/>
    <w:rsid w:val="008477D0"/>
    <w:rsid w:val="0084792A"/>
    <w:rsid w:val="00847AE7"/>
    <w:rsid w:val="00847CA9"/>
    <w:rsid w:val="00847D8A"/>
    <w:rsid w:val="00850243"/>
    <w:rsid w:val="008507B6"/>
    <w:rsid w:val="0085083E"/>
    <w:rsid w:val="00850DB8"/>
    <w:rsid w:val="00850F8F"/>
    <w:rsid w:val="0085134F"/>
    <w:rsid w:val="008516E8"/>
    <w:rsid w:val="008520DB"/>
    <w:rsid w:val="008521B8"/>
    <w:rsid w:val="00852416"/>
    <w:rsid w:val="00852523"/>
    <w:rsid w:val="0085256F"/>
    <w:rsid w:val="00852711"/>
    <w:rsid w:val="0085276D"/>
    <w:rsid w:val="008528F5"/>
    <w:rsid w:val="00852CEC"/>
    <w:rsid w:val="00852D9D"/>
    <w:rsid w:val="008531FD"/>
    <w:rsid w:val="00853211"/>
    <w:rsid w:val="0085331C"/>
    <w:rsid w:val="008533C7"/>
    <w:rsid w:val="00853CFC"/>
    <w:rsid w:val="008541FC"/>
    <w:rsid w:val="008541FE"/>
    <w:rsid w:val="0085481E"/>
    <w:rsid w:val="00854955"/>
    <w:rsid w:val="00854A81"/>
    <w:rsid w:val="008550DC"/>
    <w:rsid w:val="0085560B"/>
    <w:rsid w:val="008556F7"/>
    <w:rsid w:val="00855879"/>
    <w:rsid w:val="008559FE"/>
    <w:rsid w:val="00855F6F"/>
    <w:rsid w:val="008561AF"/>
    <w:rsid w:val="008565A5"/>
    <w:rsid w:val="00856690"/>
    <w:rsid w:val="00856756"/>
    <w:rsid w:val="0085677D"/>
    <w:rsid w:val="008567E4"/>
    <w:rsid w:val="00856E51"/>
    <w:rsid w:val="00857046"/>
    <w:rsid w:val="008573A0"/>
    <w:rsid w:val="0085752A"/>
    <w:rsid w:val="008578C2"/>
    <w:rsid w:val="00857A4E"/>
    <w:rsid w:val="00857E9A"/>
    <w:rsid w:val="0086029A"/>
    <w:rsid w:val="008605DF"/>
    <w:rsid w:val="0086060D"/>
    <w:rsid w:val="00861103"/>
    <w:rsid w:val="00861564"/>
    <w:rsid w:val="008615F3"/>
    <w:rsid w:val="0086187A"/>
    <w:rsid w:val="00861CBF"/>
    <w:rsid w:val="008621B3"/>
    <w:rsid w:val="008621E7"/>
    <w:rsid w:val="008637E3"/>
    <w:rsid w:val="00863A0C"/>
    <w:rsid w:val="00863A5D"/>
    <w:rsid w:val="00863F12"/>
    <w:rsid w:val="0086400F"/>
    <w:rsid w:val="00864160"/>
    <w:rsid w:val="008641BB"/>
    <w:rsid w:val="008649AB"/>
    <w:rsid w:val="00864CC4"/>
    <w:rsid w:val="00864CFD"/>
    <w:rsid w:val="00865083"/>
    <w:rsid w:val="0086512F"/>
    <w:rsid w:val="008655E6"/>
    <w:rsid w:val="00865AEA"/>
    <w:rsid w:val="00865B41"/>
    <w:rsid w:val="008660C5"/>
    <w:rsid w:val="008662CE"/>
    <w:rsid w:val="008662ED"/>
    <w:rsid w:val="0086645E"/>
    <w:rsid w:val="0086740A"/>
    <w:rsid w:val="0086766F"/>
    <w:rsid w:val="0086775E"/>
    <w:rsid w:val="00867836"/>
    <w:rsid w:val="008679FB"/>
    <w:rsid w:val="0087048B"/>
    <w:rsid w:val="008706A6"/>
    <w:rsid w:val="008707E6"/>
    <w:rsid w:val="0087084A"/>
    <w:rsid w:val="00870AC1"/>
    <w:rsid w:val="00871904"/>
    <w:rsid w:val="008725BF"/>
    <w:rsid w:val="00872608"/>
    <w:rsid w:val="008732F4"/>
    <w:rsid w:val="0087356E"/>
    <w:rsid w:val="008735C8"/>
    <w:rsid w:val="008736C0"/>
    <w:rsid w:val="00873A2C"/>
    <w:rsid w:val="00873E19"/>
    <w:rsid w:val="008745B7"/>
    <w:rsid w:val="008745C5"/>
    <w:rsid w:val="0087480C"/>
    <w:rsid w:val="008749B7"/>
    <w:rsid w:val="0087517F"/>
    <w:rsid w:val="00875240"/>
    <w:rsid w:val="00875350"/>
    <w:rsid w:val="008755E5"/>
    <w:rsid w:val="00875F5F"/>
    <w:rsid w:val="0087610F"/>
    <w:rsid w:val="00876621"/>
    <w:rsid w:val="00876772"/>
    <w:rsid w:val="00876BE5"/>
    <w:rsid w:val="00876C0D"/>
    <w:rsid w:val="00876FAC"/>
    <w:rsid w:val="008773C6"/>
    <w:rsid w:val="008776AF"/>
    <w:rsid w:val="00877812"/>
    <w:rsid w:val="00877898"/>
    <w:rsid w:val="0087794E"/>
    <w:rsid w:val="00877DC2"/>
    <w:rsid w:val="00877DCB"/>
    <w:rsid w:val="00880432"/>
    <w:rsid w:val="008804A7"/>
    <w:rsid w:val="008806E2"/>
    <w:rsid w:val="008808E9"/>
    <w:rsid w:val="008809DB"/>
    <w:rsid w:val="00880A1B"/>
    <w:rsid w:val="00880D36"/>
    <w:rsid w:val="00880FF1"/>
    <w:rsid w:val="00881222"/>
    <w:rsid w:val="008814E7"/>
    <w:rsid w:val="00881543"/>
    <w:rsid w:val="008819EF"/>
    <w:rsid w:val="00881A30"/>
    <w:rsid w:val="008821DF"/>
    <w:rsid w:val="00882268"/>
    <w:rsid w:val="008822E1"/>
    <w:rsid w:val="008824F9"/>
    <w:rsid w:val="00882697"/>
    <w:rsid w:val="008826D3"/>
    <w:rsid w:val="008830AA"/>
    <w:rsid w:val="008830E8"/>
    <w:rsid w:val="0088317A"/>
    <w:rsid w:val="00883788"/>
    <w:rsid w:val="00883954"/>
    <w:rsid w:val="00883CD0"/>
    <w:rsid w:val="008841A0"/>
    <w:rsid w:val="008846A0"/>
    <w:rsid w:val="0088489C"/>
    <w:rsid w:val="00884E06"/>
    <w:rsid w:val="00885AD9"/>
    <w:rsid w:val="00885B1E"/>
    <w:rsid w:val="00886356"/>
    <w:rsid w:val="0088641D"/>
    <w:rsid w:val="00886B8E"/>
    <w:rsid w:val="00886E15"/>
    <w:rsid w:val="008870B5"/>
    <w:rsid w:val="00887150"/>
    <w:rsid w:val="008874B5"/>
    <w:rsid w:val="0088766C"/>
    <w:rsid w:val="00887C3D"/>
    <w:rsid w:val="00887CD1"/>
    <w:rsid w:val="00887EA7"/>
    <w:rsid w:val="008904AF"/>
    <w:rsid w:val="00890519"/>
    <w:rsid w:val="00890939"/>
    <w:rsid w:val="00890982"/>
    <w:rsid w:val="008909BF"/>
    <w:rsid w:val="008909D9"/>
    <w:rsid w:val="00890A2C"/>
    <w:rsid w:val="00890A63"/>
    <w:rsid w:val="00890D17"/>
    <w:rsid w:val="00891113"/>
    <w:rsid w:val="00891192"/>
    <w:rsid w:val="008911F1"/>
    <w:rsid w:val="0089125F"/>
    <w:rsid w:val="00891A89"/>
    <w:rsid w:val="00891C3F"/>
    <w:rsid w:val="00891CD4"/>
    <w:rsid w:val="008922F2"/>
    <w:rsid w:val="008924F8"/>
    <w:rsid w:val="00892913"/>
    <w:rsid w:val="00893189"/>
    <w:rsid w:val="00893280"/>
    <w:rsid w:val="00893314"/>
    <w:rsid w:val="008935BF"/>
    <w:rsid w:val="0089431C"/>
    <w:rsid w:val="00894427"/>
    <w:rsid w:val="00894435"/>
    <w:rsid w:val="0089471D"/>
    <w:rsid w:val="00894773"/>
    <w:rsid w:val="00894931"/>
    <w:rsid w:val="00894CC0"/>
    <w:rsid w:val="00894E30"/>
    <w:rsid w:val="00895332"/>
    <w:rsid w:val="00895596"/>
    <w:rsid w:val="0089630F"/>
    <w:rsid w:val="00897170"/>
    <w:rsid w:val="008973C1"/>
    <w:rsid w:val="008973E0"/>
    <w:rsid w:val="008975E5"/>
    <w:rsid w:val="00897813"/>
    <w:rsid w:val="00897946"/>
    <w:rsid w:val="00897988"/>
    <w:rsid w:val="00897CFD"/>
    <w:rsid w:val="00897DDF"/>
    <w:rsid w:val="00897FB0"/>
    <w:rsid w:val="008A0174"/>
    <w:rsid w:val="008A046F"/>
    <w:rsid w:val="008A093F"/>
    <w:rsid w:val="008A0EA6"/>
    <w:rsid w:val="008A1065"/>
    <w:rsid w:val="008A1070"/>
    <w:rsid w:val="008A145C"/>
    <w:rsid w:val="008A14E4"/>
    <w:rsid w:val="008A16AA"/>
    <w:rsid w:val="008A1C79"/>
    <w:rsid w:val="008A2017"/>
    <w:rsid w:val="008A26B4"/>
    <w:rsid w:val="008A288E"/>
    <w:rsid w:val="008A2C74"/>
    <w:rsid w:val="008A2E99"/>
    <w:rsid w:val="008A2EE7"/>
    <w:rsid w:val="008A31B2"/>
    <w:rsid w:val="008A39B5"/>
    <w:rsid w:val="008A426F"/>
    <w:rsid w:val="008A45C8"/>
    <w:rsid w:val="008A4874"/>
    <w:rsid w:val="008A4A86"/>
    <w:rsid w:val="008A4C7F"/>
    <w:rsid w:val="008A4DF9"/>
    <w:rsid w:val="008A52FE"/>
    <w:rsid w:val="008A59FD"/>
    <w:rsid w:val="008A5B45"/>
    <w:rsid w:val="008A5F31"/>
    <w:rsid w:val="008A63AE"/>
    <w:rsid w:val="008A6566"/>
    <w:rsid w:val="008A69D1"/>
    <w:rsid w:val="008A6A67"/>
    <w:rsid w:val="008A6AB5"/>
    <w:rsid w:val="008A71BC"/>
    <w:rsid w:val="008A7723"/>
    <w:rsid w:val="008B0571"/>
    <w:rsid w:val="008B070C"/>
    <w:rsid w:val="008B0913"/>
    <w:rsid w:val="008B0990"/>
    <w:rsid w:val="008B0C87"/>
    <w:rsid w:val="008B0D77"/>
    <w:rsid w:val="008B1491"/>
    <w:rsid w:val="008B28A6"/>
    <w:rsid w:val="008B2F70"/>
    <w:rsid w:val="008B37E2"/>
    <w:rsid w:val="008B3867"/>
    <w:rsid w:val="008B38AB"/>
    <w:rsid w:val="008B393C"/>
    <w:rsid w:val="008B41F9"/>
    <w:rsid w:val="008B443A"/>
    <w:rsid w:val="008B44C6"/>
    <w:rsid w:val="008B468A"/>
    <w:rsid w:val="008B48E8"/>
    <w:rsid w:val="008B4904"/>
    <w:rsid w:val="008B4D10"/>
    <w:rsid w:val="008B51BD"/>
    <w:rsid w:val="008B54A9"/>
    <w:rsid w:val="008B5591"/>
    <w:rsid w:val="008B5D7E"/>
    <w:rsid w:val="008B5E96"/>
    <w:rsid w:val="008B5ECF"/>
    <w:rsid w:val="008B63A2"/>
    <w:rsid w:val="008B6636"/>
    <w:rsid w:val="008B6998"/>
    <w:rsid w:val="008B6C10"/>
    <w:rsid w:val="008B6D5A"/>
    <w:rsid w:val="008B6DB3"/>
    <w:rsid w:val="008B6F17"/>
    <w:rsid w:val="008B71D2"/>
    <w:rsid w:val="008B72D3"/>
    <w:rsid w:val="008B7352"/>
    <w:rsid w:val="008B73CA"/>
    <w:rsid w:val="008B7A91"/>
    <w:rsid w:val="008B7C6A"/>
    <w:rsid w:val="008B7E36"/>
    <w:rsid w:val="008C0204"/>
    <w:rsid w:val="008C0407"/>
    <w:rsid w:val="008C07FC"/>
    <w:rsid w:val="008C0863"/>
    <w:rsid w:val="008C0958"/>
    <w:rsid w:val="008C0BFD"/>
    <w:rsid w:val="008C0CAC"/>
    <w:rsid w:val="008C0CB1"/>
    <w:rsid w:val="008C1BBA"/>
    <w:rsid w:val="008C1E2B"/>
    <w:rsid w:val="008C1EBE"/>
    <w:rsid w:val="008C22A7"/>
    <w:rsid w:val="008C29C7"/>
    <w:rsid w:val="008C2AE1"/>
    <w:rsid w:val="008C2DC5"/>
    <w:rsid w:val="008C30BB"/>
    <w:rsid w:val="008C30BE"/>
    <w:rsid w:val="008C3795"/>
    <w:rsid w:val="008C3B22"/>
    <w:rsid w:val="008C4202"/>
    <w:rsid w:val="008C445F"/>
    <w:rsid w:val="008C48E2"/>
    <w:rsid w:val="008C4A2D"/>
    <w:rsid w:val="008C4A35"/>
    <w:rsid w:val="008C4B2B"/>
    <w:rsid w:val="008C4D7F"/>
    <w:rsid w:val="008C500A"/>
    <w:rsid w:val="008C520F"/>
    <w:rsid w:val="008C54B5"/>
    <w:rsid w:val="008C54BE"/>
    <w:rsid w:val="008C550D"/>
    <w:rsid w:val="008C6137"/>
    <w:rsid w:val="008C64E8"/>
    <w:rsid w:val="008C6BE5"/>
    <w:rsid w:val="008C6DAA"/>
    <w:rsid w:val="008C7150"/>
    <w:rsid w:val="008C74F3"/>
    <w:rsid w:val="008C7D1C"/>
    <w:rsid w:val="008D0F4D"/>
    <w:rsid w:val="008D1158"/>
    <w:rsid w:val="008D1322"/>
    <w:rsid w:val="008D1726"/>
    <w:rsid w:val="008D2001"/>
    <w:rsid w:val="008D28D3"/>
    <w:rsid w:val="008D2902"/>
    <w:rsid w:val="008D2C6D"/>
    <w:rsid w:val="008D2F4B"/>
    <w:rsid w:val="008D3169"/>
    <w:rsid w:val="008D336A"/>
    <w:rsid w:val="008D3740"/>
    <w:rsid w:val="008D3786"/>
    <w:rsid w:val="008D39A6"/>
    <w:rsid w:val="008D3E67"/>
    <w:rsid w:val="008D3F10"/>
    <w:rsid w:val="008D41B0"/>
    <w:rsid w:val="008D46B7"/>
    <w:rsid w:val="008D4C47"/>
    <w:rsid w:val="008D507A"/>
    <w:rsid w:val="008D517E"/>
    <w:rsid w:val="008D5396"/>
    <w:rsid w:val="008D5BB2"/>
    <w:rsid w:val="008D628C"/>
    <w:rsid w:val="008D6B5C"/>
    <w:rsid w:val="008D6D22"/>
    <w:rsid w:val="008D722D"/>
    <w:rsid w:val="008D757D"/>
    <w:rsid w:val="008D7AB0"/>
    <w:rsid w:val="008D7AF9"/>
    <w:rsid w:val="008D7B80"/>
    <w:rsid w:val="008E030F"/>
    <w:rsid w:val="008E0482"/>
    <w:rsid w:val="008E0726"/>
    <w:rsid w:val="008E08BD"/>
    <w:rsid w:val="008E0B81"/>
    <w:rsid w:val="008E0BE5"/>
    <w:rsid w:val="008E0ECC"/>
    <w:rsid w:val="008E107E"/>
    <w:rsid w:val="008E10B1"/>
    <w:rsid w:val="008E12F5"/>
    <w:rsid w:val="008E1318"/>
    <w:rsid w:val="008E1765"/>
    <w:rsid w:val="008E1BDF"/>
    <w:rsid w:val="008E1D29"/>
    <w:rsid w:val="008E1D5B"/>
    <w:rsid w:val="008E2094"/>
    <w:rsid w:val="008E214E"/>
    <w:rsid w:val="008E237B"/>
    <w:rsid w:val="008E2424"/>
    <w:rsid w:val="008E28A6"/>
    <w:rsid w:val="008E28B3"/>
    <w:rsid w:val="008E2BE6"/>
    <w:rsid w:val="008E302E"/>
    <w:rsid w:val="008E40F3"/>
    <w:rsid w:val="008E4712"/>
    <w:rsid w:val="008E4C61"/>
    <w:rsid w:val="008E52F9"/>
    <w:rsid w:val="008E53BB"/>
    <w:rsid w:val="008E549F"/>
    <w:rsid w:val="008E5807"/>
    <w:rsid w:val="008E5B6A"/>
    <w:rsid w:val="008E6177"/>
    <w:rsid w:val="008E6205"/>
    <w:rsid w:val="008E6345"/>
    <w:rsid w:val="008E6EA8"/>
    <w:rsid w:val="008E757E"/>
    <w:rsid w:val="008E77B5"/>
    <w:rsid w:val="008E7809"/>
    <w:rsid w:val="008E7A1A"/>
    <w:rsid w:val="008E7F19"/>
    <w:rsid w:val="008F0017"/>
    <w:rsid w:val="008F001E"/>
    <w:rsid w:val="008F005F"/>
    <w:rsid w:val="008F017C"/>
    <w:rsid w:val="008F0263"/>
    <w:rsid w:val="008F0C39"/>
    <w:rsid w:val="008F0C89"/>
    <w:rsid w:val="008F0CCA"/>
    <w:rsid w:val="008F0CD4"/>
    <w:rsid w:val="008F0CE8"/>
    <w:rsid w:val="008F0DF1"/>
    <w:rsid w:val="008F14D4"/>
    <w:rsid w:val="008F1931"/>
    <w:rsid w:val="008F1958"/>
    <w:rsid w:val="008F1AA2"/>
    <w:rsid w:val="008F1B67"/>
    <w:rsid w:val="008F1C1D"/>
    <w:rsid w:val="008F1D55"/>
    <w:rsid w:val="008F1DBD"/>
    <w:rsid w:val="008F1E5A"/>
    <w:rsid w:val="008F1F6B"/>
    <w:rsid w:val="008F2000"/>
    <w:rsid w:val="008F216E"/>
    <w:rsid w:val="008F2D2E"/>
    <w:rsid w:val="008F2FAC"/>
    <w:rsid w:val="008F33D7"/>
    <w:rsid w:val="008F3D1B"/>
    <w:rsid w:val="008F3E40"/>
    <w:rsid w:val="008F3FE1"/>
    <w:rsid w:val="008F4197"/>
    <w:rsid w:val="008F4B2B"/>
    <w:rsid w:val="008F4B4D"/>
    <w:rsid w:val="008F4BCB"/>
    <w:rsid w:val="008F4F7E"/>
    <w:rsid w:val="008F5134"/>
    <w:rsid w:val="008F54AC"/>
    <w:rsid w:val="008F5E85"/>
    <w:rsid w:val="008F6327"/>
    <w:rsid w:val="008F6536"/>
    <w:rsid w:val="008F6667"/>
    <w:rsid w:val="008F6787"/>
    <w:rsid w:val="008F6A29"/>
    <w:rsid w:val="008F6E80"/>
    <w:rsid w:val="008F7114"/>
    <w:rsid w:val="008F7496"/>
    <w:rsid w:val="00900079"/>
    <w:rsid w:val="0090051C"/>
    <w:rsid w:val="00900D39"/>
    <w:rsid w:val="00900F1A"/>
    <w:rsid w:val="009013B4"/>
    <w:rsid w:val="009015E8"/>
    <w:rsid w:val="009016C7"/>
    <w:rsid w:val="00901BD2"/>
    <w:rsid w:val="00901EA1"/>
    <w:rsid w:val="00902061"/>
    <w:rsid w:val="009027A4"/>
    <w:rsid w:val="0090285D"/>
    <w:rsid w:val="00902A79"/>
    <w:rsid w:val="00902E5F"/>
    <w:rsid w:val="00902F8E"/>
    <w:rsid w:val="00902FF2"/>
    <w:rsid w:val="00903045"/>
    <w:rsid w:val="009039D1"/>
    <w:rsid w:val="00904071"/>
    <w:rsid w:val="009041A9"/>
    <w:rsid w:val="00904251"/>
    <w:rsid w:val="009042A0"/>
    <w:rsid w:val="009043E1"/>
    <w:rsid w:val="0090451D"/>
    <w:rsid w:val="009047A6"/>
    <w:rsid w:val="00904A0C"/>
    <w:rsid w:val="00904E25"/>
    <w:rsid w:val="00904EFE"/>
    <w:rsid w:val="00904F39"/>
    <w:rsid w:val="0090537F"/>
    <w:rsid w:val="00905577"/>
    <w:rsid w:val="00905E35"/>
    <w:rsid w:val="00906464"/>
    <w:rsid w:val="009066B1"/>
    <w:rsid w:val="0090685B"/>
    <w:rsid w:val="00906F88"/>
    <w:rsid w:val="009074D4"/>
    <w:rsid w:val="00907771"/>
    <w:rsid w:val="00910512"/>
    <w:rsid w:val="0091091D"/>
    <w:rsid w:val="00910B82"/>
    <w:rsid w:val="009114B9"/>
    <w:rsid w:val="009114D6"/>
    <w:rsid w:val="009117C5"/>
    <w:rsid w:val="00911D28"/>
    <w:rsid w:val="00911DF3"/>
    <w:rsid w:val="0091204B"/>
    <w:rsid w:val="0091221B"/>
    <w:rsid w:val="009122CC"/>
    <w:rsid w:val="00912C28"/>
    <w:rsid w:val="00912C8B"/>
    <w:rsid w:val="00912E8D"/>
    <w:rsid w:val="00912EA4"/>
    <w:rsid w:val="009132FB"/>
    <w:rsid w:val="009136F9"/>
    <w:rsid w:val="00913889"/>
    <w:rsid w:val="00913923"/>
    <w:rsid w:val="00913926"/>
    <w:rsid w:val="00913B50"/>
    <w:rsid w:val="00913CC0"/>
    <w:rsid w:val="00913D4D"/>
    <w:rsid w:val="009141E3"/>
    <w:rsid w:val="00914627"/>
    <w:rsid w:val="0091478C"/>
    <w:rsid w:val="00914B69"/>
    <w:rsid w:val="00914DF0"/>
    <w:rsid w:val="00914F27"/>
    <w:rsid w:val="0091563D"/>
    <w:rsid w:val="009157CC"/>
    <w:rsid w:val="009159C9"/>
    <w:rsid w:val="00915A7D"/>
    <w:rsid w:val="00915D0C"/>
    <w:rsid w:val="0091602E"/>
    <w:rsid w:val="009161E4"/>
    <w:rsid w:val="00916236"/>
    <w:rsid w:val="00916453"/>
    <w:rsid w:val="0091679F"/>
    <w:rsid w:val="00917318"/>
    <w:rsid w:val="009175A7"/>
    <w:rsid w:val="00917BA9"/>
    <w:rsid w:val="00917CE3"/>
    <w:rsid w:val="0092002D"/>
    <w:rsid w:val="00920657"/>
    <w:rsid w:val="009206D6"/>
    <w:rsid w:val="009209F3"/>
    <w:rsid w:val="00920A95"/>
    <w:rsid w:val="00920B30"/>
    <w:rsid w:val="00920D3F"/>
    <w:rsid w:val="00920D5E"/>
    <w:rsid w:val="00920DEE"/>
    <w:rsid w:val="00920F54"/>
    <w:rsid w:val="0092102C"/>
    <w:rsid w:val="00921120"/>
    <w:rsid w:val="009212AD"/>
    <w:rsid w:val="009213C7"/>
    <w:rsid w:val="009214C1"/>
    <w:rsid w:val="009215C4"/>
    <w:rsid w:val="009216AD"/>
    <w:rsid w:val="00921870"/>
    <w:rsid w:val="00921947"/>
    <w:rsid w:val="00921A1E"/>
    <w:rsid w:val="00921D24"/>
    <w:rsid w:val="00921DFD"/>
    <w:rsid w:val="009225D6"/>
    <w:rsid w:val="009225FA"/>
    <w:rsid w:val="009227AE"/>
    <w:rsid w:val="00922C9D"/>
    <w:rsid w:val="00923232"/>
    <w:rsid w:val="009234BD"/>
    <w:rsid w:val="00923B2B"/>
    <w:rsid w:val="00923D36"/>
    <w:rsid w:val="00923E71"/>
    <w:rsid w:val="00923F6F"/>
    <w:rsid w:val="00924745"/>
    <w:rsid w:val="009248F1"/>
    <w:rsid w:val="00924F8A"/>
    <w:rsid w:val="00925091"/>
    <w:rsid w:val="00925135"/>
    <w:rsid w:val="00925378"/>
    <w:rsid w:val="00925487"/>
    <w:rsid w:val="00925B93"/>
    <w:rsid w:val="009261E9"/>
    <w:rsid w:val="00926BA0"/>
    <w:rsid w:val="00926D41"/>
    <w:rsid w:val="00926DAD"/>
    <w:rsid w:val="00926E55"/>
    <w:rsid w:val="00927168"/>
    <w:rsid w:val="00927189"/>
    <w:rsid w:val="0092722C"/>
    <w:rsid w:val="00927236"/>
    <w:rsid w:val="00927256"/>
    <w:rsid w:val="009273FF"/>
    <w:rsid w:val="00927457"/>
    <w:rsid w:val="00927501"/>
    <w:rsid w:val="00927826"/>
    <w:rsid w:val="00927A31"/>
    <w:rsid w:val="00927DA0"/>
    <w:rsid w:val="00927F54"/>
    <w:rsid w:val="009297E6"/>
    <w:rsid w:val="009300C2"/>
    <w:rsid w:val="009300EE"/>
    <w:rsid w:val="009309A9"/>
    <w:rsid w:val="00930F02"/>
    <w:rsid w:val="009314C2"/>
    <w:rsid w:val="00931B69"/>
    <w:rsid w:val="00931E97"/>
    <w:rsid w:val="00931FB5"/>
    <w:rsid w:val="00931FFE"/>
    <w:rsid w:val="00932586"/>
    <w:rsid w:val="009327A0"/>
    <w:rsid w:val="009327EB"/>
    <w:rsid w:val="00932885"/>
    <w:rsid w:val="0093297D"/>
    <w:rsid w:val="00933077"/>
    <w:rsid w:val="00933425"/>
    <w:rsid w:val="009340DE"/>
    <w:rsid w:val="00934A23"/>
    <w:rsid w:val="00934CAB"/>
    <w:rsid w:val="0093513F"/>
    <w:rsid w:val="00935618"/>
    <w:rsid w:val="00935948"/>
    <w:rsid w:val="00935D87"/>
    <w:rsid w:val="00936079"/>
    <w:rsid w:val="0093626B"/>
    <w:rsid w:val="009364E3"/>
    <w:rsid w:val="00937019"/>
    <w:rsid w:val="00937502"/>
    <w:rsid w:val="0093758E"/>
    <w:rsid w:val="009377C4"/>
    <w:rsid w:val="00937DB7"/>
    <w:rsid w:val="00937F6E"/>
    <w:rsid w:val="0094053A"/>
    <w:rsid w:val="009405B9"/>
    <w:rsid w:val="00940606"/>
    <w:rsid w:val="009406AC"/>
    <w:rsid w:val="00940ADE"/>
    <w:rsid w:val="00940C04"/>
    <w:rsid w:val="00940D7A"/>
    <w:rsid w:val="00941206"/>
    <w:rsid w:val="00941549"/>
    <w:rsid w:val="0094195E"/>
    <w:rsid w:val="00941D25"/>
    <w:rsid w:val="0094226F"/>
    <w:rsid w:val="00942374"/>
    <w:rsid w:val="009427BC"/>
    <w:rsid w:val="0094283A"/>
    <w:rsid w:val="00942AC9"/>
    <w:rsid w:val="00942CEF"/>
    <w:rsid w:val="00942D1F"/>
    <w:rsid w:val="009431A5"/>
    <w:rsid w:val="00943263"/>
    <w:rsid w:val="0094336D"/>
    <w:rsid w:val="0094396A"/>
    <w:rsid w:val="00943AC2"/>
    <w:rsid w:val="00943FDE"/>
    <w:rsid w:val="00943FFD"/>
    <w:rsid w:val="009441A6"/>
    <w:rsid w:val="00944603"/>
    <w:rsid w:val="00944606"/>
    <w:rsid w:val="00944D42"/>
    <w:rsid w:val="00944FB9"/>
    <w:rsid w:val="009453CD"/>
    <w:rsid w:val="009454B5"/>
    <w:rsid w:val="00945760"/>
    <w:rsid w:val="0094608E"/>
    <w:rsid w:val="00946249"/>
    <w:rsid w:val="00946312"/>
    <w:rsid w:val="0094633F"/>
    <w:rsid w:val="00946353"/>
    <w:rsid w:val="009469EE"/>
    <w:rsid w:val="00946C53"/>
    <w:rsid w:val="00946D5E"/>
    <w:rsid w:val="00946D71"/>
    <w:rsid w:val="0094704E"/>
    <w:rsid w:val="00947305"/>
    <w:rsid w:val="0094763E"/>
    <w:rsid w:val="0094790A"/>
    <w:rsid w:val="0095024F"/>
    <w:rsid w:val="009507A8"/>
    <w:rsid w:val="0095095B"/>
    <w:rsid w:val="009509B5"/>
    <w:rsid w:val="00950EF8"/>
    <w:rsid w:val="0095121A"/>
    <w:rsid w:val="00951290"/>
    <w:rsid w:val="0095192D"/>
    <w:rsid w:val="00951A35"/>
    <w:rsid w:val="00951C05"/>
    <w:rsid w:val="009520CA"/>
    <w:rsid w:val="00952438"/>
    <w:rsid w:val="009524A9"/>
    <w:rsid w:val="009524DE"/>
    <w:rsid w:val="009525E4"/>
    <w:rsid w:val="00952BA5"/>
    <w:rsid w:val="00952BCB"/>
    <w:rsid w:val="009530BF"/>
    <w:rsid w:val="00953384"/>
    <w:rsid w:val="00953508"/>
    <w:rsid w:val="00953D0F"/>
    <w:rsid w:val="00954022"/>
    <w:rsid w:val="00954131"/>
    <w:rsid w:val="009543E6"/>
    <w:rsid w:val="00954415"/>
    <w:rsid w:val="00954428"/>
    <w:rsid w:val="00954720"/>
    <w:rsid w:val="009548B1"/>
    <w:rsid w:val="0095532A"/>
    <w:rsid w:val="0095541B"/>
    <w:rsid w:val="0095567D"/>
    <w:rsid w:val="00955C42"/>
    <w:rsid w:val="00955CCF"/>
    <w:rsid w:val="00955DAB"/>
    <w:rsid w:val="00955E23"/>
    <w:rsid w:val="00956582"/>
    <w:rsid w:val="00956678"/>
    <w:rsid w:val="00956D86"/>
    <w:rsid w:val="00956E27"/>
    <w:rsid w:val="00956E8A"/>
    <w:rsid w:val="0095711C"/>
    <w:rsid w:val="00957641"/>
    <w:rsid w:val="0095773D"/>
    <w:rsid w:val="009578D7"/>
    <w:rsid w:val="0095790A"/>
    <w:rsid w:val="00957DEB"/>
    <w:rsid w:val="00960111"/>
    <w:rsid w:val="00960185"/>
    <w:rsid w:val="009602FF"/>
    <w:rsid w:val="0096085B"/>
    <w:rsid w:val="00960CC6"/>
    <w:rsid w:val="00960D45"/>
    <w:rsid w:val="009615B4"/>
    <w:rsid w:val="00962226"/>
    <w:rsid w:val="009624F9"/>
    <w:rsid w:val="0096256F"/>
    <w:rsid w:val="009626BA"/>
    <w:rsid w:val="009627C3"/>
    <w:rsid w:val="009627D0"/>
    <w:rsid w:val="00962B48"/>
    <w:rsid w:val="00962F47"/>
    <w:rsid w:val="009633B7"/>
    <w:rsid w:val="00963578"/>
    <w:rsid w:val="00963712"/>
    <w:rsid w:val="00963BA6"/>
    <w:rsid w:val="00963CB6"/>
    <w:rsid w:val="009642A1"/>
    <w:rsid w:val="009647C8"/>
    <w:rsid w:val="00964898"/>
    <w:rsid w:val="00964A75"/>
    <w:rsid w:val="00964A78"/>
    <w:rsid w:val="009651E0"/>
    <w:rsid w:val="009651FF"/>
    <w:rsid w:val="0096538A"/>
    <w:rsid w:val="0096571B"/>
    <w:rsid w:val="00965774"/>
    <w:rsid w:val="00965C80"/>
    <w:rsid w:val="00966644"/>
    <w:rsid w:val="00966BB5"/>
    <w:rsid w:val="00966DED"/>
    <w:rsid w:val="0096701A"/>
    <w:rsid w:val="00967182"/>
    <w:rsid w:val="009677B0"/>
    <w:rsid w:val="009677E4"/>
    <w:rsid w:val="00967B81"/>
    <w:rsid w:val="00967D54"/>
    <w:rsid w:val="00967D9C"/>
    <w:rsid w:val="00967E61"/>
    <w:rsid w:val="009702C1"/>
    <w:rsid w:val="009710DA"/>
    <w:rsid w:val="0097117F"/>
    <w:rsid w:val="009721B9"/>
    <w:rsid w:val="00972825"/>
    <w:rsid w:val="00972CA0"/>
    <w:rsid w:val="00972D69"/>
    <w:rsid w:val="0097346D"/>
    <w:rsid w:val="0097350D"/>
    <w:rsid w:val="0097368E"/>
    <w:rsid w:val="00973B27"/>
    <w:rsid w:val="00973CB4"/>
    <w:rsid w:val="00973D55"/>
    <w:rsid w:val="00973E48"/>
    <w:rsid w:val="00973F86"/>
    <w:rsid w:val="00974028"/>
    <w:rsid w:val="009742F0"/>
    <w:rsid w:val="009749B1"/>
    <w:rsid w:val="00974BBD"/>
    <w:rsid w:val="00974E3C"/>
    <w:rsid w:val="00974F5E"/>
    <w:rsid w:val="00975A11"/>
    <w:rsid w:val="00975F15"/>
    <w:rsid w:val="00975FD3"/>
    <w:rsid w:val="009768C1"/>
    <w:rsid w:val="00976BCF"/>
    <w:rsid w:val="0097711E"/>
    <w:rsid w:val="00977444"/>
    <w:rsid w:val="009774B5"/>
    <w:rsid w:val="009774C3"/>
    <w:rsid w:val="00977F8F"/>
    <w:rsid w:val="009801B8"/>
    <w:rsid w:val="00980239"/>
    <w:rsid w:val="00980408"/>
    <w:rsid w:val="009804C4"/>
    <w:rsid w:val="00980AE3"/>
    <w:rsid w:val="00981113"/>
    <w:rsid w:val="0098188C"/>
    <w:rsid w:val="00981BE9"/>
    <w:rsid w:val="00981CFA"/>
    <w:rsid w:val="00981D37"/>
    <w:rsid w:val="00981F5B"/>
    <w:rsid w:val="00981FA5"/>
    <w:rsid w:val="009823F2"/>
    <w:rsid w:val="009826F4"/>
    <w:rsid w:val="009828CF"/>
    <w:rsid w:val="00982A5C"/>
    <w:rsid w:val="009833B0"/>
    <w:rsid w:val="00983C15"/>
    <w:rsid w:val="00983CC3"/>
    <w:rsid w:val="00984219"/>
    <w:rsid w:val="0098427D"/>
    <w:rsid w:val="009845BE"/>
    <w:rsid w:val="00984617"/>
    <w:rsid w:val="00984A05"/>
    <w:rsid w:val="00984B9D"/>
    <w:rsid w:val="0098535F"/>
    <w:rsid w:val="009854AB"/>
    <w:rsid w:val="009858F3"/>
    <w:rsid w:val="00985A6A"/>
    <w:rsid w:val="00985D62"/>
    <w:rsid w:val="009860A0"/>
    <w:rsid w:val="00986414"/>
    <w:rsid w:val="0098644A"/>
    <w:rsid w:val="00986542"/>
    <w:rsid w:val="009866FE"/>
    <w:rsid w:val="00986B57"/>
    <w:rsid w:val="00986BFF"/>
    <w:rsid w:val="00986DF6"/>
    <w:rsid w:val="00986EDD"/>
    <w:rsid w:val="0098708F"/>
    <w:rsid w:val="009879DE"/>
    <w:rsid w:val="00987A4E"/>
    <w:rsid w:val="00987CB8"/>
    <w:rsid w:val="0099017F"/>
    <w:rsid w:val="009908A9"/>
    <w:rsid w:val="00990A92"/>
    <w:rsid w:val="00990B5B"/>
    <w:rsid w:val="00990D74"/>
    <w:rsid w:val="00990F9A"/>
    <w:rsid w:val="00990FA8"/>
    <w:rsid w:val="00991085"/>
    <w:rsid w:val="00991258"/>
    <w:rsid w:val="00991476"/>
    <w:rsid w:val="009914DE"/>
    <w:rsid w:val="00991AB5"/>
    <w:rsid w:val="00991C6E"/>
    <w:rsid w:val="00991C8F"/>
    <w:rsid w:val="00991FCE"/>
    <w:rsid w:val="00992505"/>
    <w:rsid w:val="009929B8"/>
    <w:rsid w:val="00992C77"/>
    <w:rsid w:val="00992DBB"/>
    <w:rsid w:val="00992F8D"/>
    <w:rsid w:val="00993285"/>
    <w:rsid w:val="00993312"/>
    <w:rsid w:val="00993B14"/>
    <w:rsid w:val="00994382"/>
    <w:rsid w:val="009944F5"/>
    <w:rsid w:val="0099453F"/>
    <w:rsid w:val="00994632"/>
    <w:rsid w:val="00994B38"/>
    <w:rsid w:val="00994EBA"/>
    <w:rsid w:val="00994F9D"/>
    <w:rsid w:val="00995139"/>
    <w:rsid w:val="0099584C"/>
    <w:rsid w:val="00995D4D"/>
    <w:rsid w:val="00995DDF"/>
    <w:rsid w:val="009962A9"/>
    <w:rsid w:val="0099634B"/>
    <w:rsid w:val="00996747"/>
    <w:rsid w:val="00996919"/>
    <w:rsid w:val="00996C87"/>
    <w:rsid w:val="00996D0E"/>
    <w:rsid w:val="00996D61"/>
    <w:rsid w:val="00996E5C"/>
    <w:rsid w:val="009971F5"/>
    <w:rsid w:val="00997367"/>
    <w:rsid w:val="00997503"/>
    <w:rsid w:val="0099757B"/>
    <w:rsid w:val="00997993"/>
    <w:rsid w:val="00997BD0"/>
    <w:rsid w:val="009A020E"/>
    <w:rsid w:val="009A06B4"/>
    <w:rsid w:val="009A076B"/>
    <w:rsid w:val="009A08EC"/>
    <w:rsid w:val="009A0EC7"/>
    <w:rsid w:val="009A103A"/>
    <w:rsid w:val="009A144D"/>
    <w:rsid w:val="009A150A"/>
    <w:rsid w:val="009A19D0"/>
    <w:rsid w:val="009A1A16"/>
    <w:rsid w:val="009A2373"/>
    <w:rsid w:val="009A2F60"/>
    <w:rsid w:val="009A2FB0"/>
    <w:rsid w:val="009A3236"/>
    <w:rsid w:val="009A39E0"/>
    <w:rsid w:val="009A3A23"/>
    <w:rsid w:val="009A42EA"/>
    <w:rsid w:val="009A43E8"/>
    <w:rsid w:val="009A4584"/>
    <w:rsid w:val="009A47A4"/>
    <w:rsid w:val="009A48D7"/>
    <w:rsid w:val="009A496C"/>
    <w:rsid w:val="009A4BA6"/>
    <w:rsid w:val="009A4D1C"/>
    <w:rsid w:val="009A4E41"/>
    <w:rsid w:val="009A53B7"/>
    <w:rsid w:val="009A56AB"/>
    <w:rsid w:val="009A5864"/>
    <w:rsid w:val="009A643F"/>
    <w:rsid w:val="009A672F"/>
    <w:rsid w:val="009A674E"/>
    <w:rsid w:val="009A67AB"/>
    <w:rsid w:val="009A683B"/>
    <w:rsid w:val="009A6A6D"/>
    <w:rsid w:val="009A6A71"/>
    <w:rsid w:val="009A6B32"/>
    <w:rsid w:val="009A6D5D"/>
    <w:rsid w:val="009A6FCD"/>
    <w:rsid w:val="009A7289"/>
    <w:rsid w:val="009A72BE"/>
    <w:rsid w:val="009B0311"/>
    <w:rsid w:val="009B0654"/>
    <w:rsid w:val="009B0CCB"/>
    <w:rsid w:val="009B0ED1"/>
    <w:rsid w:val="009B0FDB"/>
    <w:rsid w:val="009B111D"/>
    <w:rsid w:val="009B12D8"/>
    <w:rsid w:val="009B1302"/>
    <w:rsid w:val="009B13DA"/>
    <w:rsid w:val="009B15F2"/>
    <w:rsid w:val="009B1833"/>
    <w:rsid w:val="009B1C68"/>
    <w:rsid w:val="009B1ED1"/>
    <w:rsid w:val="009B2173"/>
    <w:rsid w:val="009B21D9"/>
    <w:rsid w:val="009B310B"/>
    <w:rsid w:val="009B3383"/>
    <w:rsid w:val="009B3AF5"/>
    <w:rsid w:val="009B44ED"/>
    <w:rsid w:val="009B4524"/>
    <w:rsid w:val="009B4726"/>
    <w:rsid w:val="009B489F"/>
    <w:rsid w:val="009B4E48"/>
    <w:rsid w:val="009B503F"/>
    <w:rsid w:val="009B511C"/>
    <w:rsid w:val="009B51B1"/>
    <w:rsid w:val="009B526D"/>
    <w:rsid w:val="009B53B7"/>
    <w:rsid w:val="009B59B7"/>
    <w:rsid w:val="009B5CC7"/>
    <w:rsid w:val="009B6107"/>
    <w:rsid w:val="009B635E"/>
    <w:rsid w:val="009B6527"/>
    <w:rsid w:val="009B6629"/>
    <w:rsid w:val="009B6634"/>
    <w:rsid w:val="009B69BC"/>
    <w:rsid w:val="009B6ACF"/>
    <w:rsid w:val="009B6ADE"/>
    <w:rsid w:val="009B6E21"/>
    <w:rsid w:val="009B70FD"/>
    <w:rsid w:val="009B76E3"/>
    <w:rsid w:val="009B786C"/>
    <w:rsid w:val="009B7A72"/>
    <w:rsid w:val="009B7C24"/>
    <w:rsid w:val="009C02B9"/>
    <w:rsid w:val="009C0AF9"/>
    <w:rsid w:val="009C0FE5"/>
    <w:rsid w:val="009C109F"/>
    <w:rsid w:val="009C1355"/>
    <w:rsid w:val="009C140C"/>
    <w:rsid w:val="009C1557"/>
    <w:rsid w:val="009C1A06"/>
    <w:rsid w:val="009C1CEA"/>
    <w:rsid w:val="009C2435"/>
    <w:rsid w:val="009C2477"/>
    <w:rsid w:val="009C24DF"/>
    <w:rsid w:val="009C2710"/>
    <w:rsid w:val="009C2A48"/>
    <w:rsid w:val="009C2ED4"/>
    <w:rsid w:val="009C3167"/>
    <w:rsid w:val="009C31AB"/>
    <w:rsid w:val="009C333E"/>
    <w:rsid w:val="009C350C"/>
    <w:rsid w:val="009C3812"/>
    <w:rsid w:val="009C3CEA"/>
    <w:rsid w:val="009C3CF8"/>
    <w:rsid w:val="009C3F6B"/>
    <w:rsid w:val="009C4053"/>
    <w:rsid w:val="009C4676"/>
    <w:rsid w:val="009C50FE"/>
    <w:rsid w:val="009C5778"/>
    <w:rsid w:val="009C57DA"/>
    <w:rsid w:val="009C59A9"/>
    <w:rsid w:val="009C6610"/>
    <w:rsid w:val="009C6891"/>
    <w:rsid w:val="009C7079"/>
    <w:rsid w:val="009C7221"/>
    <w:rsid w:val="009C7565"/>
    <w:rsid w:val="009C78E8"/>
    <w:rsid w:val="009C795A"/>
    <w:rsid w:val="009C7D4F"/>
    <w:rsid w:val="009D0050"/>
    <w:rsid w:val="009D00AD"/>
    <w:rsid w:val="009D00FC"/>
    <w:rsid w:val="009D01B6"/>
    <w:rsid w:val="009D034F"/>
    <w:rsid w:val="009D0661"/>
    <w:rsid w:val="009D0846"/>
    <w:rsid w:val="009D0B3F"/>
    <w:rsid w:val="009D0BA8"/>
    <w:rsid w:val="009D1314"/>
    <w:rsid w:val="009D14BA"/>
    <w:rsid w:val="009D1694"/>
    <w:rsid w:val="009D171F"/>
    <w:rsid w:val="009D1962"/>
    <w:rsid w:val="009D1EC2"/>
    <w:rsid w:val="009D221D"/>
    <w:rsid w:val="009D2685"/>
    <w:rsid w:val="009D2980"/>
    <w:rsid w:val="009D2F09"/>
    <w:rsid w:val="009D3036"/>
    <w:rsid w:val="009D30CA"/>
    <w:rsid w:val="009D338F"/>
    <w:rsid w:val="009D3491"/>
    <w:rsid w:val="009D3794"/>
    <w:rsid w:val="009D3A4B"/>
    <w:rsid w:val="009D3D74"/>
    <w:rsid w:val="009D3E1B"/>
    <w:rsid w:val="009D3FB6"/>
    <w:rsid w:val="009D410A"/>
    <w:rsid w:val="009D441A"/>
    <w:rsid w:val="009D44DD"/>
    <w:rsid w:val="009D4AAF"/>
    <w:rsid w:val="009D4B0B"/>
    <w:rsid w:val="009D4C27"/>
    <w:rsid w:val="009D4D9F"/>
    <w:rsid w:val="009D5151"/>
    <w:rsid w:val="009D537E"/>
    <w:rsid w:val="009D5542"/>
    <w:rsid w:val="009D5862"/>
    <w:rsid w:val="009D5F36"/>
    <w:rsid w:val="009D6192"/>
    <w:rsid w:val="009D6296"/>
    <w:rsid w:val="009D6D44"/>
    <w:rsid w:val="009D7032"/>
    <w:rsid w:val="009D7374"/>
    <w:rsid w:val="009D73C3"/>
    <w:rsid w:val="009D7486"/>
    <w:rsid w:val="009D74AE"/>
    <w:rsid w:val="009D789A"/>
    <w:rsid w:val="009E0056"/>
    <w:rsid w:val="009E132F"/>
    <w:rsid w:val="009E1F86"/>
    <w:rsid w:val="009E211E"/>
    <w:rsid w:val="009E2214"/>
    <w:rsid w:val="009E28BA"/>
    <w:rsid w:val="009E29EB"/>
    <w:rsid w:val="009E2A33"/>
    <w:rsid w:val="009E38FB"/>
    <w:rsid w:val="009E4633"/>
    <w:rsid w:val="009E4981"/>
    <w:rsid w:val="009E52B1"/>
    <w:rsid w:val="009E534D"/>
    <w:rsid w:val="009E5423"/>
    <w:rsid w:val="009E5482"/>
    <w:rsid w:val="009E5731"/>
    <w:rsid w:val="009E5D18"/>
    <w:rsid w:val="009E5F40"/>
    <w:rsid w:val="009E5FE9"/>
    <w:rsid w:val="009E62AA"/>
    <w:rsid w:val="009E6440"/>
    <w:rsid w:val="009E6653"/>
    <w:rsid w:val="009E6741"/>
    <w:rsid w:val="009E6BDC"/>
    <w:rsid w:val="009E6C81"/>
    <w:rsid w:val="009E755A"/>
    <w:rsid w:val="009E7B82"/>
    <w:rsid w:val="009E7C05"/>
    <w:rsid w:val="009E7C81"/>
    <w:rsid w:val="009E7D7F"/>
    <w:rsid w:val="009E7EAC"/>
    <w:rsid w:val="009E7F95"/>
    <w:rsid w:val="009F02D4"/>
    <w:rsid w:val="009F0DDF"/>
    <w:rsid w:val="009F0E74"/>
    <w:rsid w:val="009F0FE2"/>
    <w:rsid w:val="009F1337"/>
    <w:rsid w:val="009F14AE"/>
    <w:rsid w:val="009F17FC"/>
    <w:rsid w:val="009F1B25"/>
    <w:rsid w:val="009F1BFC"/>
    <w:rsid w:val="009F20B1"/>
    <w:rsid w:val="009F2505"/>
    <w:rsid w:val="009F29BB"/>
    <w:rsid w:val="009F2C68"/>
    <w:rsid w:val="009F2E88"/>
    <w:rsid w:val="009F375F"/>
    <w:rsid w:val="009F3E15"/>
    <w:rsid w:val="009F4303"/>
    <w:rsid w:val="009F4316"/>
    <w:rsid w:val="009F465A"/>
    <w:rsid w:val="009F491B"/>
    <w:rsid w:val="009F4D82"/>
    <w:rsid w:val="009F4FAE"/>
    <w:rsid w:val="009F5455"/>
    <w:rsid w:val="009F5683"/>
    <w:rsid w:val="009F56F2"/>
    <w:rsid w:val="009F59B2"/>
    <w:rsid w:val="009F5A96"/>
    <w:rsid w:val="009F5DAB"/>
    <w:rsid w:val="009F5E95"/>
    <w:rsid w:val="009F5F6F"/>
    <w:rsid w:val="009F62DD"/>
    <w:rsid w:val="009F6462"/>
    <w:rsid w:val="009F668A"/>
    <w:rsid w:val="009F6A81"/>
    <w:rsid w:val="009F713F"/>
    <w:rsid w:val="009F7266"/>
    <w:rsid w:val="009F739A"/>
    <w:rsid w:val="009F7472"/>
    <w:rsid w:val="009F7B3E"/>
    <w:rsid w:val="009F7EB8"/>
    <w:rsid w:val="00A0152A"/>
    <w:rsid w:val="00A015A4"/>
    <w:rsid w:val="00A016C4"/>
    <w:rsid w:val="00A016F1"/>
    <w:rsid w:val="00A01AD0"/>
    <w:rsid w:val="00A01D98"/>
    <w:rsid w:val="00A01E21"/>
    <w:rsid w:val="00A0206A"/>
    <w:rsid w:val="00A0235F"/>
    <w:rsid w:val="00A02715"/>
    <w:rsid w:val="00A02718"/>
    <w:rsid w:val="00A02CE1"/>
    <w:rsid w:val="00A03044"/>
    <w:rsid w:val="00A03612"/>
    <w:rsid w:val="00A0444B"/>
    <w:rsid w:val="00A046AF"/>
    <w:rsid w:val="00A04BD4"/>
    <w:rsid w:val="00A04C9A"/>
    <w:rsid w:val="00A05352"/>
    <w:rsid w:val="00A05568"/>
    <w:rsid w:val="00A0573C"/>
    <w:rsid w:val="00A0576A"/>
    <w:rsid w:val="00A05A6A"/>
    <w:rsid w:val="00A05B74"/>
    <w:rsid w:val="00A05D01"/>
    <w:rsid w:val="00A05DA1"/>
    <w:rsid w:val="00A062D1"/>
    <w:rsid w:val="00A063F9"/>
    <w:rsid w:val="00A06595"/>
    <w:rsid w:val="00A06910"/>
    <w:rsid w:val="00A06DC3"/>
    <w:rsid w:val="00A0722E"/>
    <w:rsid w:val="00A07344"/>
    <w:rsid w:val="00A0751D"/>
    <w:rsid w:val="00A077B9"/>
    <w:rsid w:val="00A07D5A"/>
    <w:rsid w:val="00A07DCC"/>
    <w:rsid w:val="00A07EED"/>
    <w:rsid w:val="00A07FE4"/>
    <w:rsid w:val="00A1019B"/>
    <w:rsid w:val="00A10628"/>
    <w:rsid w:val="00A1062F"/>
    <w:rsid w:val="00A107C0"/>
    <w:rsid w:val="00A109DB"/>
    <w:rsid w:val="00A10BFF"/>
    <w:rsid w:val="00A10D4F"/>
    <w:rsid w:val="00A10D89"/>
    <w:rsid w:val="00A1142A"/>
    <w:rsid w:val="00A1149F"/>
    <w:rsid w:val="00A115C7"/>
    <w:rsid w:val="00A118FC"/>
    <w:rsid w:val="00A11C69"/>
    <w:rsid w:val="00A11F9D"/>
    <w:rsid w:val="00A12180"/>
    <w:rsid w:val="00A1289A"/>
    <w:rsid w:val="00A129E2"/>
    <w:rsid w:val="00A12E60"/>
    <w:rsid w:val="00A12F54"/>
    <w:rsid w:val="00A12FC0"/>
    <w:rsid w:val="00A13032"/>
    <w:rsid w:val="00A14409"/>
    <w:rsid w:val="00A144EA"/>
    <w:rsid w:val="00A147D7"/>
    <w:rsid w:val="00A1492D"/>
    <w:rsid w:val="00A14A6F"/>
    <w:rsid w:val="00A14B47"/>
    <w:rsid w:val="00A14B66"/>
    <w:rsid w:val="00A14F03"/>
    <w:rsid w:val="00A1535A"/>
    <w:rsid w:val="00A1539C"/>
    <w:rsid w:val="00A1576F"/>
    <w:rsid w:val="00A1585D"/>
    <w:rsid w:val="00A159DA"/>
    <w:rsid w:val="00A15EBA"/>
    <w:rsid w:val="00A16796"/>
    <w:rsid w:val="00A16C00"/>
    <w:rsid w:val="00A16CF9"/>
    <w:rsid w:val="00A16D9A"/>
    <w:rsid w:val="00A16DBC"/>
    <w:rsid w:val="00A16E5C"/>
    <w:rsid w:val="00A171AA"/>
    <w:rsid w:val="00A173FD"/>
    <w:rsid w:val="00A177D5"/>
    <w:rsid w:val="00A17816"/>
    <w:rsid w:val="00A2005A"/>
    <w:rsid w:val="00A201B1"/>
    <w:rsid w:val="00A20D65"/>
    <w:rsid w:val="00A2114A"/>
    <w:rsid w:val="00A214FF"/>
    <w:rsid w:val="00A219E6"/>
    <w:rsid w:val="00A21B23"/>
    <w:rsid w:val="00A21C7D"/>
    <w:rsid w:val="00A21DA7"/>
    <w:rsid w:val="00A21FCC"/>
    <w:rsid w:val="00A22049"/>
    <w:rsid w:val="00A22061"/>
    <w:rsid w:val="00A221AB"/>
    <w:rsid w:val="00A2269E"/>
    <w:rsid w:val="00A2294E"/>
    <w:rsid w:val="00A22E70"/>
    <w:rsid w:val="00A23192"/>
    <w:rsid w:val="00A232B0"/>
    <w:rsid w:val="00A23581"/>
    <w:rsid w:val="00A23600"/>
    <w:rsid w:val="00A236C9"/>
    <w:rsid w:val="00A2374B"/>
    <w:rsid w:val="00A23A3F"/>
    <w:rsid w:val="00A23A67"/>
    <w:rsid w:val="00A23D11"/>
    <w:rsid w:val="00A23E62"/>
    <w:rsid w:val="00A24033"/>
    <w:rsid w:val="00A24112"/>
    <w:rsid w:val="00A241FA"/>
    <w:rsid w:val="00A2487B"/>
    <w:rsid w:val="00A24998"/>
    <w:rsid w:val="00A24B85"/>
    <w:rsid w:val="00A24C53"/>
    <w:rsid w:val="00A24C88"/>
    <w:rsid w:val="00A2509E"/>
    <w:rsid w:val="00A250FB"/>
    <w:rsid w:val="00A2572D"/>
    <w:rsid w:val="00A25E01"/>
    <w:rsid w:val="00A2648A"/>
    <w:rsid w:val="00A269F3"/>
    <w:rsid w:val="00A27501"/>
    <w:rsid w:val="00A278C0"/>
    <w:rsid w:val="00A305C6"/>
    <w:rsid w:val="00A30619"/>
    <w:rsid w:val="00A3068A"/>
    <w:rsid w:val="00A3069C"/>
    <w:rsid w:val="00A30858"/>
    <w:rsid w:val="00A30923"/>
    <w:rsid w:val="00A30C86"/>
    <w:rsid w:val="00A30CFE"/>
    <w:rsid w:val="00A31093"/>
    <w:rsid w:val="00A31188"/>
    <w:rsid w:val="00A315F9"/>
    <w:rsid w:val="00A31637"/>
    <w:rsid w:val="00A3176A"/>
    <w:rsid w:val="00A318EF"/>
    <w:rsid w:val="00A31FC9"/>
    <w:rsid w:val="00A3209D"/>
    <w:rsid w:val="00A320C9"/>
    <w:rsid w:val="00A3215E"/>
    <w:rsid w:val="00A32367"/>
    <w:rsid w:val="00A3237C"/>
    <w:rsid w:val="00A325CB"/>
    <w:rsid w:val="00A3290C"/>
    <w:rsid w:val="00A32998"/>
    <w:rsid w:val="00A32E7E"/>
    <w:rsid w:val="00A33634"/>
    <w:rsid w:val="00A339E8"/>
    <w:rsid w:val="00A33D60"/>
    <w:rsid w:val="00A341F2"/>
    <w:rsid w:val="00A3424B"/>
    <w:rsid w:val="00A342F7"/>
    <w:rsid w:val="00A3460E"/>
    <w:rsid w:val="00A34625"/>
    <w:rsid w:val="00A34DF3"/>
    <w:rsid w:val="00A34E58"/>
    <w:rsid w:val="00A35184"/>
    <w:rsid w:val="00A35707"/>
    <w:rsid w:val="00A35D06"/>
    <w:rsid w:val="00A35F53"/>
    <w:rsid w:val="00A35FF6"/>
    <w:rsid w:val="00A3606D"/>
    <w:rsid w:val="00A36111"/>
    <w:rsid w:val="00A364CC"/>
    <w:rsid w:val="00A3678A"/>
    <w:rsid w:val="00A36B55"/>
    <w:rsid w:val="00A3732F"/>
    <w:rsid w:val="00A3746D"/>
    <w:rsid w:val="00A37793"/>
    <w:rsid w:val="00A37C2F"/>
    <w:rsid w:val="00A37E7D"/>
    <w:rsid w:val="00A4080D"/>
    <w:rsid w:val="00A40DC6"/>
    <w:rsid w:val="00A41810"/>
    <w:rsid w:val="00A41827"/>
    <w:rsid w:val="00A41989"/>
    <w:rsid w:val="00A41AB3"/>
    <w:rsid w:val="00A42236"/>
    <w:rsid w:val="00A4225C"/>
    <w:rsid w:val="00A42498"/>
    <w:rsid w:val="00A42E4F"/>
    <w:rsid w:val="00A42FE8"/>
    <w:rsid w:val="00A4309D"/>
    <w:rsid w:val="00A433BD"/>
    <w:rsid w:val="00A4340C"/>
    <w:rsid w:val="00A434D2"/>
    <w:rsid w:val="00A43C76"/>
    <w:rsid w:val="00A43C96"/>
    <w:rsid w:val="00A43F2B"/>
    <w:rsid w:val="00A44333"/>
    <w:rsid w:val="00A44775"/>
    <w:rsid w:val="00A44CF1"/>
    <w:rsid w:val="00A44EB3"/>
    <w:rsid w:val="00A4579E"/>
    <w:rsid w:val="00A45A22"/>
    <w:rsid w:val="00A460B7"/>
    <w:rsid w:val="00A46391"/>
    <w:rsid w:val="00A465ED"/>
    <w:rsid w:val="00A46847"/>
    <w:rsid w:val="00A46AA2"/>
    <w:rsid w:val="00A46F65"/>
    <w:rsid w:val="00A477B2"/>
    <w:rsid w:val="00A477CA"/>
    <w:rsid w:val="00A47823"/>
    <w:rsid w:val="00A47952"/>
    <w:rsid w:val="00A47A88"/>
    <w:rsid w:val="00A47A9F"/>
    <w:rsid w:val="00A500C5"/>
    <w:rsid w:val="00A50413"/>
    <w:rsid w:val="00A5044C"/>
    <w:rsid w:val="00A50509"/>
    <w:rsid w:val="00A5052C"/>
    <w:rsid w:val="00A50705"/>
    <w:rsid w:val="00A50E39"/>
    <w:rsid w:val="00A512D0"/>
    <w:rsid w:val="00A5161B"/>
    <w:rsid w:val="00A51776"/>
    <w:rsid w:val="00A51CC4"/>
    <w:rsid w:val="00A51D48"/>
    <w:rsid w:val="00A52041"/>
    <w:rsid w:val="00A520E1"/>
    <w:rsid w:val="00A5216F"/>
    <w:rsid w:val="00A5244D"/>
    <w:rsid w:val="00A525CD"/>
    <w:rsid w:val="00A525F5"/>
    <w:rsid w:val="00A52649"/>
    <w:rsid w:val="00A529A0"/>
    <w:rsid w:val="00A529A3"/>
    <w:rsid w:val="00A52D0B"/>
    <w:rsid w:val="00A52F3D"/>
    <w:rsid w:val="00A53C52"/>
    <w:rsid w:val="00A53D3F"/>
    <w:rsid w:val="00A53E62"/>
    <w:rsid w:val="00A541DD"/>
    <w:rsid w:val="00A5424B"/>
    <w:rsid w:val="00A545D9"/>
    <w:rsid w:val="00A54824"/>
    <w:rsid w:val="00A548C9"/>
    <w:rsid w:val="00A54A8C"/>
    <w:rsid w:val="00A54AA6"/>
    <w:rsid w:val="00A54CE9"/>
    <w:rsid w:val="00A54D05"/>
    <w:rsid w:val="00A54E13"/>
    <w:rsid w:val="00A54EC6"/>
    <w:rsid w:val="00A55362"/>
    <w:rsid w:val="00A5572C"/>
    <w:rsid w:val="00A55C57"/>
    <w:rsid w:val="00A55C8D"/>
    <w:rsid w:val="00A55F17"/>
    <w:rsid w:val="00A56072"/>
    <w:rsid w:val="00A561CC"/>
    <w:rsid w:val="00A5626A"/>
    <w:rsid w:val="00A56871"/>
    <w:rsid w:val="00A568F1"/>
    <w:rsid w:val="00A5725D"/>
    <w:rsid w:val="00A576F0"/>
    <w:rsid w:val="00A5781D"/>
    <w:rsid w:val="00A5792D"/>
    <w:rsid w:val="00A60080"/>
    <w:rsid w:val="00A6015C"/>
    <w:rsid w:val="00A60C30"/>
    <w:rsid w:val="00A60C4B"/>
    <w:rsid w:val="00A60D11"/>
    <w:rsid w:val="00A6101A"/>
    <w:rsid w:val="00A6144F"/>
    <w:rsid w:val="00A61E7E"/>
    <w:rsid w:val="00A61EA8"/>
    <w:rsid w:val="00A61F5B"/>
    <w:rsid w:val="00A6207F"/>
    <w:rsid w:val="00A6213E"/>
    <w:rsid w:val="00A624D7"/>
    <w:rsid w:val="00A62B64"/>
    <w:rsid w:val="00A62D62"/>
    <w:rsid w:val="00A62D6C"/>
    <w:rsid w:val="00A6368B"/>
    <w:rsid w:val="00A636E5"/>
    <w:rsid w:val="00A6370F"/>
    <w:rsid w:val="00A637A9"/>
    <w:rsid w:val="00A637CB"/>
    <w:rsid w:val="00A6381A"/>
    <w:rsid w:val="00A638AD"/>
    <w:rsid w:val="00A639FF"/>
    <w:rsid w:val="00A63AC2"/>
    <w:rsid w:val="00A63E63"/>
    <w:rsid w:val="00A63F25"/>
    <w:rsid w:val="00A6423D"/>
    <w:rsid w:val="00A644B2"/>
    <w:rsid w:val="00A647AF"/>
    <w:rsid w:val="00A647D7"/>
    <w:rsid w:val="00A648ED"/>
    <w:rsid w:val="00A650C9"/>
    <w:rsid w:val="00A6514B"/>
    <w:rsid w:val="00A653E0"/>
    <w:rsid w:val="00A6585F"/>
    <w:rsid w:val="00A65965"/>
    <w:rsid w:val="00A65C7C"/>
    <w:rsid w:val="00A6676D"/>
    <w:rsid w:val="00A6687E"/>
    <w:rsid w:val="00A67039"/>
    <w:rsid w:val="00A6728A"/>
    <w:rsid w:val="00A672AB"/>
    <w:rsid w:val="00A673F1"/>
    <w:rsid w:val="00A676D1"/>
    <w:rsid w:val="00A67DD3"/>
    <w:rsid w:val="00A67DE1"/>
    <w:rsid w:val="00A67DE2"/>
    <w:rsid w:val="00A701A6"/>
    <w:rsid w:val="00A7023E"/>
    <w:rsid w:val="00A70455"/>
    <w:rsid w:val="00A707F3"/>
    <w:rsid w:val="00A7083F"/>
    <w:rsid w:val="00A70867"/>
    <w:rsid w:val="00A708E2"/>
    <w:rsid w:val="00A70CC5"/>
    <w:rsid w:val="00A70CEE"/>
    <w:rsid w:val="00A70DB9"/>
    <w:rsid w:val="00A71425"/>
    <w:rsid w:val="00A7148B"/>
    <w:rsid w:val="00A71509"/>
    <w:rsid w:val="00A715E0"/>
    <w:rsid w:val="00A71C99"/>
    <w:rsid w:val="00A722AB"/>
    <w:rsid w:val="00A72615"/>
    <w:rsid w:val="00A72641"/>
    <w:rsid w:val="00A72832"/>
    <w:rsid w:val="00A72BE2"/>
    <w:rsid w:val="00A732E5"/>
    <w:rsid w:val="00A7335E"/>
    <w:rsid w:val="00A73644"/>
    <w:rsid w:val="00A736E5"/>
    <w:rsid w:val="00A73987"/>
    <w:rsid w:val="00A73C4C"/>
    <w:rsid w:val="00A73C70"/>
    <w:rsid w:val="00A74355"/>
    <w:rsid w:val="00A74864"/>
    <w:rsid w:val="00A74EA6"/>
    <w:rsid w:val="00A758C4"/>
    <w:rsid w:val="00A7598A"/>
    <w:rsid w:val="00A75A51"/>
    <w:rsid w:val="00A75D04"/>
    <w:rsid w:val="00A75DE3"/>
    <w:rsid w:val="00A75F7B"/>
    <w:rsid w:val="00A762E5"/>
    <w:rsid w:val="00A76790"/>
    <w:rsid w:val="00A76D36"/>
    <w:rsid w:val="00A7705B"/>
    <w:rsid w:val="00A77120"/>
    <w:rsid w:val="00A77268"/>
    <w:rsid w:val="00A776D9"/>
    <w:rsid w:val="00A77731"/>
    <w:rsid w:val="00A77741"/>
    <w:rsid w:val="00A77782"/>
    <w:rsid w:val="00A77911"/>
    <w:rsid w:val="00A77AD7"/>
    <w:rsid w:val="00A77BE8"/>
    <w:rsid w:val="00A77D79"/>
    <w:rsid w:val="00A77E8D"/>
    <w:rsid w:val="00A77F5F"/>
    <w:rsid w:val="00A80354"/>
    <w:rsid w:val="00A80371"/>
    <w:rsid w:val="00A808A7"/>
    <w:rsid w:val="00A8090E"/>
    <w:rsid w:val="00A80D72"/>
    <w:rsid w:val="00A80E6E"/>
    <w:rsid w:val="00A8149E"/>
    <w:rsid w:val="00A81840"/>
    <w:rsid w:val="00A81FFC"/>
    <w:rsid w:val="00A83099"/>
    <w:rsid w:val="00A831B6"/>
    <w:rsid w:val="00A831D0"/>
    <w:rsid w:val="00A8358C"/>
    <w:rsid w:val="00A83656"/>
    <w:rsid w:val="00A836A2"/>
    <w:rsid w:val="00A836C9"/>
    <w:rsid w:val="00A83E72"/>
    <w:rsid w:val="00A842DA"/>
    <w:rsid w:val="00A84313"/>
    <w:rsid w:val="00A84321"/>
    <w:rsid w:val="00A8457C"/>
    <w:rsid w:val="00A84709"/>
    <w:rsid w:val="00A851C1"/>
    <w:rsid w:val="00A85552"/>
    <w:rsid w:val="00A855D6"/>
    <w:rsid w:val="00A85639"/>
    <w:rsid w:val="00A85A39"/>
    <w:rsid w:val="00A85CD7"/>
    <w:rsid w:val="00A8664D"/>
    <w:rsid w:val="00A8665F"/>
    <w:rsid w:val="00A869B7"/>
    <w:rsid w:val="00A87035"/>
    <w:rsid w:val="00A8713A"/>
    <w:rsid w:val="00A871B3"/>
    <w:rsid w:val="00A8745E"/>
    <w:rsid w:val="00A8768B"/>
    <w:rsid w:val="00A8785B"/>
    <w:rsid w:val="00A87D45"/>
    <w:rsid w:val="00A87EF0"/>
    <w:rsid w:val="00A90386"/>
    <w:rsid w:val="00A90499"/>
    <w:rsid w:val="00A90743"/>
    <w:rsid w:val="00A9074F"/>
    <w:rsid w:val="00A90A51"/>
    <w:rsid w:val="00A90A56"/>
    <w:rsid w:val="00A90C83"/>
    <w:rsid w:val="00A9109E"/>
    <w:rsid w:val="00A910B1"/>
    <w:rsid w:val="00A9153D"/>
    <w:rsid w:val="00A917B6"/>
    <w:rsid w:val="00A91953"/>
    <w:rsid w:val="00A91A37"/>
    <w:rsid w:val="00A9281B"/>
    <w:rsid w:val="00A92E28"/>
    <w:rsid w:val="00A92F9A"/>
    <w:rsid w:val="00A9325B"/>
    <w:rsid w:val="00A93AF8"/>
    <w:rsid w:val="00A944B1"/>
    <w:rsid w:val="00A94507"/>
    <w:rsid w:val="00A945F8"/>
    <w:rsid w:val="00A9469F"/>
    <w:rsid w:val="00A9471B"/>
    <w:rsid w:val="00A949E9"/>
    <w:rsid w:val="00A94A31"/>
    <w:rsid w:val="00A94BE4"/>
    <w:rsid w:val="00A94BFE"/>
    <w:rsid w:val="00A94DD4"/>
    <w:rsid w:val="00A94EC1"/>
    <w:rsid w:val="00A94EC7"/>
    <w:rsid w:val="00A95010"/>
    <w:rsid w:val="00A95095"/>
    <w:rsid w:val="00A9515B"/>
    <w:rsid w:val="00A9518B"/>
    <w:rsid w:val="00A9541D"/>
    <w:rsid w:val="00A9543A"/>
    <w:rsid w:val="00A955B1"/>
    <w:rsid w:val="00A95803"/>
    <w:rsid w:val="00A96574"/>
    <w:rsid w:val="00A967BB"/>
    <w:rsid w:val="00A96849"/>
    <w:rsid w:val="00A97204"/>
    <w:rsid w:val="00A972A4"/>
    <w:rsid w:val="00A973BC"/>
    <w:rsid w:val="00A9744F"/>
    <w:rsid w:val="00A9768A"/>
    <w:rsid w:val="00A9795D"/>
    <w:rsid w:val="00A97C80"/>
    <w:rsid w:val="00A97F5C"/>
    <w:rsid w:val="00AA0114"/>
    <w:rsid w:val="00AA024F"/>
    <w:rsid w:val="00AA0286"/>
    <w:rsid w:val="00AA036E"/>
    <w:rsid w:val="00AA0914"/>
    <w:rsid w:val="00AA0FB4"/>
    <w:rsid w:val="00AA1146"/>
    <w:rsid w:val="00AA12A7"/>
    <w:rsid w:val="00AA146A"/>
    <w:rsid w:val="00AA1910"/>
    <w:rsid w:val="00AA19A2"/>
    <w:rsid w:val="00AA1DDC"/>
    <w:rsid w:val="00AA1EFF"/>
    <w:rsid w:val="00AA2012"/>
    <w:rsid w:val="00AA23A6"/>
    <w:rsid w:val="00AA2854"/>
    <w:rsid w:val="00AA2B6B"/>
    <w:rsid w:val="00AA2FB2"/>
    <w:rsid w:val="00AA2FCE"/>
    <w:rsid w:val="00AA3635"/>
    <w:rsid w:val="00AA3845"/>
    <w:rsid w:val="00AA397A"/>
    <w:rsid w:val="00AA3A83"/>
    <w:rsid w:val="00AA3D0E"/>
    <w:rsid w:val="00AA3DAE"/>
    <w:rsid w:val="00AA3E58"/>
    <w:rsid w:val="00AA4015"/>
    <w:rsid w:val="00AA41DE"/>
    <w:rsid w:val="00AA4730"/>
    <w:rsid w:val="00AA497C"/>
    <w:rsid w:val="00AA5789"/>
    <w:rsid w:val="00AA57B8"/>
    <w:rsid w:val="00AA59FE"/>
    <w:rsid w:val="00AA5CF0"/>
    <w:rsid w:val="00AA5CFE"/>
    <w:rsid w:val="00AA639A"/>
    <w:rsid w:val="00AA6415"/>
    <w:rsid w:val="00AA642C"/>
    <w:rsid w:val="00AA648A"/>
    <w:rsid w:val="00AA6CEF"/>
    <w:rsid w:val="00AA6FEE"/>
    <w:rsid w:val="00AA7317"/>
    <w:rsid w:val="00AA744B"/>
    <w:rsid w:val="00AA7C3F"/>
    <w:rsid w:val="00AA7DE8"/>
    <w:rsid w:val="00AA7FD2"/>
    <w:rsid w:val="00AB015D"/>
    <w:rsid w:val="00AB01A3"/>
    <w:rsid w:val="00AB0257"/>
    <w:rsid w:val="00AB0699"/>
    <w:rsid w:val="00AB09FE"/>
    <w:rsid w:val="00AB0AB2"/>
    <w:rsid w:val="00AB0D92"/>
    <w:rsid w:val="00AB14DC"/>
    <w:rsid w:val="00AB1BCA"/>
    <w:rsid w:val="00AB1BF6"/>
    <w:rsid w:val="00AB1E61"/>
    <w:rsid w:val="00AB227C"/>
    <w:rsid w:val="00AB22B8"/>
    <w:rsid w:val="00AB2709"/>
    <w:rsid w:val="00AB31A6"/>
    <w:rsid w:val="00AB336B"/>
    <w:rsid w:val="00AB393D"/>
    <w:rsid w:val="00AB3AC1"/>
    <w:rsid w:val="00AB3B6E"/>
    <w:rsid w:val="00AB3D96"/>
    <w:rsid w:val="00AB3E8E"/>
    <w:rsid w:val="00AB42A0"/>
    <w:rsid w:val="00AB437D"/>
    <w:rsid w:val="00AB45B6"/>
    <w:rsid w:val="00AB491C"/>
    <w:rsid w:val="00AB4BBD"/>
    <w:rsid w:val="00AB4E14"/>
    <w:rsid w:val="00AB4FD9"/>
    <w:rsid w:val="00AB50AE"/>
    <w:rsid w:val="00AB5335"/>
    <w:rsid w:val="00AB5396"/>
    <w:rsid w:val="00AB5730"/>
    <w:rsid w:val="00AB5803"/>
    <w:rsid w:val="00AB59A9"/>
    <w:rsid w:val="00AB5C42"/>
    <w:rsid w:val="00AB5CA4"/>
    <w:rsid w:val="00AB5DCF"/>
    <w:rsid w:val="00AB61C9"/>
    <w:rsid w:val="00AB7591"/>
    <w:rsid w:val="00AB77D4"/>
    <w:rsid w:val="00AB79AC"/>
    <w:rsid w:val="00AB7BFB"/>
    <w:rsid w:val="00AB7C67"/>
    <w:rsid w:val="00AB7DE7"/>
    <w:rsid w:val="00AC0134"/>
    <w:rsid w:val="00AC0CD1"/>
    <w:rsid w:val="00AC0DA9"/>
    <w:rsid w:val="00AC0E79"/>
    <w:rsid w:val="00AC1193"/>
    <w:rsid w:val="00AC1F89"/>
    <w:rsid w:val="00AC1FA3"/>
    <w:rsid w:val="00AC225D"/>
    <w:rsid w:val="00AC2557"/>
    <w:rsid w:val="00AC2724"/>
    <w:rsid w:val="00AC28A0"/>
    <w:rsid w:val="00AC291F"/>
    <w:rsid w:val="00AC2ACD"/>
    <w:rsid w:val="00AC3055"/>
    <w:rsid w:val="00AC3068"/>
    <w:rsid w:val="00AC32E9"/>
    <w:rsid w:val="00AC3D9A"/>
    <w:rsid w:val="00AC4324"/>
    <w:rsid w:val="00AC4458"/>
    <w:rsid w:val="00AC450D"/>
    <w:rsid w:val="00AC4704"/>
    <w:rsid w:val="00AC49A4"/>
    <w:rsid w:val="00AC4ADD"/>
    <w:rsid w:val="00AC4CD5"/>
    <w:rsid w:val="00AC5192"/>
    <w:rsid w:val="00AC542E"/>
    <w:rsid w:val="00AC5496"/>
    <w:rsid w:val="00AC5C3E"/>
    <w:rsid w:val="00AC5DC1"/>
    <w:rsid w:val="00AC5F3C"/>
    <w:rsid w:val="00AC62EE"/>
    <w:rsid w:val="00AC6381"/>
    <w:rsid w:val="00AC63E1"/>
    <w:rsid w:val="00AC6624"/>
    <w:rsid w:val="00AC68F5"/>
    <w:rsid w:val="00AC6D91"/>
    <w:rsid w:val="00AC7263"/>
    <w:rsid w:val="00AC7964"/>
    <w:rsid w:val="00AC7C36"/>
    <w:rsid w:val="00AC7CDD"/>
    <w:rsid w:val="00AD0028"/>
    <w:rsid w:val="00AD0474"/>
    <w:rsid w:val="00AD05B8"/>
    <w:rsid w:val="00AD0613"/>
    <w:rsid w:val="00AD0B19"/>
    <w:rsid w:val="00AD0F74"/>
    <w:rsid w:val="00AD132B"/>
    <w:rsid w:val="00AD1450"/>
    <w:rsid w:val="00AD1514"/>
    <w:rsid w:val="00AD1CF1"/>
    <w:rsid w:val="00AD1ED9"/>
    <w:rsid w:val="00AD21BD"/>
    <w:rsid w:val="00AD265C"/>
    <w:rsid w:val="00AD271E"/>
    <w:rsid w:val="00AD3A9F"/>
    <w:rsid w:val="00AD3AB0"/>
    <w:rsid w:val="00AD3F4B"/>
    <w:rsid w:val="00AD4301"/>
    <w:rsid w:val="00AD47D2"/>
    <w:rsid w:val="00AD4C83"/>
    <w:rsid w:val="00AD57E5"/>
    <w:rsid w:val="00AD588B"/>
    <w:rsid w:val="00AD59FD"/>
    <w:rsid w:val="00AD5AC3"/>
    <w:rsid w:val="00AD61A4"/>
    <w:rsid w:val="00AD6213"/>
    <w:rsid w:val="00AD6553"/>
    <w:rsid w:val="00AD66D9"/>
    <w:rsid w:val="00AD67A3"/>
    <w:rsid w:val="00AD67EB"/>
    <w:rsid w:val="00AD6A26"/>
    <w:rsid w:val="00AD6C73"/>
    <w:rsid w:val="00AD6DBD"/>
    <w:rsid w:val="00AD6DF2"/>
    <w:rsid w:val="00AD70C4"/>
    <w:rsid w:val="00AD71CF"/>
    <w:rsid w:val="00AD77CF"/>
    <w:rsid w:val="00AD7804"/>
    <w:rsid w:val="00AD7A8F"/>
    <w:rsid w:val="00AD7D57"/>
    <w:rsid w:val="00AE0051"/>
    <w:rsid w:val="00AE00B3"/>
    <w:rsid w:val="00AE0338"/>
    <w:rsid w:val="00AE04BD"/>
    <w:rsid w:val="00AE0519"/>
    <w:rsid w:val="00AE0667"/>
    <w:rsid w:val="00AE0D9E"/>
    <w:rsid w:val="00AE15A0"/>
    <w:rsid w:val="00AE17F2"/>
    <w:rsid w:val="00AE1D1D"/>
    <w:rsid w:val="00AE2033"/>
    <w:rsid w:val="00AE239E"/>
    <w:rsid w:val="00AE24CF"/>
    <w:rsid w:val="00AE2E18"/>
    <w:rsid w:val="00AE2F48"/>
    <w:rsid w:val="00AE31ED"/>
    <w:rsid w:val="00AE3278"/>
    <w:rsid w:val="00AE3568"/>
    <w:rsid w:val="00AE3D7A"/>
    <w:rsid w:val="00AE3E95"/>
    <w:rsid w:val="00AE4600"/>
    <w:rsid w:val="00AE48D2"/>
    <w:rsid w:val="00AE49A3"/>
    <w:rsid w:val="00AE4B39"/>
    <w:rsid w:val="00AE4C4F"/>
    <w:rsid w:val="00AE4D1B"/>
    <w:rsid w:val="00AE5072"/>
    <w:rsid w:val="00AE56CA"/>
    <w:rsid w:val="00AE5A8F"/>
    <w:rsid w:val="00AE5B90"/>
    <w:rsid w:val="00AE6041"/>
    <w:rsid w:val="00AE636A"/>
    <w:rsid w:val="00AE6612"/>
    <w:rsid w:val="00AE66A8"/>
    <w:rsid w:val="00AE6B99"/>
    <w:rsid w:val="00AE6BF4"/>
    <w:rsid w:val="00AE7321"/>
    <w:rsid w:val="00AE73C2"/>
    <w:rsid w:val="00AE7464"/>
    <w:rsid w:val="00AE7691"/>
    <w:rsid w:val="00AE78CF"/>
    <w:rsid w:val="00AF011D"/>
    <w:rsid w:val="00AF0406"/>
    <w:rsid w:val="00AF0554"/>
    <w:rsid w:val="00AF060F"/>
    <w:rsid w:val="00AF0A47"/>
    <w:rsid w:val="00AF0C2B"/>
    <w:rsid w:val="00AF0FDC"/>
    <w:rsid w:val="00AF18D8"/>
    <w:rsid w:val="00AF1C86"/>
    <w:rsid w:val="00AF2190"/>
    <w:rsid w:val="00AF249E"/>
    <w:rsid w:val="00AF26BF"/>
    <w:rsid w:val="00AF2B5A"/>
    <w:rsid w:val="00AF315A"/>
    <w:rsid w:val="00AF390D"/>
    <w:rsid w:val="00AF3A70"/>
    <w:rsid w:val="00AF3AD9"/>
    <w:rsid w:val="00AF3FB8"/>
    <w:rsid w:val="00AF4360"/>
    <w:rsid w:val="00AF459B"/>
    <w:rsid w:val="00AF4A02"/>
    <w:rsid w:val="00AF4EF7"/>
    <w:rsid w:val="00AF5329"/>
    <w:rsid w:val="00AF63AB"/>
    <w:rsid w:val="00AF6763"/>
    <w:rsid w:val="00AF6FBF"/>
    <w:rsid w:val="00AF7152"/>
    <w:rsid w:val="00AF7164"/>
    <w:rsid w:val="00AF72EC"/>
    <w:rsid w:val="00AF73BF"/>
    <w:rsid w:val="00AF75C1"/>
    <w:rsid w:val="00AF7774"/>
    <w:rsid w:val="00AF794A"/>
    <w:rsid w:val="00B001AF"/>
    <w:rsid w:val="00B00261"/>
    <w:rsid w:val="00B002C0"/>
    <w:rsid w:val="00B008EA"/>
    <w:rsid w:val="00B00A53"/>
    <w:rsid w:val="00B00DF4"/>
    <w:rsid w:val="00B0107F"/>
    <w:rsid w:val="00B01202"/>
    <w:rsid w:val="00B01B8B"/>
    <w:rsid w:val="00B01F81"/>
    <w:rsid w:val="00B01FF2"/>
    <w:rsid w:val="00B0206B"/>
    <w:rsid w:val="00B02543"/>
    <w:rsid w:val="00B0335C"/>
    <w:rsid w:val="00B03472"/>
    <w:rsid w:val="00B035F7"/>
    <w:rsid w:val="00B037F6"/>
    <w:rsid w:val="00B03BF9"/>
    <w:rsid w:val="00B03FB7"/>
    <w:rsid w:val="00B04611"/>
    <w:rsid w:val="00B0481B"/>
    <w:rsid w:val="00B049F8"/>
    <w:rsid w:val="00B04B1C"/>
    <w:rsid w:val="00B05705"/>
    <w:rsid w:val="00B05A1A"/>
    <w:rsid w:val="00B06018"/>
    <w:rsid w:val="00B0605E"/>
    <w:rsid w:val="00B06CA7"/>
    <w:rsid w:val="00B07597"/>
    <w:rsid w:val="00B076CE"/>
    <w:rsid w:val="00B07739"/>
    <w:rsid w:val="00B078F0"/>
    <w:rsid w:val="00B07B1C"/>
    <w:rsid w:val="00B07C1B"/>
    <w:rsid w:val="00B07E5D"/>
    <w:rsid w:val="00B1009D"/>
    <w:rsid w:val="00B102B0"/>
    <w:rsid w:val="00B10A70"/>
    <w:rsid w:val="00B10ACE"/>
    <w:rsid w:val="00B10C33"/>
    <w:rsid w:val="00B10F2F"/>
    <w:rsid w:val="00B11230"/>
    <w:rsid w:val="00B112A0"/>
    <w:rsid w:val="00B11813"/>
    <w:rsid w:val="00B1192B"/>
    <w:rsid w:val="00B11ED5"/>
    <w:rsid w:val="00B124D6"/>
    <w:rsid w:val="00B12564"/>
    <w:rsid w:val="00B126D4"/>
    <w:rsid w:val="00B12713"/>
    <w:rsid w:val="00B127D9"/>
    <w:rsid w:val="00B1295F"/>
    <w:rsid w:val="00B12994"/>
    <w:rsid w:val="00B12BC8"/>
    <w:rsid w:val="00B12C59"/>
    <w:rsid w:val="00B130B9"/>
    <w:rsid w:val="00B13109"/>
    <w:rsid w:val="00B13430"/>
    <w:rsid w:val="00B13573"/>
    <w:rsid w:val="00B14E55"/>
    <w:rsid w:val="00B15097"/>
    <w:rsid w:val="00B150AF"/>
    <w:rsid w:val="00B15772"/>
    <w:rsid w:val="00B158A7"/>
    <w:rsid w:val="00B15AC0"/>
    <w:rsid w:val="00B15E59"/>
    <w:rsid w:val="00B1622B"/>
    <w:rsid w:val="00B164B0"/>
    <w:rsid w:val="00B16FA0"/>
    <w:rsid w:val="00B175E5"/>
    <w:rsid w:val="00B177A7"/>
    <w:rsid w:val="00B17938"/>
    <w:rsid w:val="00B17AF9"/>
    <w:rsid w:val="00B17B9E"/>
    <w:rsid w:val="00B17D4A"/>
    <w:rsid w:val="00B201B9"/>
    <w:rsid w:val="00B20230"/>
    <w:rsid w:val="00B2099B"/>
    <w:rsid w:val="00B20B04"/>
    <w:rsid w:val="00B20FC9"/>
    <w:rsid w:val="00B2111E"/>
    <w:rsid w:val="00B21733"/>
    <w:rsid w:val="00B21A5A"/>
    <w:rsid w:val="00B21B81"/>
    <w:rsid w:val="00B21BC7"/>
    <w:rsid w:val="00B220BC"/>
    <w:rsid w:val="00B22446"/>
    <w:rsid w:val="00B2257C"/>
    <w:rsid w:val="00B2264D"/>
    <w:rsid w:val="00B2275C"/>
    <w:rsid w:val="00B2288E"/>
    <w:rsid w:val="00B22A5A"/>
    <w:rsid w:val="00B22BD2"/>
    <w:rsid w:val="00B23034"/>
    <w:rsid w:val="00B23719"/>
    <w:rsid w:val="00B238B3"/>
    <w:rsid w:val="00B23B48"/>
    <w:rsid w:val="00B23D29"/>
    <w:rsid w:val="00B23EB9"/>
    <w:rsid w:val="00B240F9"/>
    <w:rsid w:val="00B248F0"/>
    <w:rsid w:val="00B2491E"/>
    <w:rsid w:val="00B25318"/>
    <w:rsid w:val="00B2544C"/>
    <w:rsid w:val="00B2609E"/>
    <w:rsid w:val="00B26228"/>
    <w:rsid w:val="00B26882"/>
    <w:rsid w:val="00B26E6B"/>
    <w:rsid w:val="00B26E9B"/>
    <w:rsid w:val="00B27593"/>
    <w:rsid w:val="00B27DD7"/>
    <w:rsid w:val="00B27FF5"/>
    <w:rsid w:val="00B3000B"/>
    <w:rsid w:val="00B302E1"/>
    <w:rsid w:val="00B308B8"/>
    <w:rsid w:val="00B3133A"/>
    <w:rsid w:val="00B314BC"/>
    <w:rsid w:val="00B31838"/>
    <w:rsid w:val="00B31CD6"/>
    <w:rsid w:val="00B32053"/>
    <w:rsid w:val="00B3251E"/>
    <w:rsid w:val="00B3289A"/>
    <w:rsid w:val="00B32995"/>
    <w:rsid w:val="00B32A7F"/>
    <w:rsid w:val="00B33638"/>
    <w:rsid w:val="00B33743"/>
    <w:rsid w:val="00B338DA"/>
    <w:rsid w:val="00B338F1"/>
    <w:rsid w:val="00B338F3"/>
    <w:rsid w:val="00B33B4C"/>
    <w:rsid w:val="00B33E59"/>
    <w:rsid w:val="00B33F42"/>
    <w:rsid w:val="00B348FF"/>
    <w:rsid w:val="00B34C03"/>
    <w:rsid w:val="00B34F9A"/>
    <w:rsid w:val="00B3532D"/>
    <w:rsid w:val="00B3545D"/>
    <w:rsid w:val="00B355CE"/>
    <w:rsid w:val="00B35B97"/>
    <w:rsid w:val="00B35ED8"/>
    <w:rsid w:val="00B36296"/>
    <w:rsid w:val="00B3650A"/>
    <w:rsid w:val="00B368A1"/>
    <w:rsid w:val="00B36ACA"/>
    <w:rsid w:val="00B37033"/>
    <w:rsid w:val="00B37389"/>
    <w:rsid w:val="00B375A4"/>
    <w:rsid w:val="00B37677"/>
    <w:rsid w:val="00B37966"/>
    <w:rsid w:val="00B37A80"/>
    <w:rsid w:val="00B40804"/>
    <w:rsid w:val="00B408E4"/>
    <w:rsid w:val="00B4099E"/>
    <w:rsid w:val="00B40A2A"/>
    <w:rsid w:val="00B40C2A"/>
    <w:rsid w:val="00B40C3C"/>
    <w:rsid w:val="00B40C72"/>
    <w:rsid w:val="00B40DAB"/>
    <w:rsid w:val="00B413B3"/>
    <w:rsid w:val="00B41B4A"/>
    <w:rsid w:val="00B41C1C"/>
    <w:rsid w:val="00B42ABF"/>
    <w:rsid w:val="00B42C7D"/>
    <w:rsid w:val="00B42C96"/>
    <w:rsid w:val="00B42EBA"/>
    <w:rsid w:val="00B43252"/>
    <w:rsid w:val="00B4344C"/>
    <w:rsid w:val="00B43884"/>
    <w:rsid w:val="00B43C46"/>
    <w:rsid w:val="00B43C7A"/>
    <w:rsid w:val="00B44162"/>
    <w:rsid w:val="00B445C3"/>
    <w:rsid w:val="00B446D0"/>
    <w:rsid w:val="00B448E6"/>
    <w:rsid w:val="00B448FF"/>
    <w:rsid w:val="00B44B39"/>
    <w:rsid w:val="00B44C07"/>
    <w:rsid w:val="00B451CE"/>
    <w:rsid w:val="00B45FC1"/>
    <w:rsid w:val="00B466AF"/>
    <w:rsid w:val="00B468A9"/>
    <w:rsid w:val="00B46C06"/>
    <w:rsid w:val="00B46FC8"/>
    <w:rsid w:val="00B47283"/>
    <w:rsid w:val="00B472E2"/>
    <w:rsid w:val="00B473CE"/>
    <w:rsid w:val="00B475F4"/>
    <w:rsid w:val="00B47612"/>
    <w:rsid w:val="00B4797E"/>
    <w:rsid w:val="00B479CB"/>
    <w:rsid w:val="00B479CC"/>
    <w:rsid w:val="00B47A91"/>
    <w:rsid w:val="00B47D7C"/>
    <w:rsid w:val="00B47FCE"/>
    <w:rsid w:val="00B503CE"/>
    <w:rsid w:val="00B50944"/>
    <w:rsid w:val="00B50A86"/>
    <w:rsid w:val="00B50BA6"/>
    <w:rsid w:val="00B50D31"/>
    <w:rsid w:val="00B50E60"/>
    <w:rsid w:val="00B51242"/>
    <w:rsid w:val="00B512AF"/>
    <w:rsid w:val="00B518D1"/>
    <w:rsid w:val="00B51A5F"/>
    <w:rsid w:val="00B51CF1"/>
    <w:rsid w:val="00B51D14"/>
    <w:rsid w:val="00B5206E"/>
    <w:rsid w:val="00B520EC"/>
    <w:rsid w:val="00B52672"/>
    <w:rsid w:val="00B52FD3"/>
    <w:rsid w:val="00B53314"/>
    <w:rsid w:val="00B5341F"/>
    <w:rsid w:val="00B5392A"/>
    <w:rsid w:val="00B53B4B"/>
    <w:rsid w:val="00B53CD0"/>
    <w:rsid w:val="00B542BB"/>
    <w:rsid w:val="00B54CD1"/>
    <w:rsid w:val="00B54FF5"/>
    <w:rsid w:val="00B550C1"/>
    <w:rsid w:val="00B55619"/>
    <w:rsid w:val="00B556CC"/>
    <w:rsid w:val="00B55C4C"/>
    <w:rsid w:val="00B55D79"/>
    <w:rsid w:val="00B562B0"/>
    <w:rsid w:val="00B5656D"/>
    <w:rsid w:val="00B56966"/>
    <w:rsid w:val="00B56D78"/>
    <w:rsid w:val="00B56D95"/>
    <w:rsid w:val="00B56E09"/>
    <w:rsid w:val="00B56F99"/>
    <w:rsid w:val="00B57163"/>
    <w:rsid w:val="00B57CF8"/>
    <w:rsid w:val="00B57D8E"/>
    <w:rsid w:val="00B6027E"/>
    <w:rsid w:val="00B6063C"/>
    <w:rsid w:val="00B612AE"/>
    <w:rsid w:val="00B61C26"/>
    <w:rsid w:val="00B6209B"/>
    <w:rsid w:val="00B622CE"/>
    <w:rsid w:val="00B6241D"/>
    <w:rsid w:val="00B6263B"/>
    <w:rsid w:val="00B626BD"/>
    <w:rsid w:val="00B629B3"/>
    <w:rsid w:val="00B62A6D"/>
    <w:rsid w:val="00B62B29"/>
    <w:rsid w:val="00B63056"/>
    <w:rsid w:val="00B632A7"/>
    <w:rsid w:val="00B6351F"/>
    <w:rsid w:val="00B635BA"/>
    <w:rsid w:val="00B63610"/>
    <w:rsid w:val="00B636F1"/>
    <w:rsid w:val="00B63CC6"/>
    <w:rsid w:val="00B63F8A"/>
    <w:rsid w:val="00B64141"/>
    <w:rsid w:val="00B642BE"/>
    <w:rsid w:val="00B64354"/>
    <w:rsid w:val="00B6467E"/>
    <w:rsid w:val="00B647A0"/>
    <w:rsid w:val="00B64A10"/>
    <w:rsid w:val="00B64FAC"/>
    <w:rsid w:val="00B65926"/>
    <w:rsid w:val="00B6597C"/>
    <w:rsid w:val="00B65B27"/>
    <w:rsid w:val="00B66162"/>
    <w:rsid w:val="00B66181"/>
    <w:rsid w:val="00B662C6"/>
    <w:rsid w:val="00B665CC"/>
    <w:rsid w:val="00B66618"/>
    <w:rsid w:val="00B668FC"/>
    <w:rsid w:val="00B669E1"/>
    <w:rsid w:val="00B66B17"/>
    <w:rsid w:val="00B67554"/>
    <w:rsid w:val="00B679B5"/>
    <w:rsid w:val="00B702E1"/>
    <w:rsid w:val="00B7066F"/>
    <w:rsid w:val="00B70979"/>
    <w:rsid w:val="00B70A3B"/>
    <w:rsid w:val="00B70B00"/>
    <w:rsid w:val="00B70C38"/>
    <w:rsid w:val="00B70C5F"/>
    <w:rsid w:val="00B70CAD"/>
    <w:rsid w:val="00B70F16"/>
    <w:rsid w:val="00B712B2"/>
    <w:rsid w:val="00B71556"/>
    <w:rsid w:val="00B718A2"/>
    <w:rsid w:val="00B71C10"/>
    <w:rsid w:val="00B71C9E"/>
    <w:rsid w:val="00B71D5E"/>
    <w:rsid w:val="00B71D96"/>
    <w:rsid w:val="00B71E14"/>
    <w:rsid w:val="00B721F5"/>
    <w:rsid w:val="00B72469"/>
    <w:rsid w:val="00B7267C"/>
    <w:rsid w:val="00B72D8B"/>
    <w:rsid w:val="00B7300D"/>
    <w:rsid w:val="00B7323B"/>
    <w:rsid w:val="00B736A9"/>
    <w:rsid w:val="00B73B1C"/>
    <w:rsid w:val="00B73E6A"/>
    <w:rsid w:val="00B73F20"/>
    <w:rsid w:val="00B73F82"/>
    <w:rsid w:val="00B74948"/>
    <w:rsid w:val="00B74BB9"/>
    <w:rsid w:val="00B74BD4"/>
    <w:rsid w:val="00B74DBB"/>
    <w:rsid w:val="00B7520E"/>
    <w:rsid w:val="00B753D0"/>
    <w:rsid w:val="00B75554"/>
    <w:rsid w:val="00B75B05"/>
    <w:rsid w:val="00B75C0A"/>
    <w:rsid w:val="00B75E13"/>
    <w:rsid w:val="00B75E1C"/>
    <w:rsid w:val="00B75E5C"/>
    <w:rsid w:val="00B760A3"/>
    <w:rsid w:val="00B76104"/>
    <w:rsid w:val="00B76148"/>
    <w:rsid w:val="00B76381"/>
    <w:rsid w:val="00B76492"/>
    <w:rsid w:val="00B76DB0"/>
    <w:rsid w:val="00B7756F"/>
    <w:rsid w:val="00B775C7"/>
    <w:rsid w:val="00B7768A"/>
    <w:rsid w:val="00B778B4"/>
    <w:rsid w:val="00B8000F"/>
    <w:rsid w:val="00B800C7"/>
    <w:rsid w:val="00B8029B"/>
    <w:rsid w:val="00B80528"/>
    <w:rsid w:val="00B805BE"/>
    <w:rsid w:val="00B807EE"/>
    <w:rsid w:val="00B80D27"/>
    <w:rsid w:val="00B80DF9"/>
    <w:rsid w:val="00B80EA3"/>
    <w:rsid w:val="00B813CD"/>
    <w:rsid w:val="00B814AE"/>
    <w:rsid w:val="00B8170D"/>
    <w:rsid w:val="00B818A0"/>
    <w:rsid w:val="00B81921"/>
    <w:rsid w:val="00B82065"/>
    <w:rsid w:val="00B82341"/>
    <w:rsid w:val="00B82347"/>
    <w:rsid w:val="00B82B2A"/>
    <w:rsid w:val="00B82DA0"/>
    <w:rsid w:val="00B82DBE"/>
    <w:rsid w:val="00B838E4"/>
    <w:rsid w:val="00B838E7"/>
    <w:rsid w:val="00B83E90"/>
    <w:rsid w:val="00B8418B"/>
    <w:rsid w:val="00B842AB"/>
    <w:rsid w:val="00B843EC"/>
    <w:rsid w:val="00B84673"/>
    <w:rsid w:val="00B846C5"/>
    <w:rsid w:val="00B8481F"/>
    <w:rsid w:val="00B84B58"/>
    <w:rsid w:val="00B84FF7"/>
    <w:rsid w:val="00B8532B"/>
    <w:rsid w:val="00B855D1"/>
    <w:rsid w:val="00B85994"/>
    <w:rsid w:val="00B864E5"/>
    <w:rsid w:val="00B8651D"/>
    <w:rsid w:val="00B86779"/>
    <w:rsid w:val="00B877CC"/>
    <w:rsid w:val="00B87C27"/>
    <w:rsid w:val="00B905C9"/>
    <w:rsid w:val="00B90906"/>
    <w:rsid w:val="00B90920"/>
    <w:rsid w:val="00B90BB1"/>
    <w:rsid w:val="00B913F4"/>
    <w:rsid w:val="00B91554"/>
    <w:rsid w:val="00B916B8"/>
    <w:rsid w:val="00B91D1C"/>
    <w:rsid w:val="00B91DA5"/>
    <w:rsid w:val="00B91EC3"/>
    <w:rsid w:val="00B91F53"/>
    <w:rsid w:val="00B92208"/>
    <w:rsid w:val="00B9224D"/>
    <w:rsid w:val="00B92BAD"/>
    <w:rsid w:val="00B92BFA"/>
    <w:rsid w:val="00B93277"/>
    <w:rsid w:val="00B93766"/>
    <w:rsid w:val="00B939A6"/>
    <w:rsid w:val="00B939B1"/>
    <w:rsid w:val="00B93DF0"/>
    <w:rsid w:val="00B9402C"/>
    <w:rsid w:val="00B9415D"/>
    <w:rsid w:val="00B9423C"/>
    <w:rsid w:val="00B949F9"/>
    <w:rsid w:val="00B94B0A"/>
    <w:rsid w:val="00B94D95"/>
    <w:rsid w:val="00B95212"/>
    <w:rsid w:val="00B955F6"/>
    <w:rsid w:val="00B95ACA"/>
    <w:rsid w:val="00B95B7A"/>
    <w:rsid w:val="00B95C1B"/>
    <w:rsid w:val="00B95E6A"/>
    <w:rsid w:val="00B95E9A"/>
    <w:rsid w:val="00B96853"/>
    <w:rsid w:val="00B96A6A"/>
    <w:rsid w:val="00B96AFD"/>
    <w:rsid w:val="00B96ED8"/>
    <w:rsid w:val="00B971DC"/>
    <w:rsid w:val="00B9741F"/>
    <w:rsid w:val="00B975DB"/>
    <w:rsid w:val="00B97633"/>
    <w:rsid w:val="00B97ACE"/>
    <w:rsid w:val="00B97AE3"/>
    <w:rsid w:val="00B97E62"/>
    <w:rsid w:val="00B97E9F"/>
    <w:rsid w:val="00BA0079"/>
    <w:rsid w:val="00BA00A4"/>
    <w:rsid w:val="00BA00A9"/>
    <w:rsid w:val="00BA040D"/>
    <w:rsid w:val="00BA0419"/>
    <w:rsid w:val="00BA076D"/>
    <w:rsid w:val="00BA090A"/>
    <w:rsid w:val="00BA0CF7"/>
    <w:rsid w:val="00BA0F12"/>
    <w:rsid w:val="00BA12F3"/>
    <w:rsid w:val="00BA1358"/>
    <w:rsid w:val="00BA1516"/>
    <w:rsid w:val="00BA151D"/>
    <w:rsid w:val="00BA15FA"/>
    <w:rsid w:val="00BA16B7"/>
    <w:rsid w:val="00BA1761"/>
    <w:rsid w:val="00BA17B5"/>
    <w:rsid w:val="00BA2719"/>
    <w:rsid w:val="00BA2A43"/>
    <w:rsid w:val="00BA30DA"/>
    <w:rsid w:val="00BA39D3"/>
    <w:rsid w:val="00BA3A3E"/>
    <w:rsid w:val="00BA44C7"/>
    <w:rsid w:val="00BA4DF3"/>
    <w:rsid w:val="00BA4EB9"/>
    <w:rsid w:val="00BA5011"/>
    <w:rsid w:val="00BA550D"/>
    <w:rsid w:val="00BA5631"/>
    <w:rsid w:val="00BA56E2"/>
    <w:rsid w:val="00BA5B48"/>
    <w:rsid w:val="00BA5D12"/>
    <w:rsid w:val="00BA5DB6"/>
    <w:rsid w:val="00BA5F4B"/>
    <w:rsid w:val="00BA61FB"/>
    <w:rsid w:val="00BA6BFD"/>
    <w:rsid w:val="00BA6C58"/>
    <w:rsid w:val="00BA6EC1"/>
    <w:rsid w:val="00BA7357"/>
    <w:rsid w:val="00BA7A05"/>
    <w:rsid w:val="00BA7C4A"/>
    <w:rsid w:val="00BB0448"/>
    <w:rsid w:val="00BB0920"/>
    <w:rsid w:val="00BB0A86"/>
    <w:rsid w:val="00BB0C08"/>
    <w:rsid w:val="00BB108A"/>
    <w:rsid w:val="00BB1418"/>
    <w:rsid w:val="00BB1426"/>
    <w:rsid w:val="00BB1A0C"/>
    <w:rsid w:val="00BB1CF4"/>
    <w:rsid w:val="00BB1EAC"/>
    <w:rsid w:val="00BB1EB5"/>
    <w:rsid w:val="00BB1FF9"/>
    <w:rsid w:val="00BB21DA"/>
    <w:rsid w:val="00BB241E"/>
    <w:rsid w:val="00BB252A"/>
    <w:rsid w:val="00BB2C02"/>
    <w:rsid w:val="00BB2CBC"/>
    <w:rsid w:val="00BB2D00"/>
    <w:rsid w:val="00BB2E4B"/>
    <w:rsid w:val="00BB32FD"/>
    <w:rsid w:val="00BB33A5"/>
    <w:rsid w:val="00BB33EC"/>
    <w:rsid w:val="00BB3652"/>
    <w:rsid w:val="00BB3707"/>
    <w:rsid w:val="00BB3758"/>
    <w:rsid w:val="00BB382C"/>
    <w:rsid w:val="00BB38F3"/>
    <w:rsid w:val="00BB3B65"/>
    <w:rsid w:val="00BB3D88"/>
    <w:rsid w:val="00BB4237"/>
    <w:rsid w:val="00BB44F1"/>
    <w:rsid w:val="00BB4604"/>
    <w:rsid w:val="00BB4F70"/>
    <w:rsid w:val="00BB5003"/>
    <w:rsid w:val="00BB5043"/>
    <w:rsid w:val="00BB504D"/>
    <w:rsid w:val="00BB544E"/>
    <w:rsid w:val="00BB54B6"/>
    <w:rsid w:val="00BB5527"/>
    <w:rsid w:val="00BB56E4"/>
    <w:rsid w:val="00BB58F3"/>
    <w:rsid w:val="00BB5D63"/>
    <w:rsid w:val="00BB5F93"/>
    <w:rsid w:val="00BB61D3"/>
    <w:rsid w:val="00BB6219"/>
    <w:rsid w:val="00BB6ED6"/>
    <w:rsid w:val="00BB6FA0"/>
    <w:rsid w:val="00BB73CC"/>
    <w:rsid w:val="00BB7419"/>
    <w:rsid w:val="00BB7670"/>
    <w:rsid w:val="00BB7972"/>
    <w:rsid w:val="00BB7A84"/>
    <w:rsid w:val="00BB7ABF"/>
    <w:rsid w:val="00BB7B1E"/>
    <w:rsid w:val="00BB7B99"/>
    <w:rsid w:val="00BB7C63"/>
    <w:rsid w:val="00BB7D7E"/>
    <w:rsid w:val="00BC0257"/>
    <w:rsid w:val="00BC027E"/>
    <w:rsid w:val="00BC04FA"/>
    <w:rsid w:val="00BC0853"/>
    <w:rsid w:val="00BC0902"/>
    <w:rsid w:val="00BC0B57"/>
    <w:rsid w:val="00BC0BAD"/>
    <w:rsid w:val="00BC164F"/>
    <w:rsid w:val="00BC16D4"/>
    <w:rsid w:val="00BC1801"/>
    <w:rsid w:val="00BC1BD2"/>
    <w:rsid w:val="00BC1FC1"/>
    <w:rsid w:val="00BC2077"/>
    <w:rsid w:val="00BC2461"/>
    <w:rsid w:val="00BC2A8E"/>
    <w:rsid w:val="00BC2D3A"/>
    <w:rsid w:val="00BC2E6F"/>
    <w:rsid w:val="00BC3381"/>
    <w:rsid w:val="00BC3698"/>
    <w:rsid w:val="00BC3762"/>
    <w:rsid w:val="00BC3847"/>
    <w:rsid w:val="00BC4457"/>
    <w:rsid w:val="00BC445B"/>
    <w:rsid w:val="00BC4924"/>
    <w:rsid w:val="00BC51C4"/>
    <w:rsid w:val="00BC52CA"/>
    <w:rsid w:val="00BC5A54"/>
    <w:rsid w:val="00BC5EEB"/>
    <w:rsid w:val="00BC60CC"/>
    <w:rsid w:val="00BC622D"/>
    <w:rsid w:val="00BC6683"/>
    <w:rsid w:val="00BC67D9"/>
    <w:rsid w:val="00BC6A25"/>
    <w:rsid w:val="00BC6AED"/>
    <w:rsid w:val="00BC6ED2"/>
    <w:rsid w:val="00BC718A"/>
    <w:rsid w:val="00BC718F"/>
    <w:rsid w:val="00BC7396"/>
    <w:rsid w:val="00BC784E"/>
    <w:rsid w:val="00BD00BE"/>
    <w:rsid w:val="00BD0281"/>
    <w:rsid w:val="00BD0568"/>
    <w:rsid w:val="00BD0C07"/>
    <w:rsid w:val="00BD0CC7"/>
    <w:rsid w:val="00BD14D2"/>
    <w:rsid w:val="00BD1531"/>
    <w:rsid w:val="00BD1AAF"/>
    <w:rsid w:val="00BD1ABC"/>
    <w:rsid w:val="00BD1BB6"/>
    <w:rsid w:val="00BD1C5B"/>
    <w:rsid w:val="00BD1D21"/>
    <w:rsid w:val="00BD1EBB"/>
    <w:rsid w:val="00BD1F27"/>
    <w:rsid w:val="00BD232A"/>
    <w:rsid w:val="00BD23E1"/>
    <w:rsid w:val="00BD2A11"/>
    <w:rsid w:val="00BD32F6"/>
    <w:rsid w:val="00BD3844"/>
    <w:rsid w:val="00BD384B"/>
    <w:rsid w:val="00BD3D6B"/>
    <w:rsid w:val="00BD4161"/>
    <w:rsid w:val="00BD427C"/>
    <w:rsid w:val="00BD46F4"/>
    <w:rsid w:val="00BD4CB6"/>
    <w:rsid w:val="00BD50A9"/>
    <w:rsid w:val="00BD528A"/>
    <w:rsid w:val="00BD5C4F"/>
    <w:rsid w:val="00BD5D7A"/>
    <w:rsid w:val="00BD5F02"/>
    <w:rsid w:val="00BD658A"/>
    <w:rsid w:val="00BD6BCC"/>
    <w:rsid w:val="00BD6F29"/>
    <w:rsid w:val="00BD732B"/>
    <w:rsid w:val="00BD755A"/>
    <w:rsid w:val="00BD7703"/>
    <w:rsid w:val="00BD780B"/>
    <w:rsid w:val="00BD7E4F"/>
    <w:rsid w:val="00BE007C"/>
    <w:rsid w:val="00BE0786"/>
    <w:rsid w:val="00BE187F"/>
    <w:rsid w:val="00BE1AF0"/>
    <w:rsid w:val="00BE1CDE"/>
    <w:rsid w:val="00BE1E37"/>
    <w:rsid w:val="00BE201D"/>
    <w:rsid w:val="00BE22F6"/>
    <w:rsid w:val="00BE280D"/>
    <w:rsid w:val="00BE2904"/>
    <w:rsid w:val="00BE2B5A"/>
    <w:rsid w:val="00BE2CC6"/>
    <w:rsid w:val="00BE2F1F"/>
    <w:rsid w:val="00BE2FCF"/>
    <w:rsid w:val="00BE3012"/>
    <w:rsid w:val="00BE3352"/>
    <w:rsid w:val="00BE34A1"/>
    <w:rsid w:val="00BE3D21"/>
    <w:rsid w:val="00BE43F2"/>
    <w:rsid w:val="00BE47F9"/>
    <w:rsid w:val="00BE492D"/>
    <w:rsid w:val="00BE4B27"/>
    <w:rsid w:val="00BE4B56"/>
    <w:rsid w:val="00BE4DB0"/>
    <w:rsid w:val="00BE538E"/>
    <w:rsid w:val="00BE549A"/>
    <w:rsid w:val="00BE5BF9"/>
    <w:rsid w:val="00BE5D82"/>
    <w:rsid w:val="00BE5EA5"/>
    <w:rsid w:val="00BE5F1B"/>
    <w:rsid w:val="00BE624E"/>
    <w:rsid w:val="00BE63B0"/>
    <w:rsid w:val="00BE65E0"/>
    <w:rsid w:val="00BE6965"/>
    <w:rsid w:val="00BE6C97"/>
    <w:rsid w:val="00BE6F77"/>
    <w:rsid w:val="00BE7376"/>
    <w:rsid w:val="00BE75CA"/>
    <w:rsid w:val="00BE7861"/>
    <w:rsid w:val="00BE79C8"/>
    <w:rsid w:val="00BE7B7F"/>
    <w:rsid w:val="00BE7EB0"/>
    <w:rsid w:val="00BF0050"/>
    <w:rsid w:val="00BF02BB"/>
    <w:rsid w:val="00BF03B5"/>
    <w:rsid w:val="00BF0603"/>
    <w:rsid w:val="00BF0896"/>
    <w:rsid w:val="00BF0C4E"/>
    <w:rsid w:val="00BF12FD"/>
    <w:rsid w:val="00BF16DC"/>
    <w:rsid w:val="00BF188B"/>
    <w:rsid w:val="00BF190E"/>
    <w:rsid w:val="00BF1C41"/>
    <w:rsid w:val="00BF1D63"/>
    <w:rsid w:val="00BF218C"/>
    <w:rsid w:val="00BF2986"/>
    <w:rsid w:val="00BF2F48"/>
    <w:rsid w:val="00BF3451"/>
    <w:rsid w:val="00BF3DE1"/>
    <w:rsid w:val="00BF3F10"/>
    <w:rsid w:val="00BF43BB"/>
    <w:rsid w:val="00BF43D1"/>
    <w:rsid w:val="00BF453C"/>
    <w:rsid w:val="00BF4563"/>
    <w:rsid w:val="00BF4B2C"/>
    <w:rsid w:val="00BF4DCB"/>
    <w:rsid w:val="00BF4E88"/>
    <w:rsid w:val="00BF4EC9"/>
    <w:rsid w:val="00BF54AE"/>
    <w:rsid w:val="00BF560A"/>
    <w:rsid w:val="00BF5BA1"/>
    <w:rsid w:val="00BF5C2F"/>
    <w:rsid w:val="00BF5C54"/>
    <w:rsid w:val="00BF5D70"/>
    <w:rsid w:val="00BF5DE0"/>
    <w:rsid w:val="00BF69FC"/>
    <w:rsid w:val="00BF6D70"/>
    <w:rsid w:val="00BF6E11"/>
    <w:rsid w:val="00BF72D9"/>
    <w:rsid w:val="00BF7326"/>
    <w:rsid w:val="00BF74F7"/>
    <w:rsid w:val="00BF768D"/>
    <w:rsid w:val="00BF7757"/>
    <w:rsid w:val="00BF7E2A"/>
    <w:rsid w:val="00C00FD5"/>
    <w:rsid w:val="00C0134A"/>
    <w:rsid w:val="00C01512"/>
    <w:rsid w:val="00C01625"/>
    <w:rsid w:val="00C017DA"/>
    <w:rsid w:val="00C02114"/>
    <w:rsid w:val="00C026E9"/>
    <w:rsid w:val="00C028C6"/>
    <w:rsid w:val="00C033B7"/>
    <w:rsid w:val="00C03689"/>
    <w:rsid w:val="00C03787"/>
    <w:rsid w:val="00C03A18"/>
    <w:rsid w:val="00C03BE6"/>
    <w:rsid w:val="00C03EC4"/>
    <w:rsid w:val="00C04493"/>
    <w:rsid w:val="00C0460B"/>
    <w:rsid w:val="00C05D05"/>
    <w:rsid w:val="00C05F03"/>
    <w:rsid w:val="00C05F90"/>
    <w:rsid w:val="00C05FBE"/>
    <w:rsid w:val="00C06446"/>
    <w:rsid w:val="00C06700"/>
    <w:rsid w:val="00C06749"/>
    <w:rsid w:val="00C06ABB"/>
    <w:rsid w:val="00C06B72"/>
    <w:rsid w:val="00C074BA"/>
    <w:rsid w:val="00C07B86"/>
    <w:rsid w:val="00C07E5B"/>
    <w:rsid w:val="00C100A1"/>
    <w:rsid w:val="00C107B2"/>
    <w:rsid w:val="00C10A71"/>
    <w:rsid w:val="00C10E1A"/>
    <w:rsid w:val="00C10EF4"/>
    <w:rsid w:val="00C11179"/>
    <w:rsid w:val="00C1123B"/>
    <w:rsid w:val="00C1130E"/>
    <w:rsid w:val="00C11966"/>
    <w:rsid w:val="00C11FE4"/>
    <w:rsid w:val="00C122FC"/>
    <w:rsid w:val="00C123D9"/>
    <w:rsid w:val="00C13CD2"/>
    <w:rsid w:val="00C13FA6"/>
    <w:rsid w:val="00C14425"/>
    <w:rsid w:val="00C14451"/>
    <w:rsid w:val="00C14925"/>
    <w:rsid w:val="00C14D9B"/>
    <w:rsid w:val="00C14E64"/>
    <w:rsid w:val="00C150F0"/>
    <w:rsid w:val="00C151F0"/>
    <w:rsid w:val="00C158B8"/>
    <w:rsid w:val="00C16FAE"/>
    <w:rsid w:val="00C170C5"/>
    <w:rsid w:val="00C17364"/>
    <w:rsid w:val="00C17959"/>
    <w:rsid w:val="00C17C31"/>
    <w:rsid w:val="00C17D95"/>
    <w:rsid w:val="00C17DC2"/>
    <w:rsid w:val="00C20497"/>
    <w:rsid w:val="00C20A25"/>
    <w:rsid w:val="00C20DAF"/>
    <w:rsid w:val="00C215AC"/>
    <w:rsid w:val="00C215AF"/>
    <w:rsid w:val="00C21632"/>
    <w:rsid w:val="00C21A10"/>
    <w:rsid w:val="00C21B5E"/>
    <w:rsid w:val="00C21C94"/>
    <w:rsid w:val="00C22DD1"/>
    <w:rsid w:val="00C23369"/>
    <w:rsid w:val="00C23793"/>
    <w:rsid w:val="00C23BA1"/>
    <w:rsid w:val="00C242C9"/>
    <w:rsid w:val="00C24785"/>
    <w:rsid w:val="00C247D6"/>
    <w:rsid w:val="00C24CA3"/>
    <w:rsid w:val="00C2526E"/>
    <w:rsid w:val="00C25468"/>
    <w:rsid w:val="00C254D1"/>
    <w:rsid w:val="00C25B8D"/>
    <w:rsid w:val="00C25CEF"/>
    <w:rsid w:val="00C25E7A"/>
    <w:rsid w:val="00C26478"/>
    <w:rsid w:val="00C2648E"/>
    <w:rsid w:val="00C26880"/>
    <w:rsid w:val="00C26A95"/>
    <w:rsid w:val="00C26EF6"/>
    <w:rsid w:val="00C27120"/>
    <w:rsid w:val="00C27A14"/>
    <w:rsid w:val="00C27F2B"/>
    <w:rsid w:val="00C302CE"/>
    <w:rsid w:val="00C304ED"/>
    <w:rsid w:val="00C3094A"/>
    <w:rsid w:val="00C30AE1"/>
    <w:rsid w:val="00C314DD"/>
    <w:rsid w:val="00C317F1"/>
    <w:rsid w:val="00C31828"/>
    <w:rsid w:val="00C31A40"/>
    <w:rsid w:val="00C32075"/>
    <w:rsid w:val="00C325A6"/>
    <w:rsid w:val="00C325B7"/>
    <w:rsid w:val="00C32D86"/>
    <w:rsid w:val="00C3301A"/>
    <w:rsid w:val="00C33103"/>
    <w:rsid w:val="00C333A6"/>
    <w:rsid w:val="00C33422"/>
    <w:rsid w:val="00C33544"/>
    <w:rsid w:val="00C33608"/>
    <w:rsid w:val="00C3365E"/>
    <w:rsid w:val="00C33CDB"/>
    <w:rsid w:val="00C33DEF"/>
    <w:rsid w:val="00C33F1C"/>
    <w:rsid w:val="00C34D10"/>
    <w:rsid w:val="00C35330"/>
    <w:rsid w:val="00C35521"/>
    <w:rsid w:val="00C35750"/>
    <w:rsid w:val="00C35ADF"/>
    <w:rsid w:val="00C35F8B"/>
    <w:rsid w:val="00C36337"/>
    <w:rsid w:val="00C36A9F"/>
    <w:rsid w:val="00C36E0A"/>
    <w:rsid w:val="00C3763E"/>
    <w:rsid w:val="00C37BAB"/>
    <w:rsid w:val="00C401F3"/>
    <w:rsid w:val="00C403B7"/>
    <w:rsid w:val="00C408DC"/>
    <w:rsid w:val="00C40E8E"/>
    <w:rsid w:val="00C40FBB"/>
    <w:rsid w:val="00C4116C"/>
    <w:rsid w:val="00C4248B"/>
    <w:rsid w:val="00C425BE"/>
    <w:rsid w:val="00C425E2"/>
    <w:rsid w:val="00C42862"/>
    <w:rsid w:val="00C42A70"/>
    <w:rsid w:val="00C42B7B"/>
    <w:rsid w:val="00C42C09"/>
    <w:rsid w:val="00C42E55"/>
    <w:rsid w:val="00C43263"/>
    <w:rsid w:val="00C434D7"/>
    <w:rsid w:val="00C436A8"/>
    <w:rsid w:val="00C4370B"/>
    <w:rsid w:val="00C43871"/>
    <w:rsid w:val="00C43A66"/>
    <w:rsid w:val="00C44072"/>
    <w:rsid w:val="00C44431"/>
    <w:rsid w:val="00C44CF8"/>
    <w:rsid w:val="00C44D4B"/>
    <w:rsid w:val="00C44D81"/>
    <w:rsid w:val="00C45065"/>
    <w:rsid w:val="00C450B2"/>
    <w:rsid w:val="00C450D5"/>
    <w:rsid w:val="00C450E1"/>
    <w:rsid w:val="00C45163"/>
    <w:rsid w:val="00C452C7"/>
    <w:rsid w:val="00C45646"/>
    <w:rsid w:val="00C45BF9"/>
    <w:rsid w:val="00C45D2D"/>
    <w:rsid w:val="00C460E2"/>
    <w:rsid w:val="00C46324"/>
    <w:rsid w:val="00C46813"/>
    <w:rsid w:val="00C468E5"/>
    <w:rsid w:val="00C4698E"/>
    <w:rsid w:val="00C49FDE"/>
    <w:rsid w:val="00C5011B"/>
    <w:rsid w:val="00C502A3"/>
    <w:rsid w:val="00C503B2"/>
    <w:rsid w:val="00C50B1A"/>
    <w:rsid w:val="00C50F72"/>
    <w:rsid w:val="00C50F77"/>
    <w:rsid w:val="00C51CE4"/>
    <w:rsid w:val="00C51ED0"/>
    <w:rsid w:val="00C5211C"/>
    <w:rsid w:val="00C52290"/>
    <w:rsid w:val="00C528D3"/>
    <w:rsid w:val="00C5299D"/>
    <w:rsid w:val="00C52D19"/>
    <w:rsid w:val="00C52D78"/>
    <w:rsid w:val="00C52E16"/>
    <w:rsid w:val="00C532F1"/>
    <w:rsid w:val="00C53C57"/>
    <w:rsid w:val="00C5408C"/>
    <w:rsid w:val="00C544D2"/>
    <w:rsid w:val="00C54511"/>
    <w:rsid w:val="00C545B1"/>
    <w:rsid w:val="00C5476F"/>
    <w:rsid w:val="00C54920"/>
    <w:rsid w:val="00C5506B"/>
    <w:rsid w:val="00C55091"/>
    <w:rsid w:val="00C55331"/>
    <w:rsid w:val="00C55354"/>
    <w:rsid w:val="00C5536A"/>
    <w:rsid w:val="00C5544D"/>
    <w:rsid w:val="00C5568F"/>
    <w:rsid w:val="00C55750"/>
    <w:rsid w:val="00C5582A"/>
    <w:rsid w:val="00C5584F"/>
    <w:rsid w:val="00C55B4E"/>
    <w:rsid w:val="00C55B80"/>
    <w:rsid w:val="00C55BA7"/>
    <w:rsid w:val="00C55F55"/>
    <w:rsid w:val="00C56270"/>
    <w:rsid w:val="00C56472"/>
    <w:rsid w:val="00C564AE"/>
    <w:rsid w:val="00C56955"/>
    <w:rsid w:val="00C569CC"/>
    <w:rsid w:val="00C56D0C"/>
    <w:rsid w:val="00C56D24"/>
    <w:rsid w:val="00C575E1"/>
    <w:rsid w:val="00C600A1"/>
    <w:rsid w:val="00C6010E"/>
    <w:rsid w:val="00C60184"/>
    <w:rsid w:val="00C6027B"/>
    <w:rsid w:val="00C60406"/>
    <w:rsid w:val="00C60544"/>
    <w:rsid w:val="00C60D02"/>
    <w:rsid w:val="00C6111A"/>
    <w:rsid w:val="00C611DA"/>
    <w:rsid w:val="00C618A6"/>
    <w:rsid w:val="00C61AD4"/>
    <w:rsid w:val="00C61BB5"/>
    <w:rsid w:val="00C61E64"/>
    <w:rsid w:val="00C625BF"/>
    <w:rsid w:val="00C6275C"/>
    <w:rsid w:val="00C6287A"/>
    <w:rsid w:val="00C633D3"/>
    <w:rsid w:val="00C638F5"/>
    <w:rsid w:val="00C63ABA"/>
    <w:rsid w:val="00C63AEC"/>
    <w:rsid w:val="00C63B73"/>
    <w:rsid w:val="00C63CBC"/>
    <w:rsid w:val="00C63F1B"/>
    <w:rsid w:val="00C64400"/>
    <w:rsid w:val="00C64472"/>
    <w:rsid w:val="00C64493"/>
    <w:rsid w:val="00C64684"/>
    <w:rsid w:val="00C64742"/>
    <w:rsid w:val="00C6498F"/>
    <w:rsid w:val="00C64AA7"/>
    <w:rsid w:val="00C64E9E"/>
    <w:rsid w:val="00C64EA0"/>
    <w:rsid w:val="00C6507C"/>
    <w:rsid w:val="00C6569C"/>
    <w:rsid w:val="00C65769"/>
    <w:rsid w:val="00C65C4B"/>
    <w:rsid w:val="00C65CA6"/>
    <w:rsid w:val="00C65D5B"/>
    <w:rsid w:val="00C65D7A"/>
    <w:rsid w:val="00C65F4A"/>
    <w:rsid w:val="00C66648"/>
    <w:rsid w:val="00C66AF3"/>
    <w:rsid w:val="00C66C11"/>
    <w:rsid w:val="00C66CD7"/>
    <w:rsid w:val="00C66FFB"/>
    <w:rsid w:val="00C67016"/>
    <w:rsid w:val="00C670D9"/>
    <w:rsid w:val="00C67935"/>
    <w:rsid w:val="00C67ABE"/>
    <w:rsid w:val="00C67E6F"/>
    <w:rsid w:val="00C67FB6"/>
    <w:rsid w:val="00C702D5"/>
    <w:rsid w:val="00C70476"/>
    <w:rsid w:val="00C7075E"/>
    <w:rsid w:val="00C7089A"/>
    <w:rsid w:val="00C70E65"/>
    <w:rsid w:val="00C7197C"/>
    <w:rsid w:val="00C71B80"/>
    <w:rsid w:val="00C71C52"/>
    <w:rsid w:val="00C71C88"/>
    <w:rsid w:val="00C71D24"/>
    <w:rsid w:val="00C71EEE"/>
    <w:rsid w:val="00C7209A"/>
    <w:rsid w:val="00C7257F"/>
    <w:rsid w:val="00C72632"/>
    <w:rsid w:val="00C7286E"/>
    <w:rsid w:val="00C72C19"/>
    <w:rsid w:val="00C72F52"/>
    <w:rsid w:val="00C7359E"/>
    <w:rsid w:val="00C745C9"/>
    <w:rsid w:val="00C7464E"/>
    <w:rsid w:val="00C74BD6"/>
    <w:rsid w:val="00C74ED4"/>
    <w:rsid w:val="00C7517C"/>
    <w:rsid w:val="00C75733"/>
    <w:rsid w:val="00C7588D"/>
    <w:rsid w:val="00C75BEE"/>
    <w:rsid w:val="00C75DFE"/>
    <w:rsid w:val="00C7604C"/>
    <w:rsid w:val="00C763A6"/>
    <w:rsid w:val="00C76485"/>
    <w:rsid w:val="00C7686A"/>
    <w:rsid w:val="00C76CFC"/>
    <w:rsid w:val="00C76DA5"/>
    <w:rsid w:val="00C771A2"/>
    <w:rsid w:val="00C774D5"/>
    <w:rsid w:val="00C775D8"/>
    <w:rsid w:val="00C7760D"/>
    <w:rsid w:val="00C77714"/>
    <w:rsid w:val="00C77792"/>
    <w:rsid w:val="00C77840"/>
    <w:rsid w:val="00C77C2A"/>
    <w:rsid w:val="00C77E51"/>
    <w:rsid w:val="00C800F4"/>
    <w:rsid w:val="00C8017A"/>
    <w:rsid w:val="00C80206"/>
    <w:rsid w:val="00C80738"/>
    <w:rsid w:val="00C8082B"/>
    <w:rsid w:val="00C80A69"/>
    <w:rsid w:val="00C80C42"/>
    <w:rsid w:val="00C80EF2"/>
    <w:rsid w:val="00C810D7"/>
    <w:rsid w:val="00C81548"/>
    <w:rsid w:val="00C81557"/>
    <w:rsid w:val="00C81C56"/>
    <w:rsid w:val="00C82728"/>
    <w:rsid w:val="00C82737"/>
    <w:rsid w:val="00C827DB"/>
    <w:rsid w:val="00C829E9"/>
    <w:rsid w:val="00C82BB6"/>
    <w:rsid w:val="00C82C02"/>
    <w:rsid w:val="00C82D61"/>
    <w:rsid w:val="00C83463"/>
    <w:rsid w:val="00C8396F"/>
    <w:rsid w:val="00C83AFD"/>
    <w:rsid w:val="00C83B6E"/>
    <w:rsid w:val="00C83CA0"/>
    <w:rsid w:val="00C83D99"/>
    <w:rsid w:val="00C83F10"/>
    <w:rsid w:val="00C84174"/>
    <w:rsid w:val="00C84376"/>
    <w:rsid w:val="00C846AE"/>
    <w:rsid w:val="00C847E5"/>
    <w:rsid w:val="00C85974"/>
    <w:rsid w:val="00C85A08"/>
    <w:rsid w:val="00C85CBF"/>
    <w:rsid w:val="00C86387"/>
    <w:rsid w:val="00C86743"/>
    <w:rsid w:val="00C87162"/>
    <w:rsid w:val="00C87325"/>
    <w:rsid w:val="00C876C0"/>
    <w:rsid w:val="00C876FE"/>
    <w:rsid w:val="00C8792E"/>
    <w:rsid w:val="00C87A42"/>
    <w:rsid w:val="00C87D99"/>
    <w:rsid w:val="00C87F16"/>
    <w:rsid w:val="00C90746"/>
    <w:rsid w:val="00C9080E"/>
    <w:rsid w:val="00C90976"/>
    <w:rsid w:val="00C909A8"/>
    <w:rsid w:val="00C90FD9"/>
    <w:rsid w:val="00C911D2"/>
    <w:rsid w:val="00C91667"/>
    <w:rsid w:val="00C91884"/>
    <w:rsid w:val="00C9240A"/>
    <w:rsid w:val="00C9284E"/>
    <w:rsid w:val="00C92D45"/>
    <w:rsid w:val="00C92DAB"/>
    <w:rsid w:val="00C92FE6"/>
    <w:rsid w:val="00C93348"/>
    <w:rsid w:val="00C93778"/>
    <w:rsid w:val="00C93B6C"/>
    <w:rsid w:val="00C93FF6"/>
    <w:rsid w:val="00C9480E"/>
    <w:rsid w:val="00C94898"/>
    <w:rsid w:val="00C94C82"/>
    <w:rsid w:val="00C94E8F"/>
    <w:rsid w:val="00C95425"/>
    <w:rsid w:val="00C956D2"/>
    <w:rsid w:val="00C95965"/>
    <w:rsid w:val="00C95A95"/>
    <w:rsid w:val="00C95DF4"/>
    <w:rsid w:val="00C95E66"/>
    <w:rsid w:val="00C95F79"/>
    <w:rsid w:val="00C962F5"/>
    <w:rsid w:val="00C9648A"/>
    <w:rsid w:val="00C9689A"/>
    <w:rsid w:val="00C96AF2"/>
    <w:rsid w:val="00C96BCE"/>
    <w:rsid w:val="00C970E9"/>
    <w:rsid w:val="00C9730F"/>
    <w:rsid w:val="00C973A2"/>
    <w:rsid w:val="00C9758C"/>
    <w:rsid w:val="00C975D9"/>
    <w:rsid w:val="00C97858"/>
    <w:rsid w:val="00C97910"/>
    <w:rsid w:val="00CA0385"/>
    <w:rsid w:val="00CA0487"/>
    <w:rsid w:val="00CA06F2"/>
    <w:rsid w:val="00CA078B"/>
    <w:rsid w:val="00CA0842"/>
    <w:rsid w:val="00CA0D8A"/>
    <w:rsid w:val="00CA18B5"/>
    <w:rsid w:val="00CA1D50"/>
    <w:rsid w:val="00CA1E0B"/>
    <w:rsid w:val="00CA20DB"/>
    <w:rsid w:val="00CA2114"/>
    <w:rsid w:val="00CA27D0"/>
    <w:rsid w:val="00CA2923"/>
    <w:rsid w:val="00CA2B95"/>
    <w:rsid w:val="00CA2CBD"/>
    <w:rsid w:val="00CA2E9C"/>
    <w:rsid w:val="00CA2EC2"/>
    <w:rsid w:val="00CA3254"/>
    <w:rsid w:val="00CA33D5"/>
    <w:rsid w:val="00CA3934"/>
    <w:rsid w:val="00CA3945"/>
    <w:rsid w:val="00CA3B6F"/>
    <w:rsid w:val="00CA3FA3"/>
    <w:rsid w:val="00CA3FC9"/>
    <w:rsid w:val="00CA435C"/>
    <w:rsid w:val="00CA4A95"/>
    <w:rsid w:val="00CA4ABF"/>
    <w:rsid w:val="00CA5486"/>
    <w:rsid w:val="00CA5500"/>
    <w:rsid w:val="00CA579E"/>
    <w:rsid w:val="00CA5959"/>
    <w:rsid w:val="00CA5A40"/>
    <w:rsid w:val="00CA5D1C"/>
    <w:rsid w:val="00CA5DA3"/>
    <w:rsid w:val="00CA5F1E"/>
    <w:rsid w:val="00CA6003"/>
    <w:rsid w:val="00CA618B"/>
    <w:rsid w:val="00CA62E4"/>
    <w:rsid w:val="00CA637E"/>
    <w:rsid w:val="00CA63AE"/>
    <w:rsid w:val="00CA64ED"/>
    <w:rsid w:val="00CA66C2"/>
    <w:rsid w:val="00CA69A0"/>
    <w:rsid w:val="00CA69AD"/>
    <w:rsid w:val="00CA6B54"/>
    <w:rsid w:val="00CA6C22"/>
    <w:rsid w:val="00CA6C9B"/>
    <w:rsid w:val="00CA6DE5"/>
    <w:rsid w:val="00CA6EF2"/>
    <w:rsid w:val="00CA6FF8"/>
    <w:rsid w:val="00CA74A2"/>
    <w:rsid w:val="00CA74F5"/>
    <w:rsid w:val="00CA78E3"/>
    <w:rsid w:val="00CA7D62"/>
    <w:rsid w:val="00CA7EA0"/>
    <w:rsid w:val="00CA7F0C"/>
    <w:rsid w:val="00CB002C"/>
    <w:rsid w:val="00CB0114"/>
    <w:rsid w:val="00CB0BC0"/>
    <w:rsid w:val="00CB0C9A"/>
    <w:rsid w:val="00CB118F"/>
    <w:rsid w:val="00CB129A"/>
    <w:rsid w:val="00CB172E"/>
    <w:rsid w:val="00CB18FE"/>
    <w:rsid w:val="00CB1995"/>
    <w:rsid w:val="00CB1C20"/>
    <w:rsid w:val="00CB209E"/>
    <w:rsid w:val="00CB2107"/>
    <w:rsid w:val="00CB21BE"/>
    <w:rsid w:val="00CB21C9"/>
    <w:rsid w:val="00CB2702"/>
    <w:rsid w:val="00CB27E5"/>
    <w:rsid w:val="00CB287D"/>
    <w:rsid w:val="00CB28A3"/>
    <w:rsid w:val="00CB2934"/>
    <w:rsid w:val="00CB295D"/>
    <w:rsid w:val="00CB2999"/>
    <w:rsid w:val="00CB2ACF"/>
    <w:rsid w:val="00CB2CFD"/>
    <w:rsid w:val="00CB2D9A"/>
    <w:rsid w:val="00CB2E73"/>
    <w:rsid w:val="00CB31C9"/>
    <w:rsid w:val="00CB3339"/>
    <w:rsid w:val="00CB34E3"/>
    <w:rsid w:val="00CB3680"/>
    <w:rsid w:val="00CB3747"/>
    <w:rsid w:val="00CB3D25"/>
    <w:rsid w:val="00CB4216"/>
    <w:rsid w:val="00CB4233"/>
    <w:rsid w:val="00CB423E"/>
    <w:rsid w:val="00CB4322"/>
    <w:rsid w:val="00CB458C"/>
    <w:rsid w:val="00CB458F"/>
    <w:rsid w:val="00CB4609"/>
    <w:rsid w:val="00CB4A65"/>
    <w:rsid w:val="00CB4F3F"/>
    <w:rsid w:val="00CB54C4"/>
    <w:rsid w:val="00CB550E"/>
    <w:rsid w:val="00CB5773"/>
    <w:rsid w:val="00CB5FFB"/>
    <w:rsid w:val="00CB6691"/>
    <w:rsid w:val="00CB6AB0"/>
    <w:rsid w:val="00CB6DBD"/>
    <w:rsid w:val="00CB75DE"/>
    <w:rsid w:val="00CB79B9"/>
    <w:rsid w:val="00CB7B51"/>
    <w:rsid w:val="00CB7D4D"/>
    <w:rsid w:val="00CC011E"/>
    <w:rsid w:val="00CC0207"/>
    <w:rsid w:val="00CC0280"/>
    <w:rsid w:val="00CC033A"/>
    <w:rsid w:val="00CC0344"/>
    <w:rsid w:val="00CC050A"/>
    <w:rsid w:val="00CC084B"/>
    <w:rsid w:val="00CC087C"/>
    <w:rsid w:val="00CC094E"/>
    <w:rsid w:val="00CC0F46"/>
    <w:rsid w:val="00CC0F52"/>
    <w:rsid w:val="00CC0FC0"/>
    <w:rsid w:val="00CC1FA7"/>
    <w:rsid w:val="00CC2039"/>
    <w:rsid w:val="00CC2B20"/>
    <w:rsid w:val="00CC2CDD"/>
    <w:rsid w:val="00CC2E77"/>
    <w:rsid w:val="00CC2FC0"/>
    <w:rsid w:val="00CC3040"/>
    <w:rsid w:val="00CC396E"/>
    <w:rsid w:val="00CC3C66"/>
    <w:rsid w:val="00CC407B"/>
    <w:rsid w:val="00CC411E"/>
    <w:rsid w:val="00CC44B8"/>
    <w:rsid w:val="00CC47E8"/>
    <w:rsid w:val="00CC4988"/>
    <w:rsid w:val="00CC4E0C"/>
    <w:rsid w:val="00CC4E2A"/>
    <w:rsid w:val="00CC4F34"/>
    <w:rsid w:val="00CC4F8D"/>
    <w:rsid w:val="00CC55B0"/>
    <w:rsid w:val="00CC56A8"/>
    <w:rsid w:val="00CC584B"/>
    <w:rsid w:val="00CC665C"/>
    <w:rsid w:val="00CC6BA9"/>
    <w:rsid w:val="00CC6C2E"/>
    <w:rsid w:val="00CC6E1F"/>
    <w:rsid w:val="00CC7816"/>
    <w:rsid w:val="00CC7DCC"/>
    <w:rsid w:val="00CD0216"/>
    <w:rsid w:val="00CD0440"/>
    <w:rsid w:val="00CD0AAC"/>
    <w:rsid w:val="00CD0C18"/>
    <w:rsid w:val="00CD1769"/>
    <w:rsid w:val="00CD19A0"/>
    <w:rsid w:val="00CD2C71"/>
    <w:rsid w:val="00CD306F"/>
    <w:rsid w:val="00CD31EB"/>
    <w:rsid w:val="00CD3315"/>
    <w:rsid w:val="00CD3621"/>
    <w:rsid w:val="00CD392F"/>
    <w:rsid w:val="00CD3C91"/>
    <w:rsid w:val="00CD3E45"/>
    <w:rsid w:val="00CD486D"/>
    <w:rsid w:val="00CD4C11"/>
    <w:rsid w:val="00CD4EC1"/>
    <w:rsid w:val="00CD51A0"/>
    <w:rsid w:val="00CD54C3"/>
    <w:rsid w:val="00CD5A30"/>
    <w:rsid w:val="00CD5AF7"/>
    <w:rsid w:val="00CD627C"/>
    <w:rsid w:val="00CD6617"/>
    <w:rsid w:val="00CD6A7E"/>
    <w:rsid w:val="00CD6A8C"/>
    <w:rsid w:val="00CD6F5D"/>
    <w:rsid w:val="00CD6FD2"/>
    <w:rsid w:val="00CD715F"/>
    <w:rsid w:val="00CD7172"/>
    <w:rsid w:val="00CD7381"/>
    <w:rsid w:val="00CD7C06"/>
    <w:rsid w:val="00CD7F76"/>
    <w:rsid w:val="00CE042B"/>
    <w:rsid w:val="00CE05DD"/>
    <w:rsid w:val="00CE08D6"/>
    <w:rsid w:val="00CE0A00"/>
    <w:rsid w:val="00CE0DA4"/>
    <w:rsid w:val="00CE12D4"/>
    <w:rsid w:val="00CE164F"/>
    <w:rsid w:val="00CE1672"/>
    <w:rsid w:val="00CE16CD"/>
    <w:rsid w:val="00CE1834"/>
    <w:rsid w:val="00CE18DA"/>
    <w:rsid w:val="00CE1B5C"/>
    <w:rsid w:val="00CE204B"/>
    <w:rsid w:val="00CE2449"/>
    <w:rsid w:val="00CE262F"/>
    <w:rsid w:val="00CE26C6"/>
    <w:rsid w:val="00CE2949"/>
    <w:rsid w:val="00CE2AEA"/>
    <w:rsid w:val="00CE2B0C"/>
    <w:rsid w:val="00CE2D0A"/>
    <w:rsid w:val="00CE3445"/>
    <w:rsid w:val="00CE3A18"/>
    <w:rsid w:val="00CE3B91"/>
    <w:rsid w:val="00CE3D59"/>
    <w:rsid w:val="00CE3D65"/>
    <w:rsid w:val="00CE458A"/>
    <w:rsid w:val="00CE4984"/>
    <w:rsid w:val="00CE56DB"/>
    <w:rsid w:val="00CE5B16"/>
    <w:rsid w:val="00CE5D5B"/>
    <w:rsid w:val="00CE5D5F"/>
    <w:rsid w:val="00CE65F9"/>
    <w:rsid w:val="00CE6798"/>
    <w:rsid w:val="00CE67DC"/>
    <w:rsid w:val="00CE6F34"/>
    <w:rsid w:val="00CE726F"/>
    <w:rsid w:val="00CE769E"/>
    <w:rsid w:val="00CE76D1"/>
    <w:rsid w:val="00CE7776"/>
    <w:rsid w:val="00CE7E1B"/>
    <w:rsid w:val="00CF026F"/>
    <w:rsid w:val="00CF03A4"/>
    <w:rsid w:val="00CF0709"/>
    <w:rsid w:val="00CF140E"/>
    <w:rsid w:val="00CF18B8"/>
    <w:rsid w:val="00CF1CF0"/>
    <w:rsid w:val="00CF21D6"/>
    <w:rsid w:val="00CF265A"/>
    <w:rsid w:val="00CF2707"/>
    <w:rsid w:val="00CF2A75"/>
    <w:rsid w:val="00CF2B88"/>
    <w:rsid w:val="00CF2E9A"/>
    <w:rsid w:val="00CF31B4"/>
    <w:rsid w:val="00CF36F3"/>
    <w:rsid w:val="00CF3938"/>
    <w:rsid w:val="00CF396A"/>
    <w:rsid w:val="00CF3B26"/>
    <w:rsid w:val="00CF4217"/>
    <w:rsid w:val="00CF42A2"/>
    <w:rsid w:val="00CF4837"/>
    <w:rsid w:val="00CF5618"/>
    <w:rsid w:val="00CF57E9"/>
    <w:rsid w:val="00CF5DFD"/>
    <w:rsid w:val="00CF60EC"/>
    <w:rsid w:val="00CF6237"/>
    <w:rsid w:val="00CF6D41"/>
    <w:rsid w:val="00CF6F1B"/>
    <w:rsid w:val="00CF6FAA"/>
    <w:rsid w:val="00CF744B"/>
    <w:rsid w:val="00CF7ACC"/>
    <w:rsid w:val="00D00785"/>
    <w:rsid w:val="00D008EC"/>
    <w:rsid w:val="00D009D6"/>
    <w:rsid w:val="00D00CA5"/>
    <w:rsid w:val="00D0103C"/>
    <w:rsid w:val="00D01418"/>
    <w:rsid w:val="00D0195B"/>
    <w:rsid w:val="00D01A9C"/>
    <w:rsid w:val="00D01AFC"/>
    <w:rsid w:val="00D01C60"/>
    <w:rsid w:val="00D03DD6"/>
    <w:rsid w:val="00D03E5E"/>
    <w:rsid w:val="00D040B2"/>
    <w:rsid w:val="00D0414A"/>
    <w:rsid w:val="00D043F5"/>
    <w:rsid w:val="00D0452B"/>
    <w:rsid w:val="00D047C1"/>
    <w:rsid w:val="00D047D9"/>
    <w:rsid w:val="00D04D20"/>
    <w:rsid w:val="00D0586D"/>
    <w:rsid w:val="00D05B44"/>
    <w:rsid w:val="00D05D7F"/>
    <w:rsid w:val="00D06123"/>
    <w:rsid w:val="00D06309"/>
    <w:rsid w:val="00D06606"/>
    <w:rsid w:val="00D0677B"/>
    <w:rsid w:val="00D06823"/>
    <w:rsid w:val="00D070D3"/>
    <w:rsid w:val="00D072DC"/>
    <w:rsid w:val="00D077D0"/>
    <w:rsid w:val="00D07E4C"/>
    <w:rsid w:val="00D101AC"/>
    <w:rsid w:val="00D10728"/>
    <w:rsid w:val="00D107FC"/>
    <w:rsid w:val="00D10822"/>
    <w:rsid w:val="00D109BE"/>
    <w:rsid w:val="00D10BDB"/>
    <w:rsid w:val="00D10CD7"/>
    <w:rsid w:val="00D10DAD"/>
    <w:rsid w:val="00D10DEC"/>
    <w:rsid w:val="00D111D4"/>
    <w:rsid w:val="00D1137D"/>
    <w:rsid w:val="00D114F7"/>
    <w:rsid w:val="00D11593"/>
    <w:rsid w:val="00D115DE"/>
    <w:rsid w:val="00D11822"/>
    <w:rsid w:val="00D1202A"/>
    <w:rsid w:val="00D12300"/>
    <w:rsid w:val="00D124EF"/>
    <w:rsid w:val="00D12C51"/>
    <w:rsid w:val="00D12DCC"/>
    <w:rsid w:val="00D12E23"/>
    <w:rsid w:val="00D131D8"/>
    <w:rsid w:val="00D13511"/>
    <w:rsid w:val="00D13540"/>
    <w:rsid w:val="00D135A4"/>
    <w:rsid w:val="00D13741"/>
    <w:rsid w:val="00D1394E"/>
    <w:rsid w:val="00D13950"/>
    <w:rsid w:val="00D143E7"/>
    <w:rsid w:val="00D14A5E"/>
    <w:rsid w:val="00D14B5C"/>
    <w:rsid w:val="00D14BD2"/>
    <w:rsid w:val="00D14D73"/>
    <w:rsid w:val="00D150E4"/>
    <w:rsid w:val="00D15CEB"/>
    <w:rsid w:val="00D15E5A"/>
    <w:rsid w:val="00D15ED6"/>
    <w:rsid w:val="00D162EE"/>
    <w:rsid w:val="00D16556"/>
    <w:rsid w:val="00D165D1"/>
    <w:rsid w:val="00D16773"/>
    <w:rsid w:val="00D16BC2"/>
    <w:rsid w:val="00D16DE0"/>
    <w:rsid w:val="00D17025"/>
    <w:rsid w:val="00D178A1"/>
    <w:rsid w:val="00D1794F"/>
    <w:rsid w:val="00D17AF9"/>
    <w:rsid w:val="00D17BF8"/>
    <w:rsid w:val="00D17D6C"/>
    <w:rsid w:val="00D2022F"/>
    <w:rsid w:val="00D20251"/>
    <w:rsid w:val="00D2045E"/>
    <w:rsid w:val="00D20586"/>
    <w:rsid w:val="00D206A5"/>
    <w:rsid w:val="00D20CB0"/>
    <w:rsid w:val="00D2102D"/>
    <w:rsid w:val="00D210A2"/>
    <w:rsid w:val="00D21658"/>
    <w:rsid w:val="00D2179C"/>
    <w:rsid w:val="00D21F0A"/>
    <w:rsid w:val="00D2225A"/>
    <w:rsid w:val="00D2241C"/>
    <w:rsid w:val="00D225D8"/>
    <w:rsid w:val="00D225DF"/>
    <w:rsid w:val="00D226FA"/>
    <w:rsid w:val="00D227CA"/>
    <w:rsid w:val="00D22C50"/>
    <w:rsid w:val="00D22CC5"/>
    <w:rsid w:val="00D22D28"/>
    <w:rsid w:val="00D2317A"/>
    <w:rsid w:val="00D233AC"/>
    <w:rsid w:val="00D237C1"/>
    <w:rsid w:val="00D23883"/>
    <w:rsid w:val="00D23926"/>
    <w:rsid w:val="00D23A38"/>
    <w:rsid w:val="00D23D62"/>
    <w:rsid w:val="00D23D7F"/>
    <w:rsid w:val="00D23E6A"/>
    <w:rsid w:val="00D2495B"/>
    <w:rsid w:val="00D249C8"/>
    <w:rsid w:val="00D24AB9"/>
    <w:rsid w:val="00D24B4A"/>
    <w:rsid w:val="00D24E44"/>
    <w:rsid w:val="00D24FF0"/>
    <w:rsid w:val="00D25557"/>
    <w:rsid w:val="00D25AF8"/>
    <w:rsid w:val="00D25CE7"/>
    <w:rsid w:val="00D25DF2"/>
    <w:rsid w:val="00D260CF"/>
    <w:rsid w:val="00D26786"/>
    <w:rsid w:val="00D26C52"/>
    <w:rsid w:val="00D27670"/>
    <w:rsid w:val="00D278C1"/>
    <w:rsid w:val="00D27E86"/>
    <w:rsid w:val="00D301B1"/>
    <w:rsid w:val="00D301D0"/>
    <w:rsid w:val="00D30643"/>
    <w:rsid w:val="00D30B78"/>
    <w:rsid w:val="00D30D2A"/>
    <w:rsid w:val="00D31039"/>
    <w:rsid w:val="00D31501"/>
    <w:rsid w:val="00D3153D"/>
    <w:rsid w:val="00D31949"/>
    <w:rsid w:val="00D31B0A"/>
    <w:rsid w:val="00D31B90"/>
    <w:rsid w:val="00D31D97"/>
    <w:rsid w:val="00D32106"/>
    <w:rsid w:val="00D3216A"/>
    <w:rsid w:val="00D32818"/>
    <w:rsid w:val="00D32E9B"/>
    <w:rsid w:val="00D33070"/>
    <w:rsid w:val="00D33118"/>
    <w:rsid w:val="00D33120"/>
    <w:rsid w:val="00D33181"/>
    <w:rsid w:val="00D332FD"/>
    <w:rsid w:val="00D3346C"/>
    <w:rsid w:val="00D337EB"/>
    <w:rsid w:val="00D33ABA"/>
    <w:rsid w:val="00D33E7C"/>
    <w:rsid w:val="00D340C9"/>
    <w:rsid w:val="00D3438A"/>
    <w:rsid w:val="00D3446C"/>
    <w:rsid w:val="00D348C6"/>
    <w:rsid w:val="00D35839"/>
    <w:rsid w:val="00D35927"/>
    <w:rsid w:val="00D35A36"/>
    <w:rsid w:val="00D3644A"/>
    <w:rsid w:val="00D36544"/>
    <w:rsid w:val="00D365E3"/>
    <w:rsid w:val="00D366BF"/>
    <w:rsid w:val="00D368AE"/>
    <w:rsid w:val="00D369E0"/>
    <w:rsid w:val="00D36E4A"/>
    <w:rsid w:val="00D371EF"/>
    <w:rsid w:val="00D37386"/>
    <w:rsid w:val="00D37571"/>
    <w:rsid w:val="00D3779B"/>
    <w:rsid w:val="00D37B1C"/>
    <w:rsid w:val="00D37B92"/>
    <w:rsid w:val="00D37DAD"/>
    <w:rsid w:val="00D4084D"/>
    <w:rsid w:val="00D40A3E"/>
    <w:rsid w:val="00D40BE6"/>
    <w:rsid w:val="00D40E50"/>
    <w:rsid w:val="00D4105B"/>
    <w:rsid w:val="00D4150A"/>
    <w:rsid w:val="00D416C7"/>
    <w:rsid w:val="00D419CD"/>
    <w:rsid w:val="00D42002"/>
    <w:rsid w:val="00D4251F"/>
    <w:rsid w:val="00D42677"/>
    <w:rsid w:val="00D42B95"/>
    <w:rsid w:val="00D42BCB"/>
    <w:rsid w:val="00D42E8F"/>
    <w:rsid w:val="00D43395"/>
    <w:rsid w:val="00D43430"/>
    <w:rsid w:val="00D43F07"/>
    <w:rsid w:val="00D44135"/>
    <w:rsid w:val="00D44390"/>
    <w:rsid w:val="00D4462B"/>
    <w:rsid w:val="00D4470A"/>
    <w:rsid w:val="00D44909"/>
    <w:rsid w:val="00D44970"/>
    <w:rsid w:val="00D44996"/>
    <w:rsid w:val="00D44AAB"/>
    <w:rsid w:val="00D44E1B"/>
    <w:rsid w:val="00D44F93"/>
    <w:rsid w:val="00D45195"/>
    <w:rsid w:val="00D45B53"/>
    <w:rsid w:val="00D45DD0"/>
    <w:rsid w:val="00D45E32"/>
    <w:rsid w:val="00D45E44"/>
    <w:rsid w:val="00D45E57"/>
    <w:rsid w:val="00D460AA"/>
    <w:rsid w:val="00D46468"/>
    <w:rsid w:val="00D4651F"/>
    <w:rsid w:val="00D4653E"/>
    <w:rsid w:val="00D465F7"/>
    <w:rsid w:val="00D46A95"/>
    <w:rsid w:val="00D46B15"/>
    <w:rsid w:val="00D46E7E"/>
    <w:rsid w:val="00D4704B"/>
    <w:rsid w:val="00D4783C"/>
    <w:rsid w:val="00D47851"/>
    <w:rsid w:val="00D47967"/>
    <w:rsid w:val="00D479C6"/>
    <w:rsid w:val="00D47CC7"/>
    <w:rsid w:val="00D500B1"/>
    <w:rsid w:val="00D500D1"/>
    <w:rsid w:val="00D5024B"/>
    <w:rsid w:val="00D50546"/>
    <w:rsid w:val="00D5071E"/>
    <w:rsid w:val="00D509F5"/>
    <w:rsid w:val="00D50A6B"/>
    <w:rsid w:val="00D50ECE"/>
    <w:rsid w:val="00D51260"/>
    <w:rsid w:val="00D5173B"/>
    <w:rsid w:val="00D51926"/>
    <w:rsid w:val="00D51949"/>
    <w:rsid w:val="00D51F00"/>
    <w:rsid w:val="00D5211E"/>
    <w:rsid w:val="00D5220B"/>
    <w:rsid w:val="00D5249A"/>
    <w:rsid w:val="00D52616"/>
    <w:rsid w:val="00D52775"/>
    <w:rsid w:val="00D5285C"/>
    <w:rsid w:val="00D52911"/>
    <w:rsid w:val="00D5296E"/>
    <w:rsid w:val="00D529D5"/>
    <w:rsid w:val="00D529EB"/>
    <w:rsid w:val="00D541CF"/>
    <w:rsid w:val="00D54628"/>
    <w:rsid w:val="00D54722"/>
    <w:rsid w:val="00D54989"/>
    <w:rsid w:val="00D54A17"/>
    <w:rsid w:val="00D54BA3"/>
    <w:rsid w:val="00D54D7A"/>
    <w:rsid w:val="00D55036"/>
    <w:rsid w:val="00D55131"/>
    <w:rsid w:val="00D55300"/>
    <w:rsid w:val="00D55919"/>
    <w:rsid w:val="00D5597D"/>
    <w:rsid w:val="00D55BDF"/>
    <w:rsid w:val="00D56058"/>
    <w:rsid w:val="00D5626E"/>
    <w:rsid w:val="00D56520"/>
    <w:rsid w:val="00D567A0"/>
    <w:rsid w:val="00D571FA"/>
    <w:rsid w:val="00D57587"/>
    <w:rsid w:val="00D57729"/>
    <w:rsid w:val="00D57923"/>
    <w:rsid w:val="00D57949"/>
    <w:rsid w:val="00D579E8"/>
    <w:rsid w:val="00D57B64"/>
    <w:rsid w:val="00D57C23"/>
    <w:rsid w:val="00D57C60"/>
    <w:rsid w:val="00D603C7"/>
    <w:rsid w:val="00D604A6"/>
    <w:rsid w:val="00D60571"/>
    <w:rsid w:val="00D60837"/>
    <w:rsid w:val="00D61607"/>
    <w:rsid w:val="00D61642"/>
    <w:rsid w:val="00D61AD5"/>
    <w:rsid w:val="00D61DD6"/>
    <w:rsid w:val="00D61DE9"/>
    <w:rsid w:val="00D61E26"/>
    <w:rsid w:val="00D62335"/>
    <w:rsid w:val="00D6238B"/>
    <w:rsid w:val="00D623C7"/>
    <w:rsid w:val="00D62439"/>
    <w:rsid w:val="00D62536"/>
    <w:rsid w:val="00D625BE"/>
    <w:rsid w:val="00D627C4"/>
    <w:rsid w:val="00D62A60"/>
    <w:rsid w:val="00D62EE0"/>
    <w:rsid w:val="00D62F3E"/>
    <w:rsid w:val="00D6321D"/>
    <w:rsid w:val="00D63298"/>
    <w:rsid w:val="00D63756"/>
    <w:rsid w:val="00D638A2"/>
    <w:rsid w:val="00D6391A"/>
    <w:rsid w:val="00D64409"/>
    <w:rsid w:val="00D64540"/>
    <w:rsid w:val="00D64542"/>
    <w:rsid w:val="00D64638"/>
    <w:rsid w:val="00D6488E"/>
    <w:rsid w:val="00D64BA3"/>
    <w:rsid w:val="00D64E6A"/>
    <w:rsid w:val="00D64F0C"/>
    <w:rsid w:val="00D65041"/>
    <w:rsid w:val="00D6514B"/>
    <w:rsid w:val="00D65646"/>
    <w:rsid w:val="00D65A11"/>
    <w:rsid w:val="00D65B0E"/>
    <w:rsid w:val="00D65BE3"/>
    <w:rsid w:val="00D66178"/>
    <w:rsid w:val="00D6653A"/>
    <w:rsid w:val="00D67133"/>
    <w:rsid w:val="00D67775"/>
    <w:rsid w:val="00D677C0"/>
    <w:rsid w:val="00D67B74"/>
    <w:rsid w:val="00D70E13"/>
    <w:rsid w:val="00D70E4B"/>
    <w:rsid w:val="00D71942"/>
    <w:rsid w:val="00D71AD6"/>
    <w:rsid w:val="00D71CCB"/>
    <w:rsid w:val="00D71DB6"/>
    <w:rsid w:val="00D72A1D"/>
    <w:rsid w:val="00D72AAA"/>
    <w:rsid w:val="00D72C78"/>
    <w:rsid w:val="00D7336F"/>
    <w:rsid w:val="00D73458"/>
    <w:rsid w:val="00D73A56"/>
    <w:rsid w:val="00D74034"/>
    <w:rsid w:val="00D742BC"/>
    <w:rsid w:val="00D74802"/>
    <w:rsid w:val="00D74AFC"/>
    <w:rsid w:val="00D74C20"/>
    <w:rsid w:val="00D74CCF"/>
    <w:rsid w:val="00D74F48"/>
    <w:rsid w:val="00D751F2"/>
    <w:rsid w:val="00D75450"/>
    <w:rsid w:val="00D75762"/>
    <w:rsid w:val="00D75999"/>
    <w:rsid w:val="00D75A2B"/>
    <w:rsid w:val="00D75BFD"/>
    <w:rsid w:val="00D75DA7"/>
    <w:rsid w:val="00D76415"/>
    <w:rsid w:val="00D7678E"/>
    <w:rsid w:val="00D76ACA"/>
    <w:rsid w:val="00D76E46"/>
    <w:rsid w:val="00D77153"/>
    <w:rsid w:val="00D771BE"/>
    <w:rsid w:val="00D77205"/>
    <w:rsid w:val="00D77C41"/>
    <w:rsid w:val="00D77E99"/>
    <w:rsid w:val="00D802E5"/>
    <w:rsid w:val="00D80488"/>
    <w:rsid w:val="00D807A3"/>
    <w:rsid w:val="00D80AEE"/>
    <w:rsid w:val="00D80DCD"/>
    <w:rsid w:val="00D81008"/>
    <w:rsid w:val="00D81083"/>
    <w:rsid w:val="00D81498"/>
    <w:rsid w:val="00D81756"/>
    <w:rsid w:val="00D8177B"/>
    <w:rsid w:val="00D81837"/>
    <w:rsid w:val="00D818E2"/>
    <w:rsid w:val="00D81B58"/>
    <w:rsid w:val="00D81C95"/>
    <w:rsid w:val="00D81F6C"/>
    <w:rsid w:val="00D8226E"/>
    <w:rsid w:val="00D822A0"/>
    <w:rsid w:val="00D82773"/>
    <w:rsid w:val="00D82EDD"/>
    <w:rsid w:val="00D831CF"/>
    <w:rsid w:val="00D8324D"/>
    <w:rsid w:val="00D83421"/>
    <w:rsid w:val="00D83475"/>
    <w:rsid w:val="00D83875"/>
    <w:rsid w:val="00D838D7"/>
    <w:rsid w:val="00D83A02"/>
    <w:rsid w:val="00D83ACE"/>
    <w:rsid w:val="00D83E18"/>
    <w:rsid w:val="00D83F18"/>
    <w:rsid w:val="00D8442F"/>
    <w:rsid w:val="00D8447D"/>
    <w:rsid w:val="00D844FC"/>
    <w:rsid w:val="00D84758"/>
    <w:rsid w:val="00D850BB"/>
    <w:rsid w:val="00D85178"/>
    <w:rsid w:val="00D85889"/>
    <w:rsid w:val="00D85893"/>
    <w:rsid w:val="00D858A9"/>
    <w:rsid w:val="00D85985"/>
    <w:rsid w:val="00D85A9A"/>
    <w:rsid w:val="00D85C1B"/>
    <w:rsid w:val="00D85D1D"/>
    <w:rsid w:val="00D860C3"/>
    <w:rsid w:val="00D8612D"/>
    <w:rsid w:val="00D86FC1"/>
    <w:rsid w:val="00D8738B"/>
    <w:rsid w:val="00D874F5"/>
    <w:rsid w:val="00D877D2"/>
    <w:rsid w:val="00D87DA1"/>
    <w:rsid w:val="00D90203"/>
    <w:rsid w:val="00D90251"/>
    <w:rsid w:val="00D90303"/>
    <w:rsid w:val="00D90585"/>
    <w:rsid w:val="00D905C6"/>
    <w:rsid w:val="00D906F9"/>
    <w:rsid w:val="00D90808"/>
    <w:rsid w:val="00D909C1"/>
    <w:rsid w:val="00D90DFD"/>
    <w:rsid w:val="00D90EB1"/>
    <w:rsid w:val="00D9121F"/>
    <w:rsid w:val="00D91332"/>
    <w:rsid w:val="00D91656"/>
    <w:rsid w:val="00D91769"/>
    <w:rsid w:val="00D91A79"/>
    <w:rsid w:val="00D91E6B"/>
    <w:rsid w:val="00D92111"/>
    <w:rsid w:val="00D92385"/>
    <w:rsid w:val="00D92915"/>
    <w:rsid w:val="00D9298C"/>
    <w:rsid w:val="00D92EB3"/>
    <w:rsid w:val="00D92EDA"/>
    <w:rsid w:val="00D92FDA"/>
    <w:rsid w:val="00D9339D"/>
    <w:rsid w:val="00D93493"/>
    <w:rsid w:val="00D93787"/>
    <w:rsid w:val="00D9378D"/>
    <w:rsid w:val="00D937F0"/>
    <w:rsid w:val="00D939AD"/>
    <w:rsid w:val="00D93B92"/>
    <w:rsid w:val="00D941E2"/>
    <w:rsid w:val="00D94284"/>
    <w:rsid w:val="00D943AC"/>
    <w:rsid w:val="00D94489"/>
    <w:rsid w:val="00D94592"/>
    <w:rsid w:val="00D94609"/>
    <w:rsid w:val="00D947F7"/>
    <w:rsid w:val="00D9486C"/>
    <w:rsid w:val="00D948A4"/>
    <w:rsid w:val="00D94AD6"/>
    <w:rsid w:val="00D94B43"/>
    <w:rsid w:val="00D94B94"/>
    <w:rsid w:val="00D94D3B"/>
    <w:rsid w:val="00D94D55"/>
    <w:rsid w:val="00D950D4"/>
    <w:rsid w:val="00D9525C"/>
    <w:rsid w:val="00D95C36"/>
    <w:rsid w:val="00D95D06"/>
    <w:rsid w:val="00D95EF3"/>
    <w:rsid w:val="00D9726A"/>
    <w:rsid w:val="00D9738C"/>
    <w:rsid w:val="00D9763C"/>
    <w:rsid w:val="00D97660"/>
    <w:rsid w:val="00D976A0"/>
    <w:rsid w:val="00D979B8"/>
    <w:rsid w:val="00DA01FB"/>
    <w:rsid w:val="00DA0333"/>
    <w:rsid w:val="00DA058E"/>
    <w:rsid w:val="00DA0717"/>
    <w:rsid w:val="00DA0747"/>
    <w:rsid w:val="00DA080A"/>
    <w:rsid w:val="00DA0901"/>
    <w:rsid w:val="00DA0936"/>
    <w:rsid w:val="00DA09E2"/>
    <w:rsid w:val="00DA0D81"/>
    <w:rsid w:val="00DA0E9C"/>
    <w:rsid w:val="00DA1719"/>
    <w:rsid w:val="00DA1D0F"/>
    <w:rsid w:val="00DA2261"/>
    <w:rsid w:val="00DA2552"/>
    <w:rsid w:val="00DA2BC8"/>
    <w:rsid w:val="00DA3093"/>
    <w:rsid w:val="00DA3589"/>
    <w:rsid w:val="00DA3632"/>
    <w:rsid w:val="00DA3BC4"/>
    <w:rsid w:val="00DA4037"/>
    <w:rsid w:val="00DA407D"/>
    <w:rsid w:val="00DA4143"/>
    <w:rsid w:val="00DA4157"/>
    <w:rsid w:val="00DA43EB"/>
    <w:rsid w:val="00DA457D"/>
    <w:rsid w:val="00DA45AE"/>
    <w:rsid w:val="00DA4F53"/>
    <w:rsid w:val="00DA507E"/>
    <w:rsid w:val="00DA5159"/>
    <w:rsid w:val="00DA53FF"/>
    <w:rsid w:val="00DA5653"/>
    <w:rsid w:val="00DA582F"/>
    <w:rsid w:val="00DA5E59"/>
    <w:rsid w:val="00DA60AC"/>
    <w:rsid w:val="00DA612B"/>
    <w:rsid w:val="00DA63C0"/>
    <w:rsid w:val="00DA66E3"/>
    <w:rsid w:val="00DA678A"/>
    <w:rsid w:val="00DA69AB"/>
    <w:rsid w:val="00DA6DC3"/>
    <w:rsid w:val="00DA6E1F"/>
    <w:rsid w:val="00DA7077"/>
    <w:rsid w:val="00DA7351"/>
    <w:rsid w:val="00DA7B9E"/>
    <w:rsid w:val="00DA7DE0"/>
    <w:rsid w:val="00DB02FC"/>
    <w:rsid w:val="00DB07FE"/>
    <w:rsid w:val="00DB0B6B"/>
    <w:rsid w:val="00DB0BC4"/>
    <w:rsid w:val="00DB0DDD"/>
    <w:rsid w:val="00DB0E6C"/>
    <w:rsid w:val="00DB14CE"/>
    <w:rsid w:val="00DB1529"/>
    <w:rsid w:val="00DB1706"/>
    <w:rsid w:val="00DB182A"/>
    <w:rsid w:val="00DB1BEA"/>
    <w:rsid w:val="00DB1CB6"/>
    <w:rsid w:val="00DB2030"/>
    <w:rsid w:val="00DB22F7"/>
    <w:rsid w:val="00DB245F"/>
    <w:rsid w:val="00DB2537"/>
    <w:rsid w:val="00DB2739"/>
    <w:rsid w:val="00DB277E"/>
    <w:rsid w:val="00DB28CC"/>
    <w:rsid w:val="00DB29C7"/>
    <w:rsid w:val="00DB2A6A"/>
    <w:rsid w:val="00DB383C"/>
    <w:rsid w:val="00DB3977"/>
    <w:rsid w:val="00DB3E1E"/>
    <w:rsid w:val="00DB41A0"/>
    <w:rsid w:val="00DB4355"/>
    <w:rsid w:val="00DB43BE"/>
    <w:rsid w:val="00DB43D9"/>
    <w:rsid w:val="00DB4E91"/>
    <w:rsid w:val="00DB5050"/>
    <w:rsid w:val="00DB544D"/>
    <w:rsid w:val="00DB5460"/>
    <w:rsid w:val="00DB576D"/>
    <w:rsid w:val="00DB57E1"/>
    <w:rsid w:val="00DB5992"/>
    <w:rsid w:val="00DB59AA"/>
    <w:rsid w:val="00DB5AC3"/>
    <w:rsid w:val="00DB5CA8"/>
    <w:rsid w:val="00DB5CAF"/>
    <w:rsid w:val="00DB5DA6"/>
    <w:rsid w:val="00DB6371"/>
    <w:rsid w:val="00DB6699"/>
    <w:rsid w:val="00DB69B1"/>
    <w:rsid w:val="00DB6A32"/>
    <w:rsid w:val="00DB6CAF"/>
    <w:rsid w:val="00DB6E0F"/>
    <w:rsid w:val="00DB7004"/>
    <w:rsid w:val="00DB70A7"/>
    <w:rsid w:val="00DB7DF5"/>
    <w:rsid w:val="00DB7EE6"/>
    <w:rsid w:val="00DC0683"/>
    <w:rsid w:val="00DC079E"/>
    <w:rsid w:val="00DC092E"/>
    <w:rsid w:val="00DC0A98"/>
    <w:rsid w:val="00DC0B40"/>
    <w:rsid w:val="00DC0B71"/>
    <w:rsid w:val="00DC0BF1"/>
    <w:rsid w:val="00DC0CF2"/>
    <w:rsid w:val="00DC0E95"/>
    <w:rsid w:val="00DC10A9"/>
    <w:rsid w:val="00DC1226"/>
    <w:rsid w:val="00DC15D6"/>
    <w:rsid w:val="00DC1707"/>
    <w:rsid w:val="00DC1720"/>
    <w:rsid w:val="00DC1DEF"/>
    <w:rsid w:val="00DC2013"/>
    <w:rsid w:val="00DC2028"/>
    <w:rsid w:val="00DC25FC"/>
    <w:rsid w:val="00DC283A"/>
    <w:rsid w:val="00DC2CF7"/>
    <w:rsid w:val="00DC2D7B"/>
    <w:rsid w:val="00DC2DCC"/>
    <w:rsid w:val="00DC3439"/>
    <w:rsid w:val="00DC3526"/>
    <w:rsid w:val="00DC35CF"/>
    <w:rsid w:val="00DC360D"/>
    <w:rsid w:val="00DC3671"/>
    <w:rsid w:val="00DC3815"/>
    <w:rsid w:val="00DC3CAB"/>
    <w:rsid w:val="00DC4254"/>
    <w:rsid w:val="00DC48CC"/>
    <w:rsid w:val="00DC5199"/>
    <w:rsid w:val="00DC5213"/>
    <w:rsid w:val="00DC52C1"/>
    <w:rsid w:val="00DC5480"/>
    <w:rsid w:val="00DC555C"/>
    <w:rsid w:val="00DC55F9"/>
    <w:rsid w:val="00DC5BF5"/>
    <w:rsid w:val="00DC5C83"/>
    <w:rsid w:val="00DC5E78"/>
    <w:rsid w:val="00DC5ED5"/>
    <w:rsid w:val="00DC620A"/>
    <w:rsid w:val="00DC636B"/>
    <w:rsid w:val="00DC6433"/>
    <w:rsid w:val="00DC65EF"/>
    <w:rsid w:val="00DC6DA0"/>
    <w:rsid w:val="00DC6E85"/>
    <w:rsid w:val="00DD02EA"/>
    <w:rsid w:val="00DD0362"/>
    <w:rsid w:val="00DD07FE"/>
    <w:rsid w:val="00DD096E"/>
    <w:rsid w:val="00DD0B02"/>
    <w:rsid w:val="00DD0E42"/>
    <w:rsid w:val="00DD1238"/>
    <w:rsid w:val="00DD1543"/>
    <w:rsid w:val="00DD1747"/>
    <w:rsid w:val="00DD17A4"/>
    <w:rsid w:val="00DD1C5B"/>
    <w:rsid w:val="00DD1ED8"/>
    <w:rsid w:val="00DD1F94"/>
    <w:rsid w:val="00DD25DC"/>
    <w:rsid w:val="00DD25EB"/>
    <w:rsid w:val="00DD2761"/>
    <w:rsid w:val="00DD27E4"/>
    <w:rsid w:val="00DD296E"/>
    <w:rsid w:val="00DD2C66"/>
    <w:rsid w:val="00DD2ED9"/>
    <w:rsid w:val="00DD309A"/>
    <w:rsid w:val="00DD3563"/>
    <w:rsid w:val="00DD3805"/>
    <w:rsid w:val="00DD396D"/>
    <w:rsid w:val="00DD3C20"/>
    <w:rsid w:val="00DD3C79"/>
    <w:rsid w:val="00DD403F"/>
    <w:rsid w:val="00DD4A1D"/>
    <w:rsid w:val="00DD50FB"/>
    <w:rsid w:val="00DD5276"/>
    <w:rsid w:val="00DD59D0"/>
    <w:rsid w:val="00DD5BF4"/>
    <w:rsid w:val="00DD65A5"/>
    <w:rsid w:val="00DD6827"/>
    <w:rsid w:val="00DD6F31"/>
    <w:rsid w:val="00DD7BE8"/>
    <w:rsid w:val="00DD7F9A"/>
    <w:rsid w:val="00DE036C"/>
    <w:rsid w:val="00DE09FF"/>
    <w:rsid w:val="00DE114B"/>
    <w:rsid w:val="00DE1365"/>
    <w:rsid w:val="00DE14F3"/>
    <w:rsid w:val="00DE16AF"/>
    <w:rsid w:val="00DE1A56"/>
    <w:rsid w:val="00DE1C42"/>
    <w:rsid w:val="00DE1CC4"/>
    <w:rsid w:val="00DE1D6F"/>
    <w:rsid w:val="00DE1DD9"/>
    <w:rsid w:val="00DE227C"/>
    <w:rsid w:val="00DE29EA"/>
    <w:rsid w:val="00DE2EBF"/>
    <w:rsid w:val="00DE306F"/>
    <w:rsid w:val="00DE3083"/>
    <w:rsid w:val="00DE3297"/>
    <w:rsid w:val="00DE3DC8"/>
    <w:rsid w:val="00DE4037"/>
    <w:rsid w:val="00DE4103"/>
    <w:rsid w:val="00DE43BF"/>
    <w:rsid w:val="00DE46B0"/>
    <w:rsid w:val="00DE46B4"/>
    <w:rsid w:val="00DE473A"/>
    <w:rsid w:val="00DE4C20"/>
    <w:rsid w:val="00DE4DAE"/>
    <w:rsid w:val="00DE66A2"/>
    <w:rsid w:val="00DE66A7"/>
    <w:rsid w:val="00DE66AB"/>
    <w:rsid w:val="00DE6766"/>
    <w:rsid w:val="00DE6A84"/>
    <w:rsid w:val="00DE6D34"/>
    <w:rsid w:val="00DE72DA"/>
    <w:rsid w:val="00DE7714"/>
    <w:rsid w:val="00DE7826"/>
    <w:rsid w:val="00DE7A42"/>
    <w:rsid w:val="00DE7A59"/>
    <w:rsid w:val="00DE7B2B"/>
    <w:rsid w:val="00DE7B2D"/>
    <w:rsid w:val="00DE7E09"/>
    <w:rsid w:val="00DE7E21"/>
    <w:rsid w:val="00DF0289"/>
    <w:rsid w:val="00DF05AD"/>
    <w:rsid w:val="00DF0643"/>
    <w:rsid w:val="00DF08CC"/>
    <w:rsid w:val="00DF0BAD"/>
    <w:rsid w:val="00DF1527"/>
    <w:rsid w:val="00DF1628"/>
    <w:rsid w:val="00DF18B9"/>
    <w:rsid w:val="00DF1CC5"/>
    <w:rsid w:val="00DF1D7B"/>
    <w:rsid w:val="00DF1F8E"/>
    <w:rsid w:val="00DF2604"/>
    <w:rsid w:val="00DF26C6"/>
    <w:rsid w:val="00DF2986"/>
    <w:rsid w:val="00DF29C4"/>
    <w:rsid w:val="00DF2F89"/>
    <w:rsid w:val="00DF33CB"/>
    <w:rsid w:val="00DF33F2"/>
    <w:rsid w:val="00DF3404"/>
    <w:rsid w:val="00DF3602"/>
    <w:rsid w:val="00DF361B"/>
    <w:rsid w:val="00DF3A40"/>
    <w:rsid w:val="00DF3B0A"/>
    <w:rsid w:val="00DF41E9"/>
    <w:rsid w:val="00DF43D8"/>
    <w:rsid w:val="00DF477E"/>
    <w:rsid w:val="00DF48EC"/>
    <w:rsid w:val="00DF4A29"/>
    <w:rsid w:val="00DF4E4E"/>
    <w:rsid w:val="00DF4E78"/>
    <w:rsid w:val="00DF506F"/>
    <w:rsid w:val="00DF5425"/>
    <w:rsid w:val="00DF542F"/>
    <w:rsid w:val="00DF5492"/>
    <w:rsid w:val="00DF5AA2"/>
    <w:rsid w:val="00DF5AD8"/>
    <w:rsid w:val="00DF606B"/>
    <w:rsid w:val="00DF611A"/>
    <w:rsid w:val="00DF6160"/>
    <w:rsid w:val="00DF6289"/>
    <w:rsid w:val="00DF649E"/>
    <w:rsid w:val="00DF65A1"/>
    <w:rsid w:val="00DF69D3"/>
    <w:rsid w:val="00DF6A6F"/>
    <w:rsid w:val="00DF6D82"/>
    <w:rsid w:val="00DF6F89"/>
    <w:rsid w:val="00DF7028"/>
    <w:rsid w:val="00DF70DA"/>
    <w:rsid w:val="00DF7AFE"/>
    <w:rsid w:val="00DF7C81"/>
    <w:rsid w:val="00DF7DEC"/>
    <w:rsid w:val="00E00058"/>
    <w:rsid w:val="00E0012A"/>
    <w:rsid w:val="00E001DD"/>
    <w:rsid w:val="00E006B9"/>
    <w:rsid w:val="00E006E4"/>
    <w:rsid w:val="00E00713"/>
    <w:rsid w:val="00E00BEB"/>
    <w:rsid w:val="00E0128F"/>
    <w:rsid w:val="00E01B0B"/>
    <w:rsid w:val="00E01D82"/>
    <w:rsid w:val="00E02110"/>
    <w:rsid w:val="00E02552"/>
    <w:rsid w:val="00E025A5"/>
    <w:rsid w:val="00E026E2"/>
    <w:rsid w:val="00E02BA1"/>
    <w:rsid w:val="00E02DF6"/>
    <w:rsid w:val="00E031D5"/>
    <w:rsid w:val="00E034FC"/>
    <w:rsid w:val="00E03C0F"/>
    <w:rsid w:val="00E03D04"/>
    <w:rsid w:val="00E03E0F"/>
    <w:rsid w:val="00E03EC9"/>
    <w:rsid w:val="00E04168"/>
    <w:rsid w:val="00E04480"/>
    <w:rsid w:val="00E045D5"/>
    <w:rsid w:val="00E049BA"/>
    <w:rsid w:val="00E04D64"/>
    <w:rsid w:val="00E04E41"/>
    <w:rsid w:val="00E0522A"/>
    <w:rsid w:val="00E056D3"/>
    <w:rsid w:val="00E05850"/>
    <w:rsid w:val="00E05964"/>
    <w:rsid w:val="00E06129"/>
    <w:rsid w:val="00E06494"/>
    <w:rsid w:val="00E06B9E"/>
    <w:rsid w:val="00E06FC3"/>
    <w:rsid w:val="00E07224"/>
    <w:rsid w:val="00E07400"/>
    <w:rsid w:val="00E07AE1"/>
    <w:rsid w:val="00E07BCA"/>
    <w:rsid w:val="00E07C71"/>
    <w:rsid w:val="00E07FE3"/>
    <w:rsid w:val="00E10323"/>
    <w:rsid w:val="00E1032B"/>
    <w:rsid w:val="00E106AE"/>
    <w:rsid w:val="00E106EE"/>
    <w:rsid w:val="00E107C7"/>
    <w:rsid w:val="00E10824"/>
    <w:rsid w:val="00E10957"/>
    <w:rsid w:val="00E10B27"/>
    <w:rsid w:val="00E10DEC"/>
    <w:rsid w:val="00E111BD"/>
    <w:rsid w:val="00E11363"/>
    <w:rsid w:val="00E11E0C"/>
    <w:rsid w:val="00E11E5C"/>
    <w:rsid w:val="00E12E33"/>
    <w:rsid w:val="00E13D47"/>
    <w:rsid w:val="00E13DB8"/>
    <w:rsid w:val="00E13FF8"/>
    <w:rsid w:val="00E142F1"/>
    <w:rsid w:val="00E1441B"/>
    <w:rsid w:val="00E148EA"/>
    <w:rsid w:val="00E14A22"/>
    <w:rsid w:val="00E14C61"/>
    <w:rsid w:val="00E14D1F"/>
    <w:rsid w:val="00E151E2"/>
    <w:rsid w:val="00E1547A"/>
    <w:rsid w:val="00E154FA"/>
    <w:rsid w:val="00E155ED"/>
    <w:rsid w:val="00E15919"/>
    <w:rsid w:val="00E161D9"/>
    <w:rsid w:val="00E162C2"/>
    <w:rsid w:val="00E162E6"/>
    <w:rsid w:val="00E166D3"/>
    <w:rsid w:val="00E1684D"/>
    <w:rsid w:val="00E1688D"/>
    <w:rsid w:val="00E168FE"/>
    <w:rsid w:val="00E169DA"/>
    <w:rsid w:val="00E16DEF"/>
    <w:rsid w:val="00E16E6E"/>
    <w:rsid w:val="00E16F77"/>
    <w:rsid w:val="00E1733C"/>
    <w:rsid w:val="00E17486"/>
    <w:rsid w:val="00E17528"/>
    <w:rsid w:val="00E175D5"/>
    <w:rsid w:val="00E17797"/>
    <w:rsid w:val="00E177EA"/>
    <w:rsid w:val="00E17B9A"/>
    <w:rsid w:val="00E17E17"/>
    <w:rsid w:val="00E202B7"/>
    <w:rsid w:val="00E204CA"/>
    <w:rsid w:val="00E20A39"/>
    <w:rsid w:val="00E214AF"/>
    <w:rsid w:val="00E21BF7"/>
    <w:rsid w:val="00E21EFD"/>
    <w:rsid w:val="00E223B8"/>
    <w:rsid w:val="00E229F8"/>
    <w:rsid w:val="00E22A76"/>
    <w:rsid w:val="00E22D80"/>
    <w:rsid w:val="00E23026"/>
    <w:rsid w:val="00E2364D"/>
    <w:rsid w:val="00E23770"/>
    <w:rsid w:val="00E23B81"/>
    <w:rsid w:val="00E23BB1"/>
    <w:rsid w:val="00E23CF3"/>
    <w:rsid w:val="00E23ED7"/>
    <w:rsid w:val="00E240DA"/>
    <w:rsid w:val="00E24BF6"/>
    <w:rsid w:val="00E24D64"/>
    <w:rsid w:val="00E257CF"/>
    <w:rsid w:val="00E25C9E"/>
    <w:rsid w:val="00E262D1"/>
    <w:rsid w:val="00E263CD"/>
    <w:rsid w:val="00E26A1E"/>
    <w:rsid w:val="00E26C06"/>
    <w:rsid w:val="00E27326"/>
    <w:rsid w:val="00E2776B"/>
    <w:rsid w:val="00E27D65"/>
    <w:rsid w:val="00E300C6"/>
    <w:rsid w:val="00E302A7"/>
    <w:rsid w:val="00E303F2"/>
    <w:rsid w:val="00E30477"/>
    <w:rsid w:val="00E306BA"/>
    <w:rsid w:val="00E30A7D"/>
    <w:rsid w:val="00E30C48"/>
    <w:rsid w:val="00E30F51"/>
    <w:rsid w:val="00E31A79"/>
    <w:rsid w:val="00E31E67"/>
    <w:rsid w:val="00E3200C"/>
    <w:rsid w:val="00E321B8"/>
    <w:rsid w:val="00E3272A"/>
    <w:rsid w:val="00E32AFC"/>
    <w:rsid w:val="00E32B11"/>
    <w:rsid w:val="00E32DC8"/>
    <w:rsid w:val="00E3344E"/>
    <w:rsid w:val="00E334C9"/>
    <w:rsid w:val="00E336E6"/>
    <w:rsid w:val="00E3374F"/>
    <w:rsid w:val="00E3380D"/>
    <w:rsid w:val="00E3465C"/>
    <w:rsid w:val="00E3491C"/>
    <w:rsid w:val="00E349CF"/>
    <w:rsid w:val="00E34C87"/>
    <w:rsid w:val="00E3543A"/>
    <w:rsid w:val="00E35901"/>
    <w:rsid w:val="00E359AD"/>
    <w:rsid w:val="00E364C8"/>
    <w:rsid w:val="00E364D2"/>
    <w:rsid w:val="00E364F9"/>
    <w:rsid w:val="00E365CB"/>
    <w:rsid w:val="00E369BC"/>
    <w:rsid w:val="00E36A2D"/>
    <w:rsid w:val="00E36CBF"/>
    <w:rsid w:val="00E36CF6"/>
    <w:rsid w:val="00E37128"/>
    <w:rsid w:val="00E3793E"/>
    <w:rsid w:val="00E37A4F"/>
    <w:rsid w:val="00E37D3C"/>
    <w:rsid w:val="00E37EE2"/>
    <w:rsid w:val="00E3B5C0"/>
    <w:rsid w:val="00E401CD"/>
    <w:rsid w:val="00E40871"/>
    <w:rsid w:val="00E4154C"/>
    <w:rsid w:val="00E41560"/>
    <w:rsid w:val="00E42691"/>
    <w:rsid w:val="00E426A7"/>
    <w:rsid w:val="00E4274D"/>
    <w:rsid w:val="00E42800"/>
    <w:rsid w:val="00E42891"/>
    <w:rsid w:val="00E42A35"/>
    <w:rsid w:val="00E432A1"/>
    <w:rsid w:val="00E434A6"/>
    <w:rsid w:val="00E43A17"/>
    <w:rsid w:val="00E43B45"/>
    <w:rsid w:val="00E43FA3"/>
    <w:rsid w:val="00E44265"/>
    <w:rsid w:val="00E4427E"/>
    <w:rsid w:val="00E446F6"/>
    <w:rsid w:val="00E4499F"/>
    <w:rsid w:val="00E44F5C"/>
    <w:rsid w:val="00E45409"/>
    <w:rsid w:val="00E45A27"/>
    <w:rsid w:val="00E45DFF"/>
    <w:rsid w:val="00E463B3"/>
    <w:rsid w:val="00E4671B"/>
    <w:rsid w:val="00E46D52"/>
    <w:rsid w:val="00E47130"/>
    <w:rsid w:val="00E4762C"/>
    <w:rsid w:val="00E47972"/>
    <w:rsid w:val="00E507A8"/>
    <w:rsid w:val="00E50A34"/>
    <w:rsid w:val="00E50A37"/>
    <w:rsid w:val="00E50E79"/>
    <w:rsid w:val="00E50E95"/>
    <w:rsid w:val="00E50E9D"/>
    <w:rsid w:val="00E51370"/>
    <w:rsid w:val="00E517C6"/>
    <w:rsid w:val="00E517F6"/>
    <w:rsid w:val="00E51A63"/>
    <w:rsid w:val="00E51BC8"/>
    <w:rsid w:val="00E5201A"/>
    <w:rsid w:val="00E522FB"/>
    <w:rsid w:val="00E5283D"/>
    <w:rsid w:val="00E52BA2"/>
    <w:rsid w:val="00E52C38"/>
    <w:rsid w:val="00E52F46"/>
    <w:rsid w:val="00E532D5"/>
    <w:rsid w:val="00E53328"/>
    <w:rsid w:val="00E536C8"/>
    <w:rsid w:val="00E53A74"/>
    <w:rsid w:val="00E53B2F"/>
    <w:rsid w:val="00E542FB"/>
    <w:rsid w:val="00E54595"/>
    <w:rsid w:val="00E546E5"/>
    <w:rsid w:val="00E54A62"/>
    <w:rsid w:val="00E54B33"/>
    <w:rsid w:val="00E54C41"/>
    <w:rsid w:val="00E54D91"/>
    <w:rsid w:val="00E552CB"/>
    <w:rsid w:val="00E5531A"/>
    <w:rsid w:val="00E554DF"/>
    <w:rsid w:val="00E555B1"/>
    <w:rsid w:val="00E556AD"/>
    <w:rsid w:val="00E5602B"/>
    <w:rsid w:val="00E5640C"/>
    <w:rsid w:val="00E56A55"/>
    <w:rsid w:val="00E56ACB"/>
    <w:rsid w:val="00E56AF7"/>
    <w:rsid w:val="00E56BF7"/>
    <w:rsid w:val="00E56D72"/>
    <w:rsid w:val="00E56FCF"/>
    <w:rsid w:val="00E571D7"/>
    <w:rsid w:val="00E57679"/>
    <w:rsid w:val="00E57852"/>
    <w:rsid w:val="00E57E83"/>
    <w:rsid w:val="00E605DA"/>
    <w:rsid w:val="00E60C1C"/>
    <w:rsid w:val="00E611BC"/>
    <w:rsid w:val="00E619EB"/>
    <w:rsid w:val="00E61BFC"/>
    <w:rsid w:val="00E6223E"/>
    <w:rsid w:val="00E6235F"/>
    <w:rsid w:val="00E62CBE"/>
    <w:rsid w:val="00E62E23"/>
    <w:rsid w:val="00E62F0B"/>
    <w:rsid w:val="00E6344D"/>
    <w:rsid w:val="00E63610"/>
    <w:rsid w:val="00E63862"/>
    <w:rsid w:val="00E6386F"/>
    <w:rsid w:val="00E63C84"/>
    <w:rsid w:val="00E6404A"/>
    <w:rsid w:val="00E6408F"/>
    <w:rsid w:val="00E64502"/>
    <w:rsid w:val="00E64840"/>
    <w:rsid w:val="00E64843"/>
    <w:rsid w:val="00E64CF4"/>
    <w:rsid w:val="00E64D14"/>
    <w:rsid w:val="00E65138"/>
    <w:rsid w:val="00E65192"/>
    <w:rsid w:val="00E654F9"/>
    <w:rsid w:val="00E65A74"/>
    <w:rsid w:val="00E65CB6"/>
    <w:rsid w:val="00E662A9"/>
    <w:rsid w:val="00E66489"/>
    <w:rsid w:val="00E664F0"/>
    <w:rsid w:val="00E664F4"/>
    <w:rsid w:val="00E6681A"/>
    <w:rsid w:val="00E66860"/>
    <w:rsid w:val="00E668DE"/>
    <w:rsid w:val="00E669A8"/>
    <w:rsid w:val="00E66E4C"/>
    <w:rsid w:val="00E67313"/>
    <w:rsid w:val="00E67336"/>
    <w:rsid w:val="00E673AA"/>
    <w:rsid w:val="00E6785D"/>
    <w:rsid w:val="00E67DE2"/>
    <w:rsid w:val="00E67E5B"/>
    <w:rsid w:val="00E67F68"/>
    <w:rsid w:val="00E70119"/>
    <w:rsid w:val="00E70C3A"/>
    <w:rsid w:val="00E70EC8"/>
    <w:rsid w:val="00E70FB1"/>
    <w:rsid w:val="00E70FC8"/>
    <w:rsid w:val="00E71025"/>
    <w:rsid w:val="00E710CB"/>
    <w:rsid w:val="00E713A3"/>
    <w:rsid w:val="00E716C7"/>
    <w:rsid w:val="00E7184F"/>
    <w:rsid w:val="00E71C06"/>
    <w:rsid w:val="00E7207B"/>
    <w:rsid w:val="00E72190"/>
    <w:rsid w:val="00E7294C"/>
    <w:rsid w:val="00E72ACE"/>
    <w:rsid w:val="00E72D06"/>
    <w:rsid w:val="00E732BA"/>
    <w:rsid w:val="00E73CE1"/>
    <w:rsid w:val="00E73D2C"/>
    <w:rsid w:val="00E74731"/>
    <w:rsid w:val="00E751A7"/>
    <w:rsid w:val="00E752B8"/>
    <w:rsid w:val="00E753EB"/>
    <w:rsid w:val="00E759B7"/>
    <w:rsid w:val="00E75A90"/>
    <w:rsid w:val="00E75DD1"/>
    <w:rsid w:val="00E75E09"/>
    <w:rsid w:val="00E766B4"/>
    <w:rsid w:val="00E7680C"/>
    <w:rsid w:val="00E76C49"/>
    <w:rsid w:val="00E774B9"/>
    <w:rsid w:val="00E77671"/>
    <w:rsid w:val="00E778CB"/>
    <w:rsid w:val="00E801B3"/>
    <w:rsid w:val="00E803F8"/>
    <w:rsid w:val="00E805A5"/>
    <w:rsid w:val="00E805E7"/>
    <w:rsid w:val="00E805FF"/>
    <w:rsid w:val="00E8086C"/>
    <w:rsid w:val="00E80AFF"/>
    <w:rsid w:val="00E80D63"/>
    <w:rsid w:val="00E8104F"/>
    <w:rsid w:val="00E816C6"/>
    <w:rsid w:val="00E81AC9"/>
    <w:rsid w:val="00E81DC8"/>
    <w:rsid w:val="00E82140"/>
    <w:rsid w:val="00E8246C"/>
    <w:rsid w:val="00E829AA"/>
    <w:rsid w:val="00E82B21"/>
    <w:rsid w:val="00E82D81"/>
    <w:rsid w:val="00E82E7E"/>
    <w:rsid w:val="00E832E9"/>
    <w:rsid w:val="00E83524"/>
    <w:rsid w:val="00E8392A"/>
    <w:rsid w:val="00E83C96"/>
    <w:rsid w:val="00E841B3"/>
    <w:rsid w:val="00E84236"/>
    <w:rsid w:val="00E84744"/>
    <w:rsid w:val="00E84852"/>
    <w:rsid w:val="00E84A1B"/>
    <w:rsid w:val="00E8532E"/>
    <w:rsid w:val="00E85368"/>
    <w:rsid w:val="00E858AF"/>
    <w:rsid w:val="00E85C40"/>
    <w:rsid w:val="00E85C72"/>
    <w:rsid w:val="00E85E4B"/>
    <w:rsid w:val="00E85E68"/>
    <w:rsid w:val="00E8607A"/>
    <w:rsid w:val="00E864D3"/>
    <w:rsid w:val="00E867C7"/>
    <w:rsid w:val="00E86D01"/>
    <w:rsid w:val="00E86F1D"/>
    <w:rsid w:val="00E87396"/>
    <w:rsid w:val="00E87562"/>
    <w:rsid w:val="00E87658"/>
    <w:rsid w:val="00E87700"/>
    <w:rsid w:val="00E87720"/>
    <w:rsid w:val="00E87850"/>
    <w:rsid w:val="00E8799F"/>
    <w:rsid w:val="00E879F3"/>
    <w:rsid w:val="00E9003D"/>
    <w:rsid w:val="00E900C9"/>
    <w:rsid w:val="00E904CF"/>
    <w:rsid w:val="00E90663"/>
    <w:rsid w:val="00E906EC"/>
    <w:rsid w:val="00E907C1"/>
    <w:rsid w:val="00E90914"/>
    <w:rsid w:val="00E915AF"/>
    <w:rsid w:val="00E9167C"/>
    <w:rsid w:val="00E917C9"/>
    <w:rsid w:val="00E91818"/>
    <w:rsid w:val="00E918B0"/>
    <w:rsid w:val="00E91CD4"/>
    <w:rsid w:val="00E91F62"/>
    <w:rsid w:val="00E924C7"/>
    <w:rsid w:val="00E929B2"/>
    <w:rsid w:val="00E92A77"/>
    <w:rsid w:val="00E92A7C"/>
    <w:rsid w:val="00E92C3A"/>
    <w:rsid w:val="00E93323"/>
    <w:rsid w:val="00E93552"/>
    <w:rsid w:val="00E93586"/>
    <w:rsid w:val="00E93A12"/>
    <w:rsid w:val="00E93AF9"/>
    <w:rsid w:val="00E93BDE"/>
    <w:rsid w:val="00E93CB4"/>
    <w:rsid w:val="00E941A0"/>
    <w:rsid w:val="00E941AF"/>
    <w:rsid w:val="00E94379"/>
    <w:rsid w:val="00E944A0"/>
    <w:rsid w:val="00E94A0F"/>
    <w:rsid w:val="00E9510D"/>
    <w:rsid w:val="00E9516C"/>
    <w:rsid w:val="00E951D0"/>
    <w:rsid w:val="00E954B3"/>
    <w:rsid w:val="00E956A4"/>
    <w:rsid w:val="00E96190"/>
    <w:rsid w:val="00E9632E"/>
    <w:rsid w:val="00E96A80"/>
    <w:rsid w:val="00E96FFD"/>
    <w:rsid w:val="00E972CB"/>
    <w:rsid w:val="00E9748D"/>
    <w:rsid w:val="00E97902"/>
    <w:rsid w:val="00E97F9A"/>
    <w:rsid w:val="00EA0BA5"/>
    <w:rsid w:val="00EA0E02"/>
    <w:rsid w:val="00EA0FAD"/>
    <w:rsid w:val="00EA10DB"/>
    <w:rsid w:val="00EA12AF"/>
    <w:rsid w:val="00EA16E2"/>
    <w:rsid w:val="00EA1778"/>
    <w:rsid w:val="00EA1822"/>
    <w:rsid w:val="00EA1C1B"/>
    <w:rsid w:val="00EA1F8C"/>
    <w:rsid w:val="00EA205B"/>
    <w:rsid w:val="00EA21C2"/>
    <w:rsid w:val="00EA2658"/>
    <w:rsid w:val="00EA28DF"/>
    <w:rsid w:val="00EA2A4C"/>
    <w:rsid w:val="00EA2C99"/>
    <w:rsid w:val="00EA30C8"/>
    <w:rsid w:val="00EA30FE"/>
    <w:rsid w:val="00EA3AA2"/>
    <w:rsid w:val="00EA3B29"/>
    <w:rsid w:val="00EA3BDA"/>
    <w:rsid w:val="00EA3D59"/>
    <w:rsid w:val="00EA3FD9"/>
    <w:rsid w:val="00EA4098"/>
    <w:rsid w:val="00EA4752"/>
    <w:rsid w:val="00EA4BCA"/>
    <w:rsid w:val="00EA4D78"/>
    <w:rsid w:val="00EA4FD2"/>
    <w:rsid w:val="00EA50F0"/>
    <w:rsid w:val="00EA51FC"/>
    <w:rsid w:val="00EA5203"/>
    <w:rsid w:val="00EA535B"/>
    <w:rsid w:val="00EA5994"/>
    <w:rsid w:val="00EA59A9"/>
    <w:rsid w:val="00EA5CA0"/>
    <w:rsid w:val="00EA61D8"/>
    <w:rsid w:val="00EA6257"/>
    <w:rsid w:val="00EA6260"/>
    <w:rsid w:val="00EA65EE"/>
    <w:rsid w:val="00EA6684"/>
    <w:rsid w:val="00EA68C1"/>
    <w:rsid w:val="00EA69BE"/>
    <w:rsid w:val="00EA6BE0"/>
    <w:rsid w:val="00EA6DDC"/>
    <w:rsid w:val="00EA6E7E"/>
    <w:rsid w:val="00EA739B"/>
    <w:rsid w:val="00EA752F"/>
    <w:rsid w:val="00EB0044"/>
    <w:rsid w:val="00EB0166"/>
    <w:rsid w:val="00EB0170"/>
    <w:rsid w:val="00EB109A"/>
    <w:rsid w:val="00EB10F6"/>
    <w:rsid w:val="00EB1338"/>
    <w:rsid w:val="00EB19CC"/>
    <w:rsid w:val="00EB19F9"/>
    <w:rsid w:val="00EB1B49"/>
    <w:rsid w:val="00EB1BD7"/>
    <w:rsid w:val="00EB1D95"/>
    <w:rsid w:val="00EB1DA8"/>
    <w:rsid w:val="00EB2048"/>
    <w:rsid w:val="00EB2115"/>
    <w:rsid w:val="00EB2319"/>
    <w:rsid w:val="00EB23A5"/>
    <w:rsid w:val="00EB2812"/>
    <w:rsid w:val="00EB2D33"/>
    <w:rsid w:val="00EB2DF9"/>
    <w:rsid w:val="00EB3217"/>
    <w:rsid w:val="00EB35FF"/>
    <w:rsid w:val="00EB3714"/>
    <w:rsid w:val="00EB371B"/>
    <w:rsid w:val="00EB377C"/>
    <w:rsid w:val="00EB3B8C"/>
    <w:rsid w:val="00EB3D10"/>
    <w:rsid w:val="00EB3E13"/>
    <w:rsid w:val="00EB3E8D"/>
    <w:rsid w:val="00EB428D"/>
    <w:rsid w:val="00EB42E3"/>
    <w:rsid w:val="00EB43F1"/>
    <w:rsid w:val="00EB44B5"/>
    <w:rsid w:val="00EB4579"/>
    <w:rsid w:val="00EB4647"/>
    <w:rsid w:val="00EB4686"/>
    <w:rsid w:val="00EB47E3"/>
    <w:rsid w:val="00EB4A1F"/>
    <w:rsid w:val="00EB4A6A"/>
    <w:rsid w:val="00EB4C27"/>
    <w:rsid w:val="00EB51B0"/>
    <w:rsid w:val="00EB551B"/>
    <w:rsid w:val="00EB56B9"/>
    <w:rsid w:val="00EB56F2"/>
    <w:rsid w:val="00EB583B"/>
    <w:rsid w:val="00EB5933"/>
    <w:rsid w:val="00EB5C9C"/>
    <w:rsid w:val="00EB671F"/>
    <w:rsid w:val="00EB672D"/>
    <w:rsid w:val="00EB71A9"/>
    <w:rsid w:val="00EB720F"/>
    <w:rsid w:val="00EB7285"/>
    <w:rsid w:val="00EB7593"/>
    <w:rsid w:val="00EB7851"/>
    <w:rsid w:val="00EB7C0D"/>
    <w:rsid w:val="00EB7C4F"/>
    <w:rsid w:val="00EB7F7F"/>
    <w:rsid w:val="00EB7F95"/>
    <w:rsid w:val="00EC068C"/>
    <w:rsid w:val="00EC136B"/>
    <w:rsid w:val="00EC13DD"/>
    <w:rsid w:val="00EC153A"/>
    <w:rsid w:val="00EC1560"/>
    <w:rsid w:val="00EC17A5"/>
    <w:rsid w:val="00EC2067"/>
    <w:rsid w:val="00EC2223"/>
    <w:rsid w:val="00EC2232"/>
    <w:rsid w:val="00EC2A4E"/>
    <w:rsid w:val="00EC2A89"/>
    <w:rsid w:val="00EC323C"/>
    <w:rsid w:val="00EC3643"/>
    <w:rsid w:val="00EC386A"/>
    <w:rsid w:val="00EC3876"/>
    <w:rsid w:val="00EC3E9B"/>
    <w:rsid w:val="00EC3EDD"/>
    <w:rsid w:val="00EC4079"/>
    <w:rsid w:val="00EC41A8"/>
    <w:rsid w:val="00EC43C1"/>
    <w:rsid w:val="00EC43E8"/>
    <w:rsid w:val="00EC4562"/>
    <w:rsid w:val="00EC4605"/>
    <w:rsid w:val="00EC4C16"/>
    <w:rsid w:val="00EC4E24"/>
    <w:rsid w:val="00EC5210"/>
    <w:rsid w:val="00EC53E2"/>
    <w:rsid w:val="00EC54C0"/>
    <w:rsid w:val="00EC54D0"/>
    <w:rsid w:val="00EC5651"/>
    <w:rsid w:val="00EC56A3"/>
    <w:rsid w:val="00EC5AF1"/>
    <w:rsid w:val="00EC5E37"/>
    <w:rsid w:val="00EC6096"/>
    <w:rsid w:val="00EC60D1"/>
    <w:rsid w:val="00EC671F"/>
    <w:rsid w:val="00EC6CC7"/>
    <w:rsid w:val="00EC6D26"/>
    <w:rsid w:val="00EC6E3C"/>
    <w:rsid w:val="00EC6E8E"/>
    <w:rsid w:val="00EC6FE2"/>
    <w:rsid w:val="00EC7073"/>
    <w:rsid w:val="00EC71D9"/>
    <w:rsid w:val="00EC773E"/>
    <w:rsid w:val="00EC7C59"/>
    <w:rsid w:val="00EC7D0B"/>
    <w:rsid w:val="00EC7F94"/>
    <w:rsid w:val="00ED0233"/>
    <w:rsid w:val="00ED0262"/>
    <w:rsid w:val="00ED0658"/>
    <w:rsid w:val="00ED0659"/>
    <w:rsid w:val="00ED1009"/>
    <w:rsid w:val="00ED1104"/>
    <w:rsid w:val="00ED11D8"/>
    <w:rsid w:val="00ED140D"/>
    <w:rsid w:val="00ED1417"/>
    <w:rsid w:val="00ED19C4"/>
    <w:rsid w:val="00ED1ABA"/>
    <w:rsid w:val="00ED1E41"/>
    <w:rsid w:val="00ED211E"/>
    <w:rsid w:val="00ED21C8"/>
    <w:rsid w:val="00ED225A"/>
    <w:rsid w:val="00ED22C4"/>
    <w:rsid w:val="00ED27AE"/>
    <w:rsid w:val="00ED2910"/>
    <w:rsid w:val="00ED29BF"/>
    <w:rsid w:val="00ED2BC8"/>
    <w:rsid w:val="00ED2CA7"/>
    <w:rsid w:val="00ED3343"/>
    <w:rsid w:val="00ED3A6C"/>
    <w:rsid w:val="00ED3BAA"/>
    <w:rsid w:val="00ED3E99"/>
    <w:rsid w:val="00ED432E"/>
    <w:rsid w:val="00ED47D6"/>
    <w:rsid w:val="00ED4D77"/>
    <w:rsid w:val="00ED5263"/>
    <w:rsid w:val="00ED5700"/>
    <w:rsid w:val="00ED5BAE"/>
    <w:rsid w:val="00ED5DBC"/>
    <w:rsid w:val="00ED6D41"/>
    <w:rsid w:val="00ED736F"/>
    <w:rsid w:val="00ED7F12"/>
    <w:rsid w:val="00EE02A0"/>
    <w:rsid w:val="00EE030C"/>
    <w:rsid w:val="00EE0646"/>
    <w:rsid w:val="00EE0B86"/>
    <w:rsid w:val="00EE0BD0"/>
    <w:rsid w:val="00EE10D2"/>
    <w:rsid w:val="00EE15B3"/>
    <w:rsid w:val="00EE2387"/>
    <w:rsid w:val="00EE2697"/>
    <w:rsid w:val="00EE2714"/>
    <w:rsid w:val="00EE280C"/>
    <w:rsid w:val="00EE2818"/>
    <w:rsid w:val="00EE2940"/>
    <w:rsid w:val="00EE2FF7"/>
    <w:rsid w:val="00EE36A9"/>
    <w:rsid w:val="00EE3E44"/>
    <w:rsid w:val="00EE42E6"/>
    <w:rsid w:val="00EE431C"/>
    <w:rsid w:val="00EE439A"/>
    <w:rsid w:val="00EE4936"/>
    <w:rsid w:val="00EE4A25"/>
    <w:rsid w:val="00EE4A44"/>
    <w:rsid w:val="00EE4CEA"/>
    <w:rsid w:val="00EE4EC5"/>
    <w:rsid w:val="00EE5025"/>
    <w:rsid w:val="00EE5225"/>
    <w:rsid w:val="00EE5D91"/>
    <w:rsid w:val="00EE5E4B"/>
    <w:rsid w:val="00EE618B"/>
    <w:rsid w:val="00EE62A9"/>
    <w:rsid w:val="00EE64A8"/>
    <w:rsid w:val="00EE6CCA"/>
    <w:rsid w:val="00EE73CE"/>
    <w:rsid w:val="00EE7698"/>
    <w:rsid w:val="00EE773A"/>
    <w:rsid w:val="00EE78E2"/>
    <w:rsid w:val="00EE7A0B"/>
    <w:rsid w:val="00EE7B53"/>
    <w:rsid w:val="00EE7FC5"/>
    <w:rsid w:val="00EF0327"/>
    <w:rsid w:val="00EF06EF"/>
    <w:rsid w:val="00EF092A"/>
    <w:rsid w:val="00EF0A4E"/>
    <w:rsid w:val="00EF0B74"/>
    <w:rsid w:val="00EF0BFC"/>
    <w:rsid w:val="00EF12AA"/>
    <w:rsid w:val="00EF15A5"/>
    <w:rsid w:val="00EF189F"/>
    <w:rsid w:val="00EF19F0"/>
    <w:rsid w:val="00EF1A59"/>
    <w:rsid w:val="00EF1BB2"/>
    <w:rsid w:val="00EF1D6A"/>
    <w:rsid w:val="00EF1EED"/>
    <w:rsid w:val="00EF2B88"/>
    <w:rsid w:val="00EF2C18"/>
    <w:rsid w:val="00EF3102"/>
    <w:rsid w:val="00EF3712"/>
    <w:rsid w:val="00EF38BD"/>
    <w:rsid w:val="00EF3FAD"/>
    <w:rsid w:val="00EF4075"/>
    <w:rsid w:val="00EF4336"/>
    <w:rsid w:val="00EF447D"/>
    <w:rsid w:val="00EF49A7"/>
    <w:rsid w:val="00EF4AF5"/>
    <w:rsid w:val="00EF4B75"/>
    <w:rsid w:val="00EF4B80"/>
    <w:rsid w:val="00EF4E56"/>
    <w:rsid w:val="00EF5380"/>
    <w:rsid w:val="00EF549A"/>
    <w:rsid w:val="00EF57D9"/>
    <w:rsid w:val="00EF580E"/>
    <w:rsid w:val="00EF59F2"/>
    <w:rsid w:val="00EF5C5F"/>
    <w:rsid w:val="00EF6443"/>
    <w:rsid w:val="00EF657A"/>
    <w:rsid w:val="00EF6AC5"/>
    <w:rsid w:val="00EF6B39"/>
    <w:rsid w:val="00EF713C"/>
    <w:rsid w:val="00EF74A1"/>
    <w:rsid w:val="00EF7583"/>
    <w:rsid w:val="00EF7670"/>
    <w:rsid w:val="00EF7A4C"/>
    <w:rsid w:val="00EF7ACF"/>
    <w:rsid w:val="00EF7CED"/>
    <w:rsid w:val="00EF7EC1"/>
    <w:rsid w:val="00F000DF"/>
    <w:rsid w:val="00F002B6"/>
    <w:rsid w:val="00F0053B"/>
    <w:rsid w:val="00F00730"/>
    <w:rsid w:val="00F00759"/>
    <w:rsid w:val="00F00C06"/>
    <w:rsid w:val="00F01106"/>
    <w:rsid w:val="00F01554"/>
    <w:rsid w:val="00F01779"/>
    <w:rsid w:val="00F01F3D"/>
    <w:rsid w:val="00F0205B"/>
    <w:rsid w:val="00F02189"/>
    <w:rsid w:val="00F023BE"/>
    <w:rsid w:val="00F02BC2"/>
    <w:rsid w:val="00F02CFB"/>
    <w:rsid w:val="00F02DB5"/>
    <w:rsid w:val="00F030A4"/>
    <w:rsid w:val="00F032BA"/>
    <w:rsid w:val="00F033D8"/>
    <w:rsid w:val="00F03573"/>
    <w:rsid w:val="00F03A34"/>
    <w:rsid w:val="00F03EE2"/>
    <w:rsid w:val="00F03FBC"/>
    <w:rsid w:val="00F04121"/>
    <w:rsid w:val="00F04D63"/>
    <w:rsid w:val="00F04EF0"/>
    <w:rsid w:val="00F050BE"/>
    <w:rsid w:val="00F0530D"/>
    <w:rsid w:val="00F056B2"/>
    <w:rsid w:val="00F0580F"/>
    <w:rsid w:val="00F06188"/>
    <w:rsid w:val="00F0670A"/>
    <w:rsid w:val="00F06FBF"/>
    <w:rsid w:val="00F07472"/>
    <w:rsid w:val="00F0770D"/>
    <w:rsid w:val="00F077A9"/>
    <w:rsid w:val="00F07828"/>
    <w:rsid w:val="00F078C6"/>
    <w:rsid w:val="00F07D24"/>
    <w:rsid w:val="00F07DB4"/>
    <w:rsid w:val="00F0D335"/>
    <w:rsid w:val="00F100F2"/>
    <w:rsid w:val="00F1023D"/>
    <w:rsid w:val="00F10477"/>
    <w:rsid w:val="00F105B6"/>
    <w:rsid w:val="00F109BF"/>
    <w:rsid w:val="00F10C78"/>
    <w:rsid w:val="00F10DC9"/>
    <w:rsid w:val="00F1102F"/>
    <w:rsid w:val="00F1146A"/>
    <w:rsid w:val="00F11955"/>
    <w:rsid w:val="00F1195C"/>
    <w:rsid w:val="00F11C13"/>
    <w:rsid w:val="00F12241"/>
    <w:rsid w:val="00F1254A"/>
    <w:rsid w:val="00F12B60"/>
    <w:rsid w:val="00F12D56"/>
    <w:rsid w:val="00F12E2F"/>
    <w:rsid w:val="00F135B6"/>
    <w:rsid w:val="00F13D82"/>
    <w:rsid w:val="00F14246"/>
    <w:rsid w:val="00F1436B"/>
    <w:rsid w:val="00F1441F"/>
    <w:rsid w:val="00F14F7A"/>
    <w:rsid w:val="00F155CB"/>
    <w:rsid w:val="00F159C2"/>
    <w:rsid w:val="00F15B20"/>
    <w:rsid w:val="00F163EB"/>
    <w:rsid w:val="00F167A2"/>
    <w:rsid w:val="00F169B6"/>
    <w:rsid w:val="00F16C0B"/>
    <w:rsid w:val="00F16C87"/>
    <w:rsid w:val="00F16EDB"/>
    <w:rsid w:val="00F17063"/>
    <w:rsid w:val="00F17298"/>
    <w:rsid w:val="00F17448"/>
    <w:rsid w:val="00F2021F"/>
    <w:rsid w:val="00F20469"/>
    <w:rsid w:val="00F214E8"/>
    <w:rsid w:val="00F21617"/>
    <w:rsid w:val="00F216D3"/>
    <w:rsid w:val="00F21729"/>
    <w:rsid w:val="00F21A95"/>
    <w:rsid w:val="00F21F70"/>
    <w:rsid w:val="00F22046"/>
    <w:rsid w:val="00F22207"/>
    <w:rsid w:val="00F22540"/>
    <w:rsid w:val="00F2258C"/>
    <w:rsid w:val="00F22A4C"/>
    <w:rsid w:val="00F235F1"/>
    <w:rsid w:val="00F237C7"/>
    <w:rsid w:val="00F239E4"/>
    <w:rsid w:val="00F239EB"/>
    <w:rsid w:val="00F23CE0"/>
    <w:rsid w:val="00F24057"/>
    <w:rsid w:val="00F24280"/>
    <w:rsid w:val="00F243F5"/>
    <w:rsid w:val="00F2449F"/>
    <w:rsid w:val="00F2460C"/>
    <w:rsid w:val="00F24F4F"/>
    <w:rsid w:val="00F2514F"/>
    <w:rsid w:val="00F25179"/>
    <w:rsid w:val="00F2560E"/>
    <w:rsid w:val="00F259E1"/>
    <w:rsid w:val="00F25A2B"/>
    <w:rsid w:val="00F26381"/>
    <w:rsid w:val="00F267F4"/>
    <w:rsid w:val="00F2688A"/>
    <w:rsid w:val="00F26C33"/>
    <w:rsid w:val="00F2719E"/>
    <w:rsid w:val="00F274F4"/>
    <w:rsid w:val="00F27521"/>
    <w:rsid w:val="00F2754A"/>
    <w:rsid w:val="00F27599"/>
    <w:rsid w:val="00F2792D"/>
    <w:rsid w:val="00F27AED"/>
    <w:rsid w:val="00F27CFE"/>
    <w:rsid w:val="00F27E98"/>
    <w:rsid w:val="00F27EFB"/>
    <w:rsid w:val="00F27F1A"/>
    <w:rsid w:val="00F30076"/>
    <w:rsid w:val="00F3010C"/>
    <w:rsid w:val="00F309C8"/>
    <w:rsid w:val="00F30DEE"/>
    <w:rsid w:val="00F3112A"/>
    <w:rsid w:val="00F312EC"/>
    <w:rsid w:val="00F3169E"/>
    <w:rsid w:val="00F317EA"/>
    <w:rsid w:val="00F31A49"/>
    <w:rsid w:val="00F31DDC"/>
    <w:rsid w:val="00F3208C"/>
    <w:rsid w:val="00F3228B"/>
    <w:rsid w:val="00F32312"/>
    <w:rsid w:val="00F3246C"/>
    <w:rsid w:val="00F32C31"/>
    <w:rsid w:val="00F32DFF"/>
    <w:rsid w:val="00F33321"/>
    <w:rsid w:val="00F333CB"/>
    <w:rsid w:val="00F33B3F"/>
    <w:rsid w:val="00F33BB4"/>
    <w:rsid w:val="00F3416D"/>
    <w:rsid w:val="00F34EB0"/>
    <w:rsid w:val="00F35250"/>
    <w:rsid w:val="00F35576"/>
    <w:rsid w:val="00F357FC"/>
    <w:rsid w:val="00F35AA5"/>
    <w:rsid w:val="00F35DA7"/>
    <w:rsid w:val="00F36209"/>
    <w:rsid w:val="00F36CA9"/>
    <w:rsid w:val="00F36F1D"/>
    <w:rsid w:val="00F37832"/>
    <w:rsid w:val="00F37E62"/>
    <w:rsid w:val="00F37FF3"/>
    <w:rsid w:val="00F404C1"/>
    <w:rsid w:val="00F405C5"/>
    <w:rsid w:val="00F4060B"/>
    <w:rsid w:val="00F40677"/>
    <w:rsid w:val="00F408E1"/>
    <w:rsid w:val="00F40E99"/>
    <w:rsid w:val="00F40EFA"/>
    <w:rsid w:val="00F411D4"/>
    <w:rsid w:val="00F41336"/>
    <w:rsid w:val="00F4163A"/>
    <w:rsid w:val="00F416E2"/>
    <w:rsid w:val="00F417AE"/>
    <w:rsid w:val="00F42959"/>
    <w:rsid w:val="00F42994"/>
    <w:rsid w:val="00F42C93"/>
    <w:rsid w:val="00F42CF6"/>
    <w:rsid w:val="00F43420"/>
    <w:rsid w:val="00F435DD"/>
    <w:rsid w:val="00F438BC"/>
    <w:rsid w:val="00F43910"/>
    <w:rsid w:val="00F43AB0"/>
    <w:rsid w:val="00F43BE7"/>
    <w:rsid w:val="00F44165"/>
    <w:rsid w:val="00F4441B"/>
    <w:rsid w:val="00F444E2"/>
    <w:rsid w:val="00F445D3"/>
    <w:rsid w:val="00F44606"/>
    <w:rsid w:val="00F44950"/>
    <w:rsid w:val="00F44A4F"/>
    <w:rsid w:val="00F452E6"/>
    <w:rsid w:val="00F4530C"/>
    <w:rsid w:val="00F45442"/>
    <w:rsid w:val="00F45512"/>
    <w:rsid w:val="00F458DE"/>
    <w:rsid w:val="00F45D96"/>
    <w:rsid w:val="00F45E7C"/>
    <w:rsid w:val="00F46125"/>
    <w:rsid w:val="00F46222"/>
    <w:rsid w:val="00F462CE"/>
    <w:rsid w:val="00F46414"/>
    <w:rsid w:val="00F467FC"/>
    <w:rsid w:val="00F468C7"/>
    <w:rsid w:val="00F469E8"/>
    <w:rsid w:val="00F46B16"/>
    <w:rsid w:val="00F47208"/>
    <w:rsid w:val="00F475DC"/>
    <w:rsid w:val="00F47B61"/>
    <w:rsid w:val="00F503BB"/>
    <w:rsid w:val="00F50480"/>
    <w:rsid w:val="00F50B99"/>
    <w:rsid w:val="00F50EF4"/>
    <w:rsid w:val="00F50F4A"/>
    <w:rsid w:val="00F51189"/>
    <w:rsid w:val="00F51480"/>
    <w:rsid w:val="00F51C5E"/>
    <w:rsid w:val="00F51F2B"/>
    <w:rsid w:val="00F51F4E"/>
    <w:rsid w:val="00F52295"/>
    <w:rsid w:val="00F52CE7"/>
    <w:rsid w:val="00F531EC"/>
    <w:rsid w:val="00F531F2"/>
    <w:rsid w:val="00F535B6"/>
    <w:rsid w:val="00F53809"/>
    <w:rsid w:val="00F538A8"/>
    <w:rsid w:val="00F538C3"/>
    <w:rsid w:val="00F53A25"/>
    <w:rsid w:val="00F53DC8"/>
    <w:rsid w:val="00F5452B"/>
    <w:rsid w:val="00F5465D"/>
    <w:rsid w:val="00F5467B"/>
    <w:rsid w:val="00F54E98"/>
    <w:rsid w:val="00F555E7"/>
    <w:rsid w:val="00F55865"/>
    <w:rsid w:val="00F558EB"/>
    <w:rsid w:val="00F55D9F"/>
    <w:rsid w:val="00F55E6B"/>
    <w:rsid w:val="00F55E72"/>
    <w:rsid w:val="00F5607C"/>
    <w:rsid w:val="00F56160"/>
    <w:rsid w:val="00F56B32"/>
    <w:rsid w:val="00F56F63"/>
    <w:rsid w:val="00F56F87"/>
    <w:rsid w:val="00F57055"/>
    <w:rsid w:val="00F572EB"/>
    <w:rsid w:val="00F57504"/>
    <w:rsid w:val="00F57A15"/>
    <w:rsid w:val="00F60122"/>
    <w:rsid w:val="00F60826"/>
    <w:rsid w:val="00F60A0D"/>
    <w:rsid w:val="00F60AD1"/>
    <w:rsid w:val="00F60F49"/>
    <w:rsid w:val="00F612F8"/>
    <w:rsid w:val="00F624E6"/>
    <w:rsid w:val="00F62543"/>
    <w:rsid w:val="00F62868"/>
    <w:rsid w:val="00F62F8A"/>
    <w:rsid w:val="00F63372"/>
    <w:rsid w:val="00F633A5"/>
    <w:rsid w:val="00F633EF"/>
    <w:rsid w:val="00F6347B"/>
    <w:rsid w:val="00F6359F"/>
    <w:rsid w:val="00F635B6"/>
    <w:rsid w:val="00F6385C"/>
    <w:rsid w:val="00F6393A"/>
    <w:rsid w:val="00F64A29"/>
    <w:rsid w:val="00F64A82"/>
    <w:rsid w:val="00F64BAC"/>
    <w:rsid w:val="00F65064"/>
    <w:rsid w:val="00F652F4"/>
    <w:rsid w:val="00F65305"/>
    <w:rsid w:val="00F6531D"/>
    <w:rsid w:val="00F65427"/>
    <w:rsid w:val="00F6560C"/>
    <w:rsid w:val="00F6565D"/>
    <w:rsid w:val="00F6566E"/>
    <w:rsid w:val="00F65721"/>
    <w:rsid w:val="00F6576C"/>
    <w:rsid w:val="00F65FFC"/>
    <w:rsid w:val="00F666C7"/>
    <w:rsid w:val="00F666FF"/>
    <w:rsid w:val="00F66EF3"/>
    <w:rsid w:val="00F6720D"/>
    <w:rsid w:val="00F67442"/>
    <w:rsid w:val="00F6751A"/>
    <w:rsid w:val="00F676DA"/>
    <w:rsid w:val="00F67C08"/>
    <w:rsid w:val="00F67D48"/>
    <w:rsid w:val="00F70211"/>
    <w:rsid w:val="00F7028D"/>
    <w:rsid w:val="00F70888"/>
    <w:rsid w:val="00F7091B"/>
    <w:rsid w:val="00F70B6A"/>
    <w:rsid w:val="00F70CB3"/>
    <w:rsid w:val="00F71095"/>
    <w:rsid w:val="00F7205E"/>
    <w:rsid w:val="00F720C8"/>
    <w:rsid w:val="00F7211E"/>
    <w:rsid w:val="00F72268"/>
    <w:rsid w:val="00F72E0E"/>
    <w:rsid w:val="00F730AE"/>
    <w:rsid w:val="00F730CE"/>
    <w:rsid w:val="00F731C6"/>
    <w:rsid w:val="00F73439"/>
    <w:rsid w:val="00F743A0"/>
    <w:rsid w:val="00F747FE"/>
    <w:rsid w:val="00F7513B"/>
    <w:rsid w:val="00F75171"/>
    <w:rsid w:val="00F75392"/>
    <w:rsid w:val="00F75B69"/>
    <w:rsid w:val="00F7636B"/>
    <w:rsid w:val="00F768B1"/>
    <w:rsid w:val="00F769AD"/>
    <w:rsid w:val="00F76A36"/>
    <w:rsid w:val="00F76BC5"/>
    <w:rsid w:val="00F76C82"/>
    <w:rsid w:val="00F76E12"/>
    <w:rsid w:val="00F7717A"/>
    <w:rsid w:val="00F775C1"/>
    <w:rsid w:val="00F77663"/>
    <w:rsid w:val="00F77CD2"/>
    <w:rsid w:val="00F77E12"/>
    <w:rsid w:val="00F8005C"/>
    <w:rsid w:val="00F801A6"/>
    <w:rsid w:val="00F802E5"/>
    <w:rsid w:val="00F80687"/>
    <w:rsid w:val="00F8091F"/>
    <w:rsid w:val="00F80FEC"/>
    <w:rsid w:val="00F81003"/>
    <w:rsid w:val="00F8157B"/>
    <w:rsid w:val="00F8161E"/>
    <w:rsid w:val="00F81C59"/>
    <w:rsid w:val="00F82241"/>
    <w:rsid w:val="00F82719"/>
    <w:rsid w:val="00F82905"/>
    <w:rsid w:val="00F82B10"/>
    <w:rsid w:val="00F82FB9"/>
    <w:rsid w:val="00F830A7"/>
    <w:rsid w:val="00F830EB"/>
    <w:rsid w:val="00F8312A"/>
    <w:rsid w:val="00F8313A"/>
    <w:rsid w:val="00F83182"/>
    <w:rsid w:val="00F832FB"/>
    <w:rsid w:val="00F8368A"/>
    <w:rsid w:val="00F83771"/>
    <w:rsid w:val="00F837A4"/>
    <w:rsid w:val="00F837EF"/>
    <w:rsid w:val="00F83958"/>
    <w:rsid w:val="00F839A9"/>
    <w:rsid w:val="00F83AF6"/>
    <w:rsid w:val="00F84335"/>
    <w:rsid w:val="00F84841"/>
    <w:rsid w:val="00F849C6"/>
    <w:rsid w:val="00F849FA"/>
    <w:rsid w:val="00F84C2C"/>
    <w:rsid w:val="00F84C2E"/>
    <w:rsid w:val="00F84D0C"/>
    <w:rsid w:val="00F84FE5"/>
    <w:rsid w:val="00F850BC"/>
    <w:rsid w:val="00F85136"/>
    <w:rsid w:val="00F851AC"/>
    <w:rsid w:val="00F85503"/>
    <w:rsid w:val="00F8566E"/>
    <w:rsid w:val="00F85C7F"/>
    <w:rsid w:val="00F85E8C"/>
    <w:rsid w:val="00F862A0"/>
    <w:rsid w:val="00F862A2"/>
    <w:rsid w:val="00F86AF7"/>
    <w:rsid w:val="00F86E71"/>
    <w:rsid w:val="00F87082"/>
    <w:rsid w:val="00F8735F"/>
    <w:rsid w:val="00F87651"/>
    <w:rsid w:val="00F87ABA"/>
    <w:rsid w:val="00F87ED1"/>
    <w:rsid w:val="00F90031"/>
    <w:rsid w:val="00F90036"/>
    <w:rsid w:val="00F90321"/>
    <w:rsid w:val="00F903C2"/>
    <w:rsid w:val="00F903DE"/>
    <w:rsid w:val="00F90683"/>
    <w:rsid w:val="00F90723"/>
    <w:rsid w:val="00F90BBC"/>
    <w:rsid w:val="00F912E9"/>
    <w:rsid w:val="00F91873"/>
    <w:rsid w:val="00F91DD4"/>
    <w:rsid w:val="00F920D8"/>
    <w:rsid w:val="00F922D9"/>
    <w:rsid w:val="00F92B5F"/>
    <w:rsid w:val="00F93367"/>
    <w:rsid w:val="00F93C27"/>
    <w:rsid w:val="00F93C6A"/>
    <w:rsid w:val="00F93DBC"/>
    <w:rsid w:val="00F93DD7"/>
    <w:rsid w:val="00F94288"/>
    <w:rsid w:val="00F9450F"/>
    <w:rsid w:val="00F9458E"/>
    <w:rsid w:val="00F94800"/>
    <w:rsid w:val="00F94CF0"/>
    <w:rsid w:val="00F9517E"/>
    <w:rsid w:val="00F9559F"/>
    <w:rsid w:val="00F95951"/>
    <w:rsid w:val="00F95EAC"/>
    <w:rsid w:val="00F95F46"/>
    <w:rsid w:val="00F9611E"/>
    <w:rsid w:val="00F9622B"/>
    <w:rsid w:val="00F96434"/>
    <w:rsid w:val="00F96676"/>
    <w:rsid w:val="00F967D4"/>
    <w:rsid w:val="00F9732C"/>
    <w:rsid w:val="00F975AB"/>
    <w:rsid w:val="00F977AD"/>
    <w:rsid w:val="00F97978"/>
    <w:rsid w:val="00F97C02"/>
    <w:rsid w:val="00F97F1D"/>
    <w:rsid w:val="00FA0390"/>
    <w:rsid w:val="00FA048B"/>
    <w:rsid w:val="00FA0610"/>
    <w:rsid w:val="00FA09A0"/>
    <w:rsid w:val="00FA0B81"/>
    <w:rsid w:val="00FA0F88"/>
    <w:rsid w:val="00FA12CD"/>
    <w:rsid w:val="00FA1AC9"/>
    <w:rsid w:val="00FA1B29"/>
    <w:rsid w:val="00FA1FFD"/>
    <w:rsid w:val="00FA2A26"/>
    <w:rsid w:val="00FA2C81"/>
    <w:rsid w:val="00FA3064"/>
    <w:rsid w:val="00FA3A62"/>
    <w:rsid w:val="00FA4297"/>
    <w:rsid w:val="00FA4830"/>
    <w:rsid w:val="00FA4C56"/>
    <w:rsid w:val="00FA4D86"/>
    <w:rsid w:val="00FA5240"/>
    <w:rsid w:val="00FA5443"/>
    <w:rsid w:val="00FA5898"/>
    <w:rsid w:val="00FA590E"/>
    <w:rsid w:val="00FA596B"/>
    <w:rsid w:val="00FA5D61"/>
    <w:rsid w:val="00FA6765"/>
    <w:rsid w:val="00FA6E73"/>
    <w:rsid w:val="00FA70C5"/>
    <w:rsid w:val="00FA75CB"/>
    <w:rsid w:val="00FA7CD1"/>
    <w:rsid w:val="00FA7CEF"/>
    <w:rsid w:val="00FA7DC0"/>
    <w:rsid w:val="00FA7EE5"/>
    <w:rsid w:val="00FB01B3"/>
    <w:rsid w:val="00FB029B"/>
    <w:rsid w:val="00FB02F0"/>
    <w:rsid w:val="00FB0864"/>
    <w:rsid w:val="00FB0DEC"/>
    <w:rsid w:val="00FB0F6C"/>
    <w:rsid w:val="00FB10B7"/>
    <w:rsid w:val="00FB126D"/>
    <w:rsid w:val="00FB134B"/>
    <w:rsid w:val="00FB1A79"/>
    <w:rsid w:val="00FB1DFE"/>
    <w:rsid w:val="00FB23EC"/>
    <w:rsid w:val="00FB2BDD"/>
    <w:rsid w:val="00FB2CFD"/>
    <w:rsid w:val="00FB2DAA"/>
    <w:rsid w:val="00FB2F24"/>
    <w:rsid w:val="00FB3F03"/>
    <w:rsid w:val="00FB4103"/>
    <w:rsid w:val="00FB45CF"/>
    <w:rsid w:val="00FB4657"/>
    <w:rsid w:val="00FB4A76"/>
    <w:rsid w:val="00FB52FD"/>
    <w:rsid w:val="00FB597B"/>
    <w:rsid w:val="00FB5993"/>
    <w:rsid w:val="00FB5D8E"/>
    <w:rsid w:val="00FB6598"/>
    <w:rsid w:val="00FB692A"/>
    <w:rsid w:val="00FB69F9"/>
    <w:rsid w:val="00FB6C9B"/>
    <w:rsid w:val="00FB7178"/>
    <w:rsid w:val="00FB749C"/>
    <w:rsid w:val="00FB7D1A"/>
    <w:rsid w:val="00FC002B"/>
    <w:rsid w:val="00FC005E"/>
    <w:rsid w:val="00FC00C3"/>
    <w:rsid w:val="00FC01AE"/>
    <w:rsid w:val="00FC0B20"/>
    <w:rsid w:val="00FC0C1E"/>
    <w:rsid w:val="00FC0CDD"/>
    <w:rsid w:val="00FC1061"/>
    <w:rsid w:val="00FC1212"/>
    <w:rsid w:val="00FC12B4"/>
    <w:rsid w:val="00FC1375"/>
    <w:rsid w:val="00FC1746"/>
    <w:rsid w:val="00FC1B93"/>
    <w:rsid w:val="00FC201F"/>
    <w:rsid w:val="00FC2095"/>
    <w:rsid w:val="00FC216C"/>
    <w:rsid w:val="00FC25AA"/>
    <w:rsid w:val="00FC2600"/>
    <w:rsid w:val="00FC28C9"/>
    <w:rsid w:val="00FC2BF8"/>
    <w:rsid w:val="00FC2CB7"/>
    <w:rsid w:val="00FC2E06"/>
    <w:rsid w:val="00FC2FB9"/>
    <w:rsid w:val="00FC3240"/>
    <w:rsid w:val="00FC33D7"/>
    <w:rsid w:val="00FC34FA"/>
    <w:rsid w:val="00FC3A00"/>
    <w:rsid w:val="00FC3D47"/>
    <w:rsid w:val="00FC401A"/>
    <w:rsid w:val="00FC4032"/>
    <w:rsid w:val="00FC4790"/>
    <w:rsid w:val="00FC47CB"/>
    <w:rsid w:val="00FC4B66"/>
    <w:rsid w:val="00FC4F8D"/>
    <w:rsid w:val="00FC5071"/>
    <w:rsid w:val="00FC5595"/>
    <w:rsid w:val="00FC5930"/>
    <w:rsid w:val="00FC5EB2"/>
    <w:rsid w:val="00FC61F3"/>
    <w:rsid w:val="00FC649D"/>
    <w:rsid w:val="00FC6BC6"/>
    <w:rsid w:val="00FC6DFD"/>
    <w:rsid w:val="00FC7108"/>
    <w:rsid w:val="00FC7125"/>
    <w:rsid w:val="00FC71B4"/>
    <w:rsid w:val="00FC7294"/>
    <w:rsid w:val="00FC741B"/>
    <w:rsid w:val="00FC76FD"/>
    <w:rsid w:val="00FC7A92"/>
    <w:rsid w:val="00FC7CB2"/>
    <w:rsid w:val="00FD0082"/>
    <w:rsid w:val="00FD012E"/>
    <w:rsid w:val="00FD0DE9"/>
    <w:rsid w:val="00FD1496"/>
    <w:rsid w:val="00FD16E9"/>
    <w:rsid w:val="00FD1B78"/>
    <w:rsid w:val="00FD1C72"/>
    <w:rsid w:val="00FD22E6"/>
    <w:rsid w:val="00FD2333"/>
    <w:rsid w:val="00FD2DAC"/>
    <w:rsid w:val="00FD2FCD"/>
    <w:rsid w:val="00FD3DD0"/>
    <w:rsid w:val="00FD3F58"/>
    <w:rsid w:val="00FD4055"/>
    <w:rsid w:val="00FD4812"/>
    <w:rsid w:val="00FD49C8"/>
    <w:rsid w:val="00FD4F7E"/>
    <w:rsid w:val="00FD52CF"/>
    <w:rsid w:val="00FD55A2"/>
    <w:rsid w:val="00FD57D8"/>
    <w:rsid w:val="00FD585D"/>
    <w:rsid w:val="00FD5ADD"/>
    <w:rsid w:val="00FD5B6E"/>
    <w:rsid w:val="00FD61BD"/>
    <w:rsid w:val="00FD63B2"/>
    <w:rsid w:val="00FD63C3"/>
    <w:rsid w:val="00FD65EE"/>
    <w:rsid w:val="00FD676C"/>
    <w:rsid w:val="00FD717D"/>
    <w:rsid w:val="00FD724C"/>
    <w:rsid w:val="00FD759D"/>
    <w:rsid w:val="00FD7667"/>
    <w:rsid w:val="00FD7983"/>
    <w:rsid w:val="00FD7E71"/>
    <w:rsid w:val="00FD7F08"/>
    <w:rsid w:val="00FD7F67"/>
    <w:rsid w:val="00FD7F6E"/>
    <w:rsid w:val="00FE0021"/>
    <w:rsid w:val="00FE00F3"/>
    <w:rsid w:val="00FE0160"/>
    <w:rsid w:val="00FE02E3"/>
    <w:rsid w:val="00FE05AB"/>
    <w:rsid w:val="00FE0EE1"/>
    <w:rsid w:val="00FE10B2"/>
    <w:rsid w:val="00FE12E9"/>
    <w:rsid w:val="00FE16F8"/>
    <w:rsid w:val="00FE17FD"/>
    <w:rsid w:val="00FE1C1C"/>
    <w:rsid w:val="00FE20B8"/>
    <w:rsid w:val="00FE230F"/>
    <w:rsid w:val="00FE23D9"/>
    <w:rsid w:val="00FE24E6"/>
    <w:rsid w:val="00FE2543"/>
    <w:rsid w:val="00FE2D6E"/>
    <w:rsid w:val="00FE2EA5"/>
    <w:rsid w:val="00FE3109"/>
    <w:rsid w:val="00FE315B"/>
    <w:rsid w:val="00FE3627"/>
    <w:rsid w:val="00FE3683"/>
    <w:rsid w:val="00FE3ADD"/>
    <w:rsid w:val="00FE3CF9"/>
    <w:rsid w:val="00FE3DAF"/>
    <w:rsid w:val="00FE3E58"/>
    <w:rsid w:val="00FE3F94"/>
    <w:rsid w:val="00FE4006"/>
    <w:rsid w:val="00FE44DF"/>
    <w:rsid w:val="00FE47DA"/>
    <w:rsid w:val="00FE4DF9"/>
    <w:rsid w:val="00FE4F13"/>
    <w:rsid w:val="00FE5123"/>
    <w:rsid w:val="00FE5365"/>
    <w:rsid w:val="00FE544B"/>
    <w:rsid w:val="00FE58F0"/>
    <w:rsid w:val="00FE5DA6"/>
    <w:rsid w:val="00FE5E51"/>
    <w:rsid w:val="00FE635A"/>
    <w:rsid w:val="00FE654A"/>
    <w:rsid w:val="00FE6CA1"/>
    <w:rsid w:val="00FE70AC"/>
    <w:rsid w:val="00FE7683"/>
    <w:rsid w:val="00FE782B"/>
    <w:rsid w:val="00FE7D0F"/>
    <w:rsid w:val="00FF0160"/>
    <w:rsid w:val="00FF0304"/>
    <w:rsid w:val="00FF0393"/>
    <w:rsid w:val="00FF0E0E"/>
    <w:rsid w:val="00FF0F5E"/>
    <w:rsid w:val="00FF12D6"/>
    <w:rsid w:val="00FF1CAE"/>
    <w:rsid w:val="00FF1D28"/>
    <w:rsid w:val="00FF1DDD"/>
    <w:rsid w:val="00FF23F2"/>
    <w:rsid w:val="00FF288C"/>
    <w:rsid w:val="00FF2CAC"/>
    <w:rsid w:val="00FF2CE6"/>
    <w:rsid w:val="00FF2E8D"/>
    <w:rsid w:val="00FF2FD9"/>
    <w:rsid w:val="00FF3230"/>
    <w:rsid w:val="00FF354F"/>
    <w:rsid w:val="00FF35B3"/>
    <w:rsid w:val="00FF383C"/>
    <w:rsid w:val="00FF3B0B"/>
    <w:rsid w:val="00FF4245"/>
    <w:rsid w:val="00FF42E7"/>
    <w:rsid w:val="00FF4649"/>
    <w:rsid w:val="00FF4A19"/>
    <w:rsid w:val="00FF4AC2"/>
    <w:rsid w:val="00FF4E25"/>
    <w:rsid w:val="00FF4E8F"/>
    <w:rsid w:val="00FF513D"/>
    <w:rsid w:val="00FF51AB"/>
    <w:rsid w:val="00FF552B"/>
    <w:rsid w:val="00FF567B"/>
    <w:rsid w:val="00FF58B2"/>
    <w:rsid w:val="00FF5AC5"/>
    <w:rsid w:val="00FF5B5A"/>
    <w:rsid w:val="00FF5DAB"/>
    <w:rsid w:val="00FF650F"/>
    <w:rsid w:val="00FF6713"/>
    <w:rsid w:val="00FF6E13"/>
    <w:rsid w:val="00FF6ECB"/>
    <w:rsid w:val="00FF6F92"/>
    <w:rsid w:val="00FF7067"/>
    <w:rsid w:val="00FF716E"/>
    <w:rsid w:val="00FF75BC"/>
    <w:rsid w:val="00FF77EF"/>
    <w:rsid w:val="00FF7A11"/>
    <w:rsid w:val="0103921E"/>
    <w:rsid w:val="010B4812"/>
    <w:rsid w:val="012E5A60"/>
    <w:rsid w:val="015980E9"/>
    <w:rsid w:val="018228C6"/>
    <w:rsid w:val="01AA79D5"/>
    <w:rsid w:val="01C3A2F6"/>
    <w:rsid w:val="01E1C8FD"/>
    <w:rsid w:val="01FBD7A1"/>
    <w:rsid w:val="0203F02E"/>
    <w:rsid w:val="0206E221"/>
    <w:rsid w:val="021E8355"/>
    <w:rsid w:val="022D1550"/>
    <w:rsid w:val="024EDC3B"/>
    <w:rsid w:val="027F0E5E"/>
    <w:rsid w:val="02971F06"/>
    <w:rsid w:val="02D1CFFC"/>
    <w:rsid w:val="02FD5636"/>
    <w:rsid w:val="03077425"/>
    <w:rsid w:val="031A87D1"/>
    <w:rsid w:val="031D0C56"/>
    <w:rsid w:val="031F03DC"/>
    <w:rsid w:val="031FABFC"/>
    <w:rsid w:val="032CC044"/>
    <w:rsid w:val="032EC979"/>
    <w:rsid w:val="033B9C7B"/>
    <w:rsid w:val="034849AF"/>
    <w:rsid w:val="0349A4FB"/>
    <w:rsid w:val="03534759"/>
    <w:rsid w:val="0372FABD"/>
    <w:rsid w:val="037D4232"/>
    <w:rsid w:val="0381A8A4"/>
    <w:rsid w:val="039CBC31"/>
    <w:rsid w:val="03E01DF2"/>
    <w:rsid w:val="03EF2022"/>
    <w:rsid w:val="03F28F69"/>
    <w:rsid w:val="0412278B"/>
    <w:rsid w:val="041801C4"/>
    <w:rsid w:val="043D00F7"/>
    <w:rsid w:val="0466339B"/>
    <w:rsid w:val="04714FA8"/>
    <w:rsid w:val="0496D005"/>
    <w:rsid w:val="04989D58"/>
    <w:rsid w:val="04C0D85F"/>
    <w:rsid w:val="0523D767"/>
    <w:rsid w:val="052E5ADC"/>
    <w:rsid w:val="05383F97"/>
    <w:rsid w:val="05725080"/>
    <w:rsid w:val="05942E9E"/>
    <w:rsid w:val="059B7B71"/>
    <w:rsid w:val="05B6F7EB"/>
    <w:rsid w:val="05C18508"/>
    <w:rsid w:val="05C5D684"/>
    <w:rsid w:val="05E0F503"/>
    <w:rsid w:val="063DE594"/>
    <w:rsid w:val="06568BC0"/>
    <w:rsid w:val="0693A92A"/>
    <w:rsid w:val="069E7F27"/>
    <w:rsid w:val="06BDCB0A"/>
    <w:rsid w:val="06CBD410"/>
    <w:rsid w:val="070E1680"/>
    <w:rsid w:val="071C1C7E"/>
    <w:rsid w:val="072F58FB"/>
    <w:rsid w:val="07487935"/>
    <w:rsid w:val="07560FDB"/>
    <w:rsid w:val="075F96E0"/>
    <w:rsid w:val="078520A7"/>
    <w:rsid w:val="0796E343"/>
    <w:rsid w:val="07AB2164"/>
    <w:rsid w:val="08328585"/>
    <w:rsid w:val="088F045C"/>
    <w:rsid w:val="088FC099"/>
    <w:rsid w:val="08A1392D"/>
    <w:rsid w:val="08BC2FB9"/>
    <w:rsid w:val="08BC9102"/>
    <w:rsid w:val="08CEA264"/>
    <w:rsid w:val="090BAD10"/>
    <w:rsid w:val="091CBD89"/>
    <w:rsid w:val="0951E103"/>
    <w:rsid w:val="097CCEE7"/>
    <w:rsid w:val="0A285681"/>
    <w:rsid w:val="0A588B2A"/>
    <w:rsid w:val="0A8D2A24"/>
    <w:rsid w:val="0AF45D61"/>
    <w:rsid w:val="0B291CF6"/>
    <w:rsid w:val="0B2F408B"/>
    <w:rsid w:val="0B3D843E"/>
    <w:rsid w:val="0B3F77F6"/>
    <w:rsid w:val="0BB19F2A"/>
    <w:rsid w:val="0BEEF802"/>
    <w:rsid w:val="0BF5CC79"/>
    <w:rsid w:val="0C536D47"/>
    <w:rsid w:val="0C5A046F"/>
    <w:rsid w:val="0C70BFF1"/>
    <w:rsid w:val="0C718353"/>
    <w:rsid w:val="0CDCF492"/>
    <w:rsid w:val="0CE24B2C"/>
    <w:rsid w:val="0CE7BD95"/>
    <w:rsid w:val="0CFBAFC3"/>
    <w:rsid w:val="0D1A80A9"/>
    <w:rsid w:val="0D2F08E9"/>
    <w:rsid w:val="0D3D2B4E"/>
    <w:rsid w:val="0D4E9403"/>
    <w:rsid w:val="0D527E65"/>
    <w:rsid w:val="0D595AB7"/>
    <w:rsid w:val="0D6F172D"/>
    <w:rsid w:val="0D76FF83"/>
    <w:rsid w:val="0D82389D"/>
    <w:rsid w:val="0D99DBF6"/>
    <w:rsid w:val="0DB6F09A"/>
    <w:rsid w:val="0DCF5E84"/>
    <w:rsid w:val="0DDA054F"/>
    <w:rsid w:val="0DDB8CFC"/>
    <w:rsid w:val="0DE39F3F"/>
    <w:rsid w:val="0E169EE6"/>
    <w:rsid w:val="0E204DDB"/>
    <w:rsid w:val="0E224000"/>
    <w:rsid w:val="0E3BFF36"/>
    <w:rsid w:val="0E40E8D4"/>
    <w:rsid w:val="0E45AFB8"/>
    <w:rsid w:val="0E71424E"/>
    <w:rsid w:val="0EA9BF4A"/>
    <w:rsid w:val="0EAD84DF"/>
    <w:rsid w:val="0EB8B201"/>
    <w:rsid w:val="0EDD240D"/>
    <w:rsid w:val="0EF94526"/>
    <w:rsid w:val="0F48CD03"/>
    <w:rsid w:val="0F6FD1E1"/>
    <w:rsid w:val="0F79A454"/>
    <w:rsid w:val="0F7E6A36"/>
    <w:rsid w:val="0F83CDFD"/>
    <w:rsid w:val="0FE1C7A4"/>
    <w:rsid w:val="0FE3C13B"/>
    <w:rsid w:val="0FE81EAC"/>
    <w:rsid w:val="100552A5"/>
    <w:rsid w:val="1022BF00"/>
    <w:rsid w:val="1044669C"/>
    <w:rsid w:val="104C3808"/>
    <w:rsid w:val="105F9FCA"/>
    <w:rsid w:val="1068F244"/>
    <w:rsid w:val="106E820E"/>
    <w:rsid w:val="111158D9"/>
    <w:rsid w:val="11CC2DDA"/>
    <w:rsid w:val="11EF4747"/>
    <w:rsid w:val="121212BD"/>
    <w:rsid w:val="12184F2A"/>
    <w:rsid w:val="1225E334"/>
    <w:rsid w:val="122E543C"/>
    <w:rsid w:val="1244C116"/>
    <w:rsid w:val="125EC8E7"/>
    <w:rsid w:val="12A60F17"/>
    <w:rsid w:val="12B434CC"/>
    <w:rsid w:val="12E74A6D"/>
    <w:rsid w:val="12EC6938"/>
    <w:rsid w:val="13202360"/>
    <w:rsid w:val="13243C3D"/>
    <w:rsid w:val="1327AFBD"/>
    <w:rsid w:val="133E1DC5"/>
    <w:rsid w:val="1343B00E"/>
    <w:rsid w:val="134A8743"/>
    <w:rsid w:val="134D86D4"/>
    <w:rsid w:val="1360C50D"/>
    <w:rsid w:val="1360F04E"/>
    <w:rsid w:val="1375E3DF"/>
    <w:rsid w:val="13950177"/>
    <w:rsid w:val="13AA2563"/>
    <w:rsid w:val="13C411CE"/>
    <w:rsid w:val="13E0E707"/>
    <w:rsid w:val="13E61E20"/>
    <w:rsid w:val="13F97DD6"/>
    <w:rsid w:val="143C7A5A"/>
    <w:rsid w:val="1454966A"/>
    <w:rsid w:val="145D9A17"/>
    <w:rsid w:val="1491F520"/>
    <w:rsid w:val="149680CF"/>
    <w:rsid w:val="149FC1DA"/>
    <w:rsid w:val="14E7898A"/>
    <w:rsid w:val="15004F66"/>
    <w:rsid w:val="15221728"/>
    <w:rsid w:val="15249B09"/>
    <w:rsid w:val="1558EA07"/>
    <w:rsid w:val="156DEF58"/>
    <w:rsid w:val="15719B01"/>
    <w:rsid w:val="1572CD1B"/>
    <w:rsid w:val="157FE326"/>
    <w:rsid w:val="15B5A0BE"/>
    <w:rsid w:val="15C36D8A"/>
    <w:rsid w:val="15DF6372"/>
    <w:rsid w:val="15DFE786"/>
    <w:rsid w:val="15E906C2"/>
    <w:rsid w:val="15EAF584"/>
    <w:rsid w:val="161071A4"/>
    <w:rsid w:val="1615B82C"/>
    <w:rsid w:val="161F8EEA"/>
    <w:rsid w:val="163425B3"/>
    <w:rsid w:val="16417DF2"/>
    <w:rsid w:val="164E7881"/>
    <w:rsid w:val="168BAB50"/>
    <w:rsid w:val="1699CBCA"/>
    <w:rsid w:val="16A9B5B8"/>
    <w:rsid w:val="16AD4448"/>
    <w:rsid w:val="16C2EC42"/>
    <w:rsid w:val="16E54A1F"/>
    <w:rsid w:val="16E9125C"/>
    <w:rsid w:val="16FBCBCB"/>
    <w:rsid w:val="16FF24D1"/>
    <w:rsid w:val="17297C01"/>
    <w:rsid w:val="1730C70C"/>
    <w:rsid w:val="17359B33"/>
    <w:rsid w:val="1747C936"/>
    <w:rsid w:val="174AFF86"/>
    <w:rsid w:val="1755DB62"/>
    <w:rsid w:val="175B89D1"/>
    <w:rsid w:val="177BFCF4"/>
    <w:rsid w:val="17840C23"/>
    <w:rsid w:val="178A1836"/>
    <w:rsid w:val="17922C1F"/>
    <w:rsid w:val="179E9118"/>
    <w:rsid w:val="179EBFF4"/>
    <w:rsid w:val="17A0BB9B"/>
    <w:rsid w:val="17DA30FB"/>
    <w:rsid w:val="17DAD5B8"/>
    <w:rsid w:val="17EED093"/>
    <w:rsid w:val="18404498"/>
    <w:rsid w:val="184D81B5"/>
    <w:rsid w:val="185031A7"/>
    <w:rsid w:val="1874E0FE"/>
    <w:rsid w:val="1895AA9D"/>
    <w:rsid w:val="18DCDDC7"/>
    <w:rsid w:val="19319965"/>
    <w:rsid w:val="1948BD5A"/>
    <w:rsid w:val="195A5C9F"/>
    <w:rsid w:val="1991AB4D"/>
    <w:rsid w:val="19ADC1AF"/>
    <w:rsid w:val="19B55057"/>
    <w:rsid w:val="19B5B0B4"/>
    <w:rsid w:val="19D38592"/>
    <w:rsid w:val="19D48EF7"/>
    <w:rsid w:val="19DA2E5A"/>
    <w:rsid w:val="19F80BCD"/>
    <w:rsid w:val="1A0B8498"/>
    <w:rsid w:val="1A263354"/>
    <w:rsid w:val="1A2A63F4"/>
    <w:rsid w:val="1A36170F"/>
    <w:rsid w:val="1A445026"/>
    <w:rsid w:val="1A66B74B"/>
    <w:rsid w:val="1AC3F534"/>
    <w:rsid w:val="1ADEBB07"/>
    <w:rsid w:val="1B056F87"/>
    <w:rsid w:val="1B0E69E9"/>
    <w:rsid w:val="1B2C0A13"/>
    <w:rsid w:val="1B407D4B"/>
    <w:rsid w:val="1B6B7718"/>
    <w:rsid w:val="1B756B9C"/>
    <w:rsid w:val="1B91CF92"/>
    <w:rsid w:val="1B98847F"/>
    <w:rsid w:val="1BB5B08E"/>
    <w:rsid w:val="1BBD8F76"/>
    <w:rsid w:val="1C1706B3"/>
    <w:rsid w:val="1C211166"/>
    <w:rsid w:val="1C3DB365"/>
    <w:rsid w:val="1C4C52C5"/>
    <w:rsid w:val="1C4F4556"/>
    <w:rsid w:val="1C53D4F4"/>
    <w:rsid w:val="1C8746DB"/>
    <w:rsid w:val="1C895A5A"/>
    <w:rsid w:val="1CD1ECC9"/>
    <w:rsid w:val="1CEEAD7E"/>
    <w:rsid w:val="1CF8263D"/>
    <w:rsid w:val="1CFB378F"/>
    <w:rsid w:val="1D05B6BF"/>
    <w:rsid w:val="1D761835"/>
    <w:rsid w:val="1DA09982"/>
    <w:rsid w:val="1DA55E84"/>
    <w:rsid w:val="1DB8F045"/>
    <w:rsid w:val="1DD30E6E"/>
    <w:rsid w:val="1DF0FFC9"/>
    <w:rsid w:val="1E8795CF"/>
    <w:rsid w:val="1EBCCF90"/>
    <w:rsid w:val="1EBDEB45"/>
    <w:rsid w:val="1EC1B7E2"/>
    <w:rsid w:val="1ED6BA09"/>
    <w:rsid w:val="1ED6C0C6"/>
    <w:rsid w:val="1EFA97A2"/>
    <w:rsid w:val="1F10DD01"/>
    <w:rsid w:val="1F19902B"/>
    <w:rsid w:val="1F25A8C4"/>
    <w:rsid w:val="1F2FEF47"/>
    <w:rsid w:val="1F45043B"/>
    <w:rsid w:val="1F85368C"/>
    <w:rsid w:val="1F8C6700"/>
    <w:rsid w:val="1F8CC275"/>
    <w:rsid w:val="1F925389"/>
    <w:rsid w:val="1F9DAFEB"/>
    <w:rsid w:val="1FB5A8D8"/>
    <w:rsid w:val="1FBAD630"/>
    <w:rsid w:val="201778A1"/>
    <w:rsid w:val="201D4E4C"/>
    <w:rsid w:val="2080BCE0"/>
    <w:rsid w:val="20CC6AE3"/>
    <w:rsid w:val="20CCB4E3"/>
    <w:rsid w:val="20E7F505"/>
    <w:rsid w:val="20E91413"/>
    <w:rsid w:val="20F77DC6"/>
    <w:rsid w:val="20F945FA"/>
    <w:rsid w:val="210E65D4"/>
    <w:rsid w:val="210FE729"/>
    <w:rsid w:val="21120500"/>
    <w:rsid w:val="2118B3E9"/>
    <w:rsid w:val="2119AA9B"/>
    <w:rsid w:val="2144152E"/>
    <w:rsid w:val="21510E05"/>
    <w:rsid w:val="215F24A5"/>
    <w:rsid w:val="2162D768"/>
    <w:rsid w:val="21774A81"/>
    <w:rsid w:val="2185DCB4"/>
    <w:rsid w:val="21C32570"/>
    <w:rsid w:val="21E38067"/>
    <w:rsid w:val="21FCF36E"/>
    <w:rsid w:val="220FD0EE"/>
    <w:rsid w:val="221D0F78"/>
    <w:rsid w:val="223CD867"/>
    <w:rsid w:val="225299C4"/>
    <w:rsid w:val="22642A91"/>
    <w:rsid w:val="227430A9"/>
    <w:rsid w:val="22756CD0"/>
    <w:rsid w:val="229F2C52"/>
    <w:rsid w:val="22AE92A3"/>
    <w:rsid w:val="22D7840A"/>
    <w:rsid w:val="22D875D6"/>
    <w:rsid w:val="22DD9095"/>
    <w:rsid w:val="22DEF802"/>
    <w:rsid w:val="22E512DE"/>
    <w:rsid w:val="23033954"/>
    <w:rsid w:val="231C9058"/>
    <w:rsid w:val="23276A3A"/>
    <w:rsid w:val="233D9FEB"/>
    <w:rsid w:val="2350CA28"/>
    <w:rsid w:val="23537B12"/>
    <w:rsid w:val="2353F663"/>
    <w:rsid w:val="235A7FE8"/>
    <w:rsid w:val="23626C9C"/>
    <w:rsid w:val="2380F110"/>
    <w:rsid w:val="2396507A"/>
    <w:rsid w:val="23C21542"/>
    <w:rsid w:val="23E28C33"/>
    <w:rsid w:val="23F0D8AE"/>
    <w:rsid w:val="241A72F1"/>
    <w:rsid w:val="241E2CC6"/>
    <w:rsid w:val="2436A8FE"/>
    <w:rsid w:val="2450E485"/>
    <w:rsid w:val="245C5334"/>
    <w:rsid w:val="2468545B"/>
    <w:rsid w:val="24933540"/>
    <w:rsid w:val="24942122"/>
    <w:rsid w:val="2496EC61"/>
    <w:rsid w:val="24980E0D"/>
    <w:rsid w:val="24AA49B0"/>
    <w:rsid w:val="24BDA1E2"/>
    <w:rsid w:val="24BF435A"/>
    <w:rsid w:val="24C73137"/>
    <w:rsid w:val="2511C5FD"/>
    <w:rsid w:val="2555BB62"/>
    <w:rsid w:val="2571FA52"/>
    <w:rsid w:val="2575A7D4"/>
    <w:rsid w:val="257F9D80"/>
    <w:rsid w:val="25805D25"/>
    <w:rsid w:val="25A6EBF7"/>
    <w:rsid w:val="25AF2848"/>
    <w:rsid w:val="25BFD303"/>
    <w:rsid w:val="25CED729"/>
    <w:rsid w:val="25F59D0B"/>
    <w:rsid w:val="26138862"/>
    <w:rsid w:val="2617AFA0"/>
    <w:rsid w:val="262119E6"/>
    <w:rsid w:val="2622B014"/>
    <w:rsid w:val="2633BFE9"/>
    <w:rsid w:val="2667C8BA"/>
    <w:rsid w:val="269C38C6"/>
    <w:rsid w:val="26A988B7"/>
    <w:rsid w:val="26A9AC38"/>
    <w:rsid w:val="26AAAD52"/>
    <w:rsid w:val="26B8909F"/>
    <w:rsid w:val="26DB93BD"/>
    <w:rsid w:val="26E9595E"/>
    <w:rsid w:val="26EABF3F"/>
    <w:rsid w:val="26EF6552"/>
    <w:rsid w:val="26F52551"/>
    <w:rsid w:val="26FBA7C3"/>
    <w:rsid w:val="27079890"/>
    <w:rsid w:val="27489226"/>
    <w:rsid w:val="27587B88"/>
    <w:rsid w:val="27714DD9"/>
    <w:rsid w:val="2774C580"/>
    <w:rsid w:val="27796765"/>
    <w:rsid w:val="27940797"/>
    <w:rsid w:val="27A091DB"/>
    <w:rsid w:val="27F0926A"/>
    <w:rsid w:val="27F7559B"/>
    <w:rsid w:val="27FB689D"/>
    <w:rsid w:val="280298C9"/>
    <w:rsid w:val="28110D1B"/>
    <w:rsid w:val="283724FE"/>
    <w:rsid w:val="283792AF"/>
    <w:rsid w:val="284AC099"/>
    <w:rsid w:val="28527C84"/>
    <w:rsid w:val="28556E0E"/>
    <w:rsid w:val="286E93D7"/>
    <w:rsid w:val="28837028"/>
    <w:rsid w:val="2888D9D1"/>
    <w:rsid w:val="28A7CAD6"/>
    <w:rsid w:val="28CE11FB"/>
    <w:rsid w:val="28D2BE86"/>
    <w:rsid w:val="28DD1BE3"/>
    <w:rsid w:val="28E38980"/>
    <w:rsid w:val="2953BD75"/>
    <w:rsid w:val="29610380"/>
    <w:rsid w:val="296F4434"/>
    <w:rsid w:val="29BA204D"/>
    <w:rsid w:val="29D00183"/>
    <w:rsid w:val="29DDFEE6"/>
    <w:rsid w:val="2A10E8BC"/>
    <w:rsid w:val="2A3587C0"/>
    <w:rsid w:val="2A490C65"/>
    <w:rsid w:val="2A54B60F"/>
    <w:rsid w:val="2A90FACD"/>
    <w:rsid w:val="2A95BD80"/>
    <w:rsid w:val="2AA33A72"/>
    <w:rsid w:val="2AB617E9"/>
    <w:rsid w:val="2AB95C85"/>
    <w:rsid w:val="2ABDE9DB"/>
    <w:rsid w:val="2ABE4C21"/>
    <w:rsid w:val="2AC32426"/>
    <w:rsid w:val="2ADF34E7"/>
    <w:rsid w:val="2AE989BC"/>
    <w:rsid w:val="2B492F7F"/>
    <w:rsid w:val="2B5891C2"/>
    <w:rsid w:val="2B9FF46D"/>
    <w:rsid w:val="2BB01EB3"/>
    <w:rsid w:val="2BD614CA"/>
    <w:rsid w:val="2BE24567"/>
    <w:rsid w:val="2BE4E168"/>
    <w:rsid w:val="2BEC1CBE"/>
    <w:rsid w:val="2BFAD04F"/>
    <w:rsid w:val="2C0D633B"/>
    <w:rsid w:val="2C1B8796"/>
    <w:rsid w:val="2C21CF00"/>
    <w:rsid w:val="2C2A812E"/>
    <w:rsid w:val="2C3FA6D1"/>
    <w:rsid w:val="2C6AB77E"/>
    <w:rsid w:val="2C6C83F1"/>
    <w:rsid w:val="2C7ABC61"/>
    <w:rsid w:val="2C913323"/>
    <w:rsid w:val="2CAA4409"/>
    <w:rsid w:val="2D23F96A"/>
    <w:rsid w:val="2D287D5F"/>
    <w:rsid w:val="2D2FD773"/>
    <w:rsid w:val="2D396B82"/>
    <w:rsid w:val="2D3A4AE6"/>
    <w:rsid w:val="2D56ECD9"/>
    <w:rsid w:val="2DF4CEF5"/>
    <w:rsid w:val="2E186A61"/>
    <w:rsid w:val="2E240E21"/>
    <w:rsid w:val="2E2F8969"/>
    <w:rsid w:val="2E35B5FE"/>
    <w:rsid w:val="2E40A6D4"/>
    <w:rsid w:val="2E58646B"/>
    <w:rsid w:val="2E78DF2E"/>
    <w:rsid w:val="2EAEC4C0"/>
    <w:rsid w:val="2EBE76F7"/>
    <w:rsid w:val="2ED19493"/>
    <w:rsid w:val="2EFBA7B3"/>
    <w:rsid w:val="2F0255DD"/>
    <w:rsid w:val="2F2D5F53"/>
    <w:rsid w:val="2F694CA1"/>
    <w:rsid w:val="2F823171"/>
    <w:rsid w:val="2FA5BD33"/>
    <w:rsid w:val="2FAA1B43"/>
    <w:rsid w:val="2FABCD8A"/>
    <w:rsid w:val="2FAF8F25"/>
    <w:rsid w:val="2FBE333A"/>
    <w:rsid w:val="2FDFAC55"/>
    <w:rsid w:val="2FEA0A27"/>
    <w:rsid w:val="2FF9BBAF"/>
    <w:rsid w:val="300A31E8"/>
    <w:rsid w:val="304833AD"/>
    <w:rsid w:val="309B61CB"/>
    <w:rsid w:val="30A78B80"/>
    <w:rsid w:val="30A83963"/>
    <w:rsid w:val="30AB8FB1"/>
    <w:rsid w:val="30E4DB57"/>
    <w:rsid w:val="30E89B7E"/>
    <w:rsid w:val="311A776F"/>
    <w:rsid w:val="313DE087"/>
    <w:rsid w:val="31449038"/>
    <w:rsid w:val="315EB7A1"/>
    <w:rsid w:val="31668458"/>
    <w:rsid w:val="316B83A8"/>
    <w:rsid w:val="31881E74"/>
    <w:rsid w:val="31A2129B"/>
    <w:rsid w:val="31BBE85F"/>
    <w:rsid w:val="321B9331"/>
    <w:rsid w:val="3222B8D3"/>
    <w:rsid w:val="322DBD27"/>
    <w:rsid w:val="324B7C0D"/>
    <w:rsid w:val="326E9B77"/>
    <w:rsid w:val="326FAC51"/>
    <w:rsid w:val="3277CE06"/>
    <w:rsid w:val="327C1A48"/>
    <w:rsid w:val="328C0188"/>
    <w:rsid w:val="32B3B00D"/>
    <w:rsid w:val="32B6022D"/>
    <w:rsid w:val="32DBFC34"/>
    <w:rsid w:val="32FA3BF3"/>
    <w:rsid w:val="332344D6"/>
    <w:rsid w:val="332FDD99"/>
    <w:rsid w:val="3331827B"/>
    <w:rsid w:val="33360604"/>
    <w:rsid w:val="3339F595"/>
    <w:rsid w:val="335506FD"/>
    <w:rsid w:val="335D9D78"/>
    <w:rsid w:val="3365011C"/>
    <w:rsid w:val="336F466E"/>
    <w:rsid w:val="337851AE"/>
    <w:rsid w:val="338866DE"/>
    <w:rsid w:val="33BA1EB0"/>
    <w:rsid w:val="33C0F43C"/>
    <w:rsid w:val="33CE7CAD"/>
    <w:rsid w:val="33D98C95"/>
    <w:rsid w:val="33E0BDC3"/>
    <w:rsid w:val="3402721A"/>
    <w:rsid w:val="34036DF2"/>
    <w:rsid w:val="340DA930"/>
    <w:rsid w:val="3415913C"/>
    <w:rsid w:val="34189FE7"/>
    <w:rsid w:val="341AB951"/>
    <w:rsid w:val="341ADAB3"/>
    <w:rsid w:val="341D97A3"/>
    <w:rsid w:val="341FBCDC"/>
    <w:rsid w:val="3439F87B"/>
    <w:rsid w:val="346DD77D"/>
    <w:rsid w:val="34775BEB"/>
    <w:rsid w:val="3492AA72"/>
    <w:rsid w:val="34D6CF18"/>
    <w:rsid w:val="34FC9B24"/>
    <w:rsid w:val="35129C96"/>
    <w:rsid w:val="35218E1F"/>
    <w:rsid w:val="3540BC60"/>
    <w:rsid w:val="35517D0B"/>
    <w:rsid w:val="355B2681"/>
    <w:rsid w:val="35794B91"/>
    <w:rsid w:val="357F2095"/>
    <w:rsid w:val="358BDF86"/>
    <w:rsid w:val="3599EB02"/>
    <w:rsid w:val="359B395A"/>
    <w:rsid w:val="35DC400C"/>
    <w:rsid w:val="3603CB76"/>
    <w:rsid w:val="3608AF55"/>
    <w:rsid w:val="3628971A"/>
    <w:rsid w:val="3633CB6E"/>
    <w:rsid w:val="3661F047"/>
    <w:rsid w:val="36640DE9"/>
    <w:rsid w:val="366422D0"/>
    <w:rsid w:val="366AFCA0"/>
    <w:rsid w:val="36B094A4"/>
    <w:rsid w:val="36D96E2A"/>
    <w:rsid w:val="36E72FE6"/>
    <w:rsid w:val="37049E2B"/>
    <w:rsid w:val="3705434F"/>
    <w:rsid w:val="37088511"/>
    <w:rsid w:val="37456D1F"/>
    <w:rsid w:val="374DA35E"/>
    <w:rsid w:val="375D8B22"/>
    <w:rsid w:val="377975B1"/>
    <w:rsid w:val="37870732"/>
    <w:rsid w:val="37D4C104"/>
    <w:rsid w:val="37E31A45"/>
    <w:rsid w:val="37E8040E"/>
    <w:rsid w:val="37F75F13"/>
    <w:rsid w:val="380BB10A"/>
    <w:rsid w:val="384397AC"/>
    <w:rsid w:val="38504981"/>
    <w:rsid w:val="387523A4"/>
    <w:rsid w:val="38A0224E"/>
    <w:rsid w:val="38DD0169"/>
    <w:rsid w:val="38EF2F73"/>
    <w:rsid w:val="39063925"/>
    <w:rsid w:val="391ECB9E"/>
    <w:rsid w:val="3974C964"/>
    <w:rsid w:val="3978E06F"/>
    <w:rsid w:val="397E1E49"/>
    <w:rsid w:val="3988AF94"/>
    <w:rsid w:val="398A0C85"/>
    <w:rsid w:val="398C794F"/>
    <w:rsid w:val="398F9B09"/>
    <w:rsid w:val="3995CAB2"/>
    <w:rsid w:val="399B1484"/>
    <w:rsid w:val="39C58CD7"/>
    <w:rsid w:val="39F23375"/>
    <w:rsid w:val="39F8F925"/>
    <w:rsid w:val="39FEBFA9"/>
    <w:rsid w:val="39FF7042"/>
    <w:rsid w:val="3A06E399"/>
    <w:rsid w:val="3A397233"/>
    <w:rsid w:val="3A4551B7"/>
    <w:rsid w:val="3A5EAF43"/>
    <w:rsid w:val="3A662D7B"/>
    <w:rsid w:val="3A6DBF15"/>
    <w:rsid w:val="3A827DA8"/>
    <w:rsid w:val="3A8DC50D"/>
    <w:rsid w:val="3A9306E6"/>
    <w:rsid w:val="3AA726C6"/>
    <w:rsid w:val="3AA7A026"/>
    <w:rsid w:val="3AAD90D0"/>
    <w:rsid w:val="3AB0F02E"/>
    <w:rsid w:val="3AB7A27E"/>
    <w:rsid w:val="3ABD4CBF"/>
    <w:rsid w:val="3AD6E334"/>
    <w:rsid w:val="3B01DC3D"/>
    <w:rsid w:val="3B14AE59"/>
    <w:rsid w:val="3B165B6D"/>
    <w:rsid w:val="3B27D944"/>
    <w:rsid w:val="3B57C370"/>
    <w:rsid w:val="3B5D1542"/>
    <w:rsid w:val="3B7604C2"/>
    <w:rsid w:val="3B9510E4"/>
    <w:rsid w:val="3B9D2B12"/>
    <w:rsid w:val="3BAB0F38"/>
    <w:rsid w:val="3BC529E4"/>
    <w:rsid w:val="3BC934B1"/>
    <w:rsid w:val="3C0CA5E8"/>
    <w:rsid w:val="3C0D8EEC"/>
    <w:rsid w:val="3C62E40F"/>
    <w:rsid w:val="3C66677E"/>
    <w:rsid w:val="3C688BDC"/>
    <w:rsid w:val="3C7FEA70"/>
    <w:rsid w:val="3C899DE7"/>
    <w:rsid w:val="3C8ABEAE"/>
    <w:rsid w:val="3CA7CE86"/>
    <w:rsid w:val="3CAB58EA"/>
    <w:rsid w:val="3CF4D3C3"/>
    <w:rsid w:val="3D1A494C"/>
    <w:rsid w:val="3D263B11"/>
    <w:rsid w:val="3D2D74C2"/>
    <w:rsid w:val="3D3A4C1E"/>
    <w:rsid w:val="3D6661E6"/>
    <w:rsid w:val="3D7F79E5"/>
    <w:rsid w:val="3D85CDEB"/>
    <w:rsid w:val="3D933F7E"/>
    <w:rsid w:val="3DA11696"/>
    <w:rsid w:val="3DAEFC70"/>
    <w:rsid w:val="3DB0ABFB"/>
    <w:rsid w:val="3DB7A101"/>
    <w:rsid w:val="3DBF46FE"/>
    <w:rsid w:val="3DC7A194"/>
    <w:rsid w:val="3E14F477"/>
    <w:rsid w:val="3E177B1E"/>
    <w:rsid w:val="3E795BE0"/>
    <w:rsid w:val="3E84688D"/>
    <w:rsid w:val="3E871448"/>
    <w:rsid w:val="3EB75658"/>
    <w:rsid w:val="3EE66C3D"/>
    <w:rsid w:val="3F13D94C"/>
    <w:rsid w:val="3F3DB6CB"/>
    <w:rsid w:val="3F4B4C6D"/>
    <w:rsid w:val="3F558890"/>
    <w:rsid w:val="3F5E36C0"/>
    <w:rsid w:val="3F7E5CD9"/>
    <w:rsid w:val="3F85D20E"/>
    <w:rsid w:val="3F9A6A27"/>
    <w:rsid w:val="3F9D8691"/>
    <w:rsid w:val="3FB8A1E0"/>
    <w:rsid w:val="3FEC79D5"/>
    <w:rsid w:val="40035794"/>
    <w:rsid w:val="401BC2D8"/>
    <w:rsid w:val="4039F2B7"/>
    <w:rsid w:val="406319CB"/>
    <w:rsid w:val="4065EEB4"/>
    <w:rsid w:val="40713D45"/>
    <w:rsid w:val="4079E04E"/>
    <w:rsid w:val="40855797"/>
    <w:rsid w:val="40910E93"/>
    <w:rsid w:val="40BE0902"/>
    <w:rsid w:val="40BF8F83"/>
    <w:rsid w:val="40D4B39A"/>
    <w:rsid w:val="40DB8EB2"/>
    <w:rsid w:val="410C746F"/>
    <w:rsid w:val="413100F5"/>
    <w:rsid w:val="4154EE5B"/>
    <w:rsid w:val="41642307"/>
    <w:rsid w:val="416787C4"/>
    <w:rsid w:val="418C5E84"/>
    <w:rsid w:val="4193D8D9"/>
    <w:rsid w:val="4194B1EA"/>
    <w:rsid w:val="41A0F82A"/>
    <w:rsid w:val="41AAF783"/>
    <w:rsid w:val="41B1C48C"/>
    <w:rsid w:val="41B72CDD"/>
    <w:rsid w:val="41EBA8CD"/>
    <w:rsid w:val="4228878B"/>
    <w:rsid w:val="423078B9"/>
    <w:rsid w:val="42471B36"/>
    <w:rsid w:val="4255AA60"/>
    <w:rsid w:val="425E06D2"/>
    <w:rsid w:val="427FEE0A"/>
    <w:rsid w:val="428073E6"/>
    <w:rsid w:val="42858562"/>
    <w:rsid w:val="42939D3E"/>
    <w:rsid w:val="4296F952"/>
    <w:rsid w:val="42A2E82A"/>
    <w:rsid w:val="42B81F36"/>
    <w:rsid w:val="42F48110"/>
    <w:rsid w:val="42F5B57F"/>
    <w:rsid w:val="42FAF99D"/>
    <w:rsid w:val="42FE144A"/>
    <w:rsid w:val="4301F7CA"/>
    <w:rsid w:val="431682C2"/>
    <w:rsid w:val="431FD23B"/>
    <w:rsid w:val="43348E32"/>
    <w:rsid w:val="434ACC83"/>
    <w:rsid w:val="43547E9D"/>
    <w:rsid w:val="435F0120"/>
    <w:rsid w:val="43730E5E"/>
    <w:rsid w:val="439A8D12"/>
    <w:rsid w:val="43C55CE2"/>
    <w:rsid w:val="43FB316F"/>
    <w:rsid w:val="4417E5C9"/>
    <w:rsid w:val="4418672B"/>
    <w:rsid w:val="4442ACB6"/>
    <w:rsid w:val="448B6265"/>
    <w:rsid w:val="4498C3CE"/>
    <w:rsid w:val="44D30BD6"/>
    <w:rsid w:val="450D6A33"/>
    <w:rsid w:val="45119D19"/>
    <w:rsid w:val="4513D56F"/>
    <w:rsid w:val="4545BBDB"/>
    <w:rsid w:val="45900D03"/>
    <w:rsid w:val="45A22851"/>
    <w:rsid w:val="45BB05C0"/>
    <w:rsid w:val="45C9C660"/>
    <w:rsid w:val="4614F393"/>
    <w:rsid w:val="4619538C"/>
    <w:rsid w:val="461C810A"/>
    <w:rsid w:val="46283D50"/>
    <w:rsid w:val="463705B2"/>
    <w:rsid w:val="464DA94D"/>
    <w:rsid w:val="4684AED8"/>
    <w:rsid w:val="4692BB49"/>
    <w:rsid w:val="469BDABA"/>
    <w:rsid w:val="46D42317"/>
    <w:rsid w:val="46DAC55E"/>
    <w:rsid w:val="46ECE21A"/>
    <w:rsid w:val="46F8126E"/>
    <w:rsid w:val="473858D7"/>
    <w:rsid w:val="477B763E"/>
    <w:rsid w:val="4796140D"/>
    <w:rsid w:val="47A12D90"/>
    <w:rsid w:val="47A54989"/>
    <w:rsid w:val="47F38A21"/>
    <w:rsid w:val="47FBDF03"/>
    <w:rsid w:val="480B9667"/>
    <w:rsid w:val="480BCAC3"/>
    <w:rsid w:val="48133601"/>
    <w:rsid w:val="481B32EA"/>
    <w:rsid w:val="4826EA5B"/>
    <w:rsid w:val="486BF33C"/>
    <w:rsid w:val="488DBFF2"/>
    <w:rsid w:val="48960DBC"/>
    <w:rsid w:val="4896317E"/>
    <w:rsid w:val="48AC62E6"/>
    <w:rsid w:val="48B50617"/>
    <w:rsid w:val="48D13EF4"/>
    <w:rsid w:val="48FFCD0B"/>
    <w:rsid w:val="490FEC80"/>
    <w:rsid w:val="49170442"/>
    <w:rsid w:val="4924E6EE"/>
    <w:rsid w:val="492699E7"/>
    <w:rsid w:val="49333328"/>
    <w:rsid w:val="4952E682"/>
    <w:rsid w:val="496188B8"/>
    <w:rsid w:val="49684194"/>
    <w:rsid w:val="496B08FD"/>
    <w:rsid w:val="496B7F86"/>
    <w:rsid w:val="49D7BD7A"/>
    <w:rsid w:val="49DB6DC5"/>
    <w:rsid w:val="49DFFA5F"/>
    <w:rsid w:val="4A151CE4"/>
    <w:rsid w:val="4A5E23C1"/>
    <w:rsid w:val="4A5EF25C"/>
    <w:rsid w:val="4AA14F4C"/>
    <w:rsid w:val="4ABA43E0"/>
    <w:rsid w:val="4AD3529D"/>
    <w:rsid w:val="4AE233BF"/>
    <w:rsid w:val="4B0CC798"/>
    <w:rsid w:val="4B63E4D5"/>
    <w:rsid w:val="4B97F9CE"/>
    <w:rsid w:val="4BB3E144"/>
    <w:rsid w:val="4BBB964A"/>
    <w:rsid w:val="4BE33772"/>
    <w:rsid w:val="4C184FF0"/>
    <w:rsid w:val="4C40D29C"/>
    <w:rsid w:val="4C447A20"/>
    <w:rsid w:val="4C57337A"/>
    <w:rsid w:val="4C72461C"/>
    <w:rsid w:val="4C90DB56"/>
    <w:rsid w:val="4C9F69B7"/>
    <w:rsid w:val="4CFE0F8A"/>
    <w:rsid w:val="4CFF0F0E"/>
    <w:rsid w:val="4D0801F2"/>
    <w:rsid w:val="4D34D428"/>
    <w:rsid w:val="4D5AE718"/>
    <w:rsid w:val="4D5B271E"/>
    <w:rsid w:val="4D679331"/>
    <w:rsid w:val="4D74B943"/>
    <w:rsid w:val="4D7C7F3A"/>
    <w:rsid w:val="4D8BDC02"/>
    <w:rsid w:val="4D9FCA7F"/>
    <w:rsid w:val="4DAA711C"/>
    <w:rsid w:val="4DB55D31"/>
    <w:rsid w:val="4DEF34D1"/>
    <w:rsid w:val="4DEFAF30"/>
    <w:rsid w:val="4E111F74"/>
    <w:rsid w:val="4E2D587B"/>
    <w:rsid w:val="4E2EAB1C"/>
    <w:rsid w:val="4E3B61AA"/>
    <w:rsid w:val="4E6AC89C"/>
    <w:rsid w:val="4E862C9E"/>
    <w:rsid w:val="4E8684C2"/>
    <w:rsid w:val="4E8EFF9D"/>
    <w:rsid w:val="4E9D00E9"/>
    <w:rsid w:val="4E9DDC10"/>
    <w:rsid w:val="4EB4BE40"/>
    <w:rsid w:val="4EBF6EDF"/>
    <w:rsid w:val="4ED4B30D"/>
    <w:rsid w:val="4EDBDFCD"/>
    <w:rsid w:val="4EEF0594"/>
    <w:rsid w:val="4F20C6EE"/>
    <w:rsid w:val="4F439513"/>
    <w:rsid w:val="4F573ED3"/>
    <w:rsid w:val="4F7B4B70"/>
    <w:rsid w:val="4F7B9BBE"/>
    <w:rsid w:val="4F96E5B5"/>
    <w:rsid w:val="4FA97C94"/>
    <w:rsid w:val="4FAC593E"/>
    <w:rsid w:val="4FE5C270"/>
    <w:rsid w:val="50323A84"/>
    <w:rsid w:val="505122D3"/>
    <w:rsid w:val="5053EA2E"/>
    <w:rsid w:val="5064BDBC"/>
    <w:rsid w:val="50A7AF50"/>
    <w:rsid w:val="50C4FD28"/>
    <w:rsid w:val="50D822EE"/>
    <w:rsid w:val="50EA8161"/>
    <w:rsid w:val="5104A345"/>
    <w:rsid w:val="510A4285"/>
    <w:rsid w:val="511BAA18"/>
    <w:rsid w:val="5131D5D6"/>
    <w:rsid w:val="513F19EA"/>
    <w:rsid w:val="514362FA"/>
    <w:rsid w:val="515F5F71"/>
    <w:rsid w:val="517B659B"/>
    <w:rsid w:val="517E7C82"/>
    <w:rsid w:val="519DB8BA"/>
    <w:rsid w:val="519F58DF"/>
    <w:rsid w:val="51DE8CFB"/>
    <w:rsid w:val="51DED87D"/>
    <w:rsid w:val="51F026A1"/>
    <w:rsid w:val="51FFAFAA"/>
    <w:rsid w:val="5245DF87"/>
    <w:rsid w:val="5256C4FF"/>
    <w:rsid w:val="526597CE"/>
    <w:rsid w:val="52CD5AC1"/>
    <w:rsid w:val="52D4FFF6"/>
    <w:rsid w:val="53090E0C"/>
    <w:rsid w:val="53252172"/>
    <w:rsid w:val="532E6458"/>
    <w:rsid w:val="532F9F4B"/>
    <w:rsid w:val="5343BE92"/>
    <w:rsid w:val="53576D12"/>
    <w:rsid w:val="5358DF5B"/>
    <w:rsid w:val="53610A65"/>
    <w:rsid w:val="536A1B10"/>
    <w:rsid w:val="53C56653"/>
    <w:rsid w:val="53E458A3"/>
    <w:rsid w:val="53E8D8DA"/>
    <w:rsid w:val="53FCB101"/>
    <w:rsid w:val="53FEF752"/>
    <w:rsid w:val="53FF5B49"/>
    <w:rsid w:val="5409BE5C"/>
    <w:rsid w:val="540AF91F"/>
    <w:rsid w:val="540B4C4F"/>
    <w:rsid w:val="54105977"/>
    <w:rsid w:val="541CD0AA"/>
    <w:rsid w:val="543255E7"/>
    <w:rsid w:val="5432E4A2"/>
    <w:rsid w:val="5441B450"/>
    <w:rsid w:val="54462437"/>
    <w:rsid w:val="544C68A9"/>
    <w:rsid w:val="5452B2A1"/>
    <w:rsid w:val="549F023E"/>
    <w:rsid w:val="54A59797"/>
    <w:rsid w:val="54D476AE"/>
    <w:rsid w:val="54E35ABA"/>
    <w:rsid w:val="54EAB698"/>
    <w:rsid w:val="54EBC2EA"/>
    <w:rsid w:val="54FD4F16"/>
    <w:rsid w:val="5508AAFF"/>
    <w:rsid w:val="55356003"/>
    <w:rsid w:val="55392853"/>
    <w:rsid w:val="553A42A1"/>
    <w:rsid w:val="5544CD01"/>
    <w:rsid w:val="554ED6E9"/>
    <w:rsid w:val="55784CB1"/>
    <w:rsid w:val="5596C92C"/>
    <w:rsid w:val="559C6665"/>
    <w:rsid w:val="55A41724"/>
    <w:rsid w:val="55A61837"/>
    <w:rsid w:val="55C256EA"/>
    <w:rsid w:val="55C2BB05"/>
    <w:rsid w:val="55DCF94F"/>
    <w:rsid w:val="55DEAF16"/>
    <w:rsid w:val="55EB7CCB"/>
    <w:rsid w:val="55F03006"/>
    <w:rsid w:val="55FC514C"/>
    <w:rsid w:val="5614D8DE"/>
    <w:rsid w:val="56271B7E"/>
    <w:rsid w:val="563361A8"/>
    <w:rsid w:val="56657691"/>
    <w:rsid w:val="56926E1A"/>
    <w:rsid w:val="5695D6FF"/>
    <w:rsid w:val="56A344FE"/>
    <w:rsid w:val="56A58188"/>
    <w:rsid w:val="56C2547D"/>
    <w:rsid w:val="570357C7"/>
    <w:rsid w:val="570E9CF0"/>
    <w:rsid w:val="5714F6AD"/>
    <w:rsid w:val="5735DDC2"/>
    <w:rsid w:val="5737114D"/>
    <w:rsid w:val="573F013A"/>
    <w:rsid w:val="5745966B"/>
    <w:rsid w:val="575050CA"/>
    <w:rsid w:val="576BF67E"/>
    <w:rsid w:val="576EAD99"/>
    <w:rsid w:val="578E90F5"/>
    <w:rsid w:val="579723D4"/>
    <w:rsid w:val="57A6234D"/>
    <w:rsid w:val="57BEE5DB"/>
    <w:rsid w:val="57CBD091"/>
    <w:rsid w:val="580540FD"/>
    <w:rsid w:val="5807FFF5"/>
    <w:rsid w:val="585AAEE1"/>
    <w:rsid w:val="586ED842"/>
    <w:rsid w:val="5889FE56"/>
    <w:rsid w:val="58960DCF"/>
    <w:rsid w:val="58ADAF3C"/>
    <w:rsid w:val="58C251D0"/>
    <w:rsid w:val="58CCD1E1"/>
    <w:rsid w:val="5903BFE9"/>
    <w:rsid w:val="590D6773"/>
    <w:rsid w:val="591CE5E0"/>
    <w:rsid w:val="591F1C95"/>
    <w:rsid w:val="595F6A45"/>
    <w:rsid w:val="59757761"/>
    <w:rsid w:val="59814CA4"/>
    <w:rsid w:val="599E56F7"/>
    <w:rsid w:val="59AE861B"/>
    <w:rsid w:val="59B15EC7"/>
    <w:rsid w:val="59BB8B81"/>
    <w:rsid w:val="59C502FD"/>
    <w:rsid w:val="59CED969"/>
    <w:rsid w:val="59E3F715"/>
    <w:rsid w:val="59FEB8F5"/>
    <w:rsid w:val="5A03CE49"/>
    <w:rsid w:val="5A11142A"/>
    <w:rsid w:val="5A150E8F"/>
    <w:rsid w:val="5A4E33AA"/>
    <w:rsid w:val="5A647F30"/>
    <w:rsid w:val="5A99F290"/>
    <w:rsid w:val="5A9A1D37"/>
    <w:rsid w:val="5A9ECA1F"/>
    <w:rsid w:val="5AB12F5C"/>
    <w:rsid w:val="5AC6444B"/>
    <w:rsid w:val="5ADB260A"/>
    <w:rsid w:val="5AF522F5"/>
    <w:rsid w:val="5AFC1BA7"/>
    <w:rsid w:val="5AFD4E5B"/>
    <w:rsid w:val="5B527CBF"/>
    <w:rsid w:val="5B861777"/>
    <w:rsid w:val="5B9A217B"/>
    <w:rsid w:val="5BA105A5"/>
    <w:rsid w:val="5BD6231A"/>
    <w:rsid w:val="5BDA2912"/>
    <w:rsid w:val="5BEC2248"/>
    <w:rsid w:val="5C024500"/>
    <w:rsid w:val="5C1D83BC"/>
    <w:rsid w:val="5C2C39E2"/>
    <w:rsid w:val="5C2F127B"/>
    <w:rsid w:val="5C68CD33"/>
    <w:rsid w:val="5CB0A264"/>
    <w:rsid w:val="5CB16F47"/>
    <w:rsid w:val="5CED28AF"/>
    <w:rsid w:val="5D066D7D"/>
    <w:rsid w:val="5D084B5F"/>
    <w:rsid w:val="5D67CA77"/>
    <w:rsid w:val="5D6DEC55"/>
    <w:rsid w:val="5DEB9633"/>
    <w:rsid w:val="5E258C5F"/>
    <w:rsid w:val="5E5AD19B"/>
    <w:rsid w:val="5E81B8C0"/>
    <w:rsid w:val="5E87380B"/>
    <w:rsid w:val="5ECB8AEE"/>
    <w:rsid w:val="5ED48324"/>
    <w:rsid w:val="5EFFFB2E"/>
    <w:rsid w:val="5F254B00"/>
    <w:rsid w:val="5F573C3A"/>
    <w:rsid w:val="5F85C165"/>
    <w:rsid w:val="5FB3B2B2"/>
    <w:rsid w:val="5FCEB32F"/>
    <w:rsid w:val="5FDBE49F"/>
    <w:rsid w:val="5FEE3AD7"/>
    <w:rsid w:val="60037948"/>
    <w:rsid w:val="6019B010"/>
    <w:rsid w:val="6019F139"/>
    <w:rsid w:val="603EE513"/>
    <w:rsid w:val="6048073A"/>
    <w:rsid w:val="6049367C"/>
    <w:rsid w:val="6052EF68"/>
    <w:rsid w:val="60534F35"/>
    <w:rsid w:val="6071B4BE"/>
    <w:rsid w:val="608A6222"/>
    <w:rsid w:val="60A09912"/>
    <w:rsid w:val="60B12A80"/>
    <w:rsid w:val="60C3632C"/>
    <w:rsid w:val="60F82E8A"/>
    <w:rsid w:val="61014BB3"/>
    <w:rsid w:val="611714A2"/>
    <w:rsid w:val="612D4BD8"/>
    <w:rsid w:val="61356793"/>
    <w:rsid w:val="613BAA19"/>
    <w:rsid w:val="614241A9"/>
    <w:rsid w:val="6166113B"/>
    <w:rsid w:val="618902F2"/>
    <w:rsid w:val="61A79D7A"/>
    <w:rsid w:val="61AE8145"/>
    <w:rsid w:val="61D780B4"/>
    <w:rsid w:val="61DCB04A"/>
    <w:rsid w:val="61E74A51"/>
    <w:rsid w:val="61E8C696"/>
    <w:rsid w:val="62014767"/>
    <w:rsid w:val="6208540F"/>
    <w:rsid w:val="622E82A1"/>
    <w:rsid w:val="623B2664"/>
    <w:rsid w:val="623FF326"/>
    <w:rsid w:val="62733494"/>
    <w:rsid w:val="629AFD72"/>
    <w:rsid w:val="62C53E44"/>
    <w:rsid w:val="62C95889"/>
    <w:rsid w:val="62CA372D"/>
    <w:rsid w:val="6309EEEB"/>
    <w:rsid w:val="63277E70"/>
    <w:rsid w:val="63328961"/>
    <w:rsid w:val="636C2509"/>
    <w:rsid w:val="637DAB52"/>
    <w:rsid w:val="63821A15"/>
    <w:rsid w:val="63B08A4D"/>
    <w:rsid w:val="63B87F24"/>
    <w:rsid w:val="63CB0187"/>
    <w:rsid w:val="63D9ADE4"/>
    <w:rsid w:val="63E3C83C"/>
    <w:rsid w:val="640AE018"/>
    <w:rsid w:val="6427CA03"/>
    <w:rsid w:val="64280E74"/>
    <w:rsid w:val="64355B13"/>
    <w:rsid w:val="64358F2F"/>
    <w:rsid w:val="6435B542"/>
    <w:rsid w:val="644E7396"/>
    <w:rsid w:val="645B879A"/>
    <w:rsid w:val="651265B4"/>
    <w:rsid w:val="652064A3"/>
    <w:rsid w:val="6532B213"/>
    <w:rsid w:val="653E8C9E"/>
    <w:rsid w:val="65538842"/>
    <w:rsid w:val="655835C0"/>
    <w:rsid w:val="655BD933"/>
    <w:rsid w:val="6587D3C2"/>
    <w:rsid w:val="65A62FC4"/>
    <w:rsid w:val="65B22E65"/>
    <w:rsid w:val="660399DD"/>
    <w:rsid w:val="6610A4A5"/>
    <w:rsid w:val="661A9EF7"/>
    <w:rsid w:val="662174FD"/>
    <w:rsid w:val="6647D00B"/>
    <w:rsid w:val="6669A71C"/>
    <w:rsid w:val="66C3988F"/>
    <w:rsid w:val="66E2C88F"/>
    <w:rsid w:val="66E399E9"/>
    <w:rsid w:val="66F379A5"/>
    <w:rsid w:val="66FD5B02"/>
    <w:rsid w:val="670A714C"/>
    <w:rsid w:val="6716C2F8"/>
    <w:rsid w:val="6730858A"/>
    <w:rsid w:val="675AB9D7"/>
    <w:rsid w:val="67634363"/>
    <w:rsid w:val="67AFC808"/>
    <w:rsid w:val="67D3DF35"/>
    <w:rsid w:val="681CF045"/>
    <w:rsid w:val="685C4590"/>
    <w:rsid w:val="68938332"/>
    <w:rsid w:val="689B31AF"/>
    <w:rsid w:val="68A9E157"/>
    <w:rsid w:val="68AC6C88"/>
    <w:rsid w:val="68B4A4A2"/>
    <w:rsid w:val="68B9B951"/>
    <w:rsid w:val="68C274C0"/>
    <w:rsid w:val="68C2A42F"/>
    <w:rsid w:val="68E60B66"/>
    <w:rsid w:val="6900FDB6"/>
    <w:rsid w:val="693E903A"/>
    <w:rsid w:val="69528F13"/>
    <w:rsid w:val="69800BE3"/>
    <w:rsid w:val="69971D85"/>
    <w:rsid w:val="699E8DD5"/>
    <w:rsid w:val="69A040AE"/>
    <w:rsid w:val="69A51A68"/>
    <w:rsid w:val="69C90C62"/>
    <w:rsid w:val="69CB4157"/>
    <w:rsid w:val="69F65CA7"/>
    <w:rsid w:val="6A0508A8"/>
    <w:rsid w:val="6A1B3689"/>
    <w:rsid w:val="6A5706B4"/>
    <w:rsid w:val="6ABCF0B6"/>
    <w:rsid w:val="6ACC5037"/>
    <w:rsid w:val="6AD3A3D6"/>
    <w:rsid w:val="6AD8418D"/>
    <w:rsid w:val="6AD9286A"/>
    <w:rsid w:val="6AD9C1DF"/>
    <w:rsid w:val="6AE425EA"/>
    <w:rsid w:val="6AFCDDB2"/>
    <w:rsid w:val="6B0BB23A"/>
    <w:rsid w:val="6B106F87"/>
    <w:rsid w:val="6B116979"/>
    <w:rsid w:val="6B19DCB1"/>
    <w:rsid w:val="6B41F54B"/>
    <w:rsid w:val="6B57A17F"/>
    <w:rsid w:val="6B729E97"/>
    <w:rsid w:val="6B8D7DF6"/>
    <w:rsid w:val="6BA819B5"/>
    <w:rsid w:val="6BCCA25D"/>
    <w:rsid w:val="6BD88DB9"/>
    <w:rsid w:val="6BFF1CC2"/>
    <w:rsid w:val="6C2006DC"/>
    <w:rsid w:val="6C25CBC1"/>
    <w:rsid w:val="6C3BF04F"/>
    <w:rsid w:val="6C42C17D"/>
    <w:rsid w:val="6C516814"/>
    <w:rsid w:val="6C5F175C"/>
    <w:rsid w:val="6C64CA28"/>
    <w:rsid w:val="6CC214D2"/>
    <w:rsid w:val="6CC29189"/>
    <w:rsid w:val="6CDE6E06"/>
    <w:rsid w:val="6CE0F33B"/>
    <w:rsid w:val="6CEBC6B0"/>
    <w:rsid w:val="6CEF53C5"/>
    <w:rsid w:val="6D0F65DF"/>
    <w:rsid w:val="6D1C8BA1"/>
    <w:rsid w:val="6D21CD69"/>
    <w:rsid w:val="6D63CE20"/>
    <w:rsid w:val="6D68A2D5"/>
    <w:rsid w:val="6D702E87"/>
    <w:rsid w:val="6D7E1141"/>
    <w:rsid w:val="6D861221"/>
    <w:rsid w:val="6D941AB1"/>
    <w:rsid w:val="6DAC0366"/>
    <w:rsid w:val="6DF05CC3"/>
    <w:rsid w:val="6E1E1E56"/>
    <w:rsid w:val="6E210B6C"/>
    <w:rsid w:val="6E221967"/>
    <w:rsid w:val="6E2A49A3"/>
    <w:rsid w:val="6E2B42AE"/>
    <w:rsid w:val="6E7F4690"/>
    <w:rsid w:val="6E9D0FEE"/>
    <w:rsid w:val="6EAEA6EF"/>
    <w:rsid w:val="6ED8484D"/>
    <w:rsid w:val="6EDC7A34"/>
    <w:rsid w:val="6F09B6E4"/>
    <w:rsid w:val="6F0D776A"/>
    <w:rsid w:val="6F28B079"/>
    <w:rsid w:val="6F466B34"/>
    <w:rsid w:val="6FEA0B44"/>
    <w:rsid w:val="6FF645CC"/>
    <w:rsid w:val="6FF71A31"/>
    <w:rsid w:val="70156024"/>
    <w:rsid w:val="70292FAD"/>
    <w:rsid w:val="7045D879"/>
    <w:rsid w:val="70763F42"/>
    <w:rsid w:val="70A337E6"/>
    <w:rsid w:val="70A97CC4"/>
    <w:rsid w:val="70C587C3"/>
    <w:rsid w:val="70F16E81"/>
    <w:rsid w:val="70F9486A"/>
    <w:rsid w:val="711977BB"/>
    <w:rsid w:val="711F4CC1"/>
    <w:rsid w:val="713DD1A9"/>
    <w:rsid w:val="714CBC2D"/>
    <w:rsid w:val="715B431C"/>
    <w:rsid w:val="716742D0"/>
    <w:rsid w:val="7169AD7C"/>
    <w:rsid w:val="7172C278"/>
    <w:rsid w:val="719A4A40"/>
    <w:rsid w:val="71B8315B"/>
    <w:rsid w:val="71E3887D"/>
    <w:rsid w:val="720D11EA"/>
    <w:rsid w:val="72118FF6"/>
    <w:rsid w:val="72411B9B"/>
    <w:rsid w:val="7255F807"/>
    <w:rsid w:val="7267DDBB"/>
    <w:rsid w:val="7270BA14"/>
    <w:rsid w:val="72749203"/>
    <w:rsid w:val="72842449"/>
    <w:rsid w:val="728AA742"/>
    <w:rsid w:val="72A44673"/>
    <w:rsid w:val="72A665B7"/>
    <w:rsid w:val="72B00EF8"/>
    <w:rsid w:val="72B08AAD"/>
    <w:rsid w:val="72BAA945"/>
    <w:rsid w:val="72D1FB7D"/>
    <w:rsid w:val="72D37C90"/>
    <w:rsid w:val="72DF7EBF"/>
    <w:rsid w:val="72FC9126"/>
    <w:rsid w:val="7309C321"/>
    <w:rsid w:val="732D47F3"/>
    <w:rsid w:val="73622796"/>
    <w:rsid w:val="737F20D8"/>
    <w:rsid w:val="739A8648"/>
    <w:rsid w:val="739EB1E0"/>
    <w:rsid w:val="73C8C78B"/>
    <w:rsid w:val="73CADAA5"/>
    <w:rsid w:val="73F803FF"/>
    <w:rsid w:val="73F8A574"/>
    <w:rsid w:val="7410C96E"/>
    <w:rsid w:val="743B60FB"/>
    <w:rsid w:val="743CA46E"/>
    <w:rsid w:val="745218BF"/>
    <w:rsid w:val="746679F5"/>
    <w:rsid w:val="74C35A48"/>
    <w:rsid w:val="750BCDD5"/>
    <w:rsid w:val="750F20C7"/>
    <w:rsid w:val="75264753"/>
    <w:rsid w:val="75390DAE"/>
    <w:rsid w:val="75576CF4"/>
    <w:rsid w:val="758372F5"/>
    <w:rsid w:val="75A61A47"/>
    <w:rsid w:val="75ABBB79"/>
    <w:rsid w:val="75F34120"/>
    <w:rsid w:val="75FEEA43"/>
    <w:rsid w:val="7612CD77"/>
    <w:rsid w:val="761F7B6B"/>
    <w:rsid w:val="761FC8D5"/>
    <w:rsid w:val="762E4D03"/>
    <w:rsid w:val="763AB885"/>
    <w:rsid w:val="76437834"/>
    <w:rsid w:val="76457BA8"/>
    <w:rsid w:val="7655A247"/>
    <w:rsid w:val="76587B63"/>
    <w:rsid w:val="76637CFB"/>
    <w:rsid w:val="768356A0"/>
    <w:rsid w:val="76918C13"/>
    <w:rsid w:val="769B5E29"/>
    <w:rsid w:val="76CC915C"/>
    <w:rsid w:val="76D484DE"/>
    <w:rsid w:val="76DAC30D"/>
    <w:rsid w:val="77001B54"/>
    <w:rsid w:val="771756B7"/>
    <w:rsid w:val="7720390B"/>
    <w:rsid w:val="77226865"/>
    <w:rsid w:val="77742DE6"/>
    <w:rsid w:val="778A17C2"/>
    <w:rsid w:val="778AD3D9"/>
    <w:rsid w:val="7793E55A"/>
    <w:rsid w:val="779EB9A4"/>
    <w:rsid w:val="77A6955E"/>
    <w:rsid w:val="77A7F76F"/>
    <w:rsid w:val="780872D7"/>
    <w:rsid w:val="781388A4"/>
    <w:rsid w:val="782A018D"/>
    <w:rsid w:val="782D74D2"/>
    <w:rsid w:val="782F5F37"/>
    <w:rsid w:val="784A6199"/>
    <w:rsid w:val="7865EDCD"/>
    <w:rsid w:val="78901D26"/>
    <w:rsid w:val="789A1441"/>
    <w:rsid w:val="78D8CABC"/>
    <w:rsid w:val="78E69602"/>
    <w:rsid w:val="78E9E0C4"/>
    <w:rsid w:val="78F54588"/>
    <w:rsid w:val="79196C42"/>
    <w:rsid w:val="792ED940"/>
    <w:rsid w:val="7933569F"/>
    <w:rsid w:val="79E114B0"/>
    <w:rsid w:val="79E942AA"/>
    <w:rsid w:val="79ED2351"/>
    <w:rsid w:val="79F32E1F"/>
    <w:rsid w:val="7A2D18ED"/>
    <w:rsid w:val="7A3D1E13"/>
    <w:rsid w:val="7A5F9500"/>
    <w:rsid w:val="7A6192F3"/>
    <w:rsid w:val="7A882CCE"/>
    <w:rsid w:val="7A8A6468"/>
    <w:rsid w:val="7A95E48B"/>
    <w:rsid w:val="7A99B76F"/>
    <w:rsid w:val="7ABA9A3C"/>
    <w:rsid w:val="7AC6ECA9"/>
    <w:rsid w:val="7AC797F6"/>
    <w:rsid w:val="7AE1ED50"/>
    <w:rsid w:val="7AE7BC83"/>
    <w:rsid w:val="7AF83450"/>
    <w:rsid w:val="7B0306B1"/>
    <w:rsid w:val="7B0BC4A3"/>
    <w:rsid w:val="7B22179D"/>
    <w:rsid w:val="7B65CD80"/>
    <w:rsid w:val="7B7F276F"/>
    <w:rsid w:val="7B822878"/>
    <w:rsid w:val="7B8F3259"/>
    <w:rsid w:val="7BD756D0"/>
    <w:rsid w:val="7BEEED27"/>
    <w:rsid w:val="7BFA306A"/>
    <w:rsid w:val="7C0B80DE"/>
    <w:rsid w:val="7C1FCE5B"/>
    <w:rsid w:val="7C2E9F39"/>
    <w:rsid w:val="7C3B3CAE"/>
    <w:rsid w:val="7C6A65A2"/>
    <w:rsid w:val="7C6AFBA3"/>
    <w:rsid w:val="7C7A6B63"/>
    <w:rsid w:val="7C885675"/>
    <w:rsid w:val="7CA92B06"/>
    <w:rsid w:val="7CC4C6DD"/>
    <w:rsid w:val="7CEC390C"/>
    <w:rsid w:val="7CF9330F"/>
    <w:rsid w:val="7D37534E"/>
    <w:rsid w:val="7D56EC51"/>
    <w:rsid w:val="7D5FC97E"/>
    <w:rsid w:val="7DA56F39"/>
    <w:rsid w:val="7DAEDA7A"/>
    <w:rsid w:val="7DB7254C"/>
    <w:rsid w:val="7DF677EA"/>
    <w:rsid w:val="7E1BB612"/>
    <w:rsid w:val="7E2652EF"/>
    <w:rsid w:val="7E350E23"/>
    <w:rsid w:val="7E46DDB0"/>
    <w:rsid w:val="7E4A41D5"/>
    <w:rsid w:val="7E755A9B"/>
    <w:rsid w:val="7E999959"/>
    <w:rsid w:val="7EB58199"/>
    <w:rsid w:val="7EDEA937"/>
    <w:rsid w:val="7EF305C8"/>
    <w:rsid w:val="7EF522EF"/>
    <w:rsid w:val="7EF750B1"/>
    <w:rsid w:val="7F458215"/>
    <w:rsid w:val="7F942761"/>
    <w:rsid w:val="7FA4A8E4"/>
    <w:rsid w:val="7FCEA9F5"/>
    <w:rsid w:val="7FD40043"/>
    <w:rsid w:val="7FD4AB8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40CAC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83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83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831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1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1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1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1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1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1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182"/>
    <w:rPr>
      <w:rFonts w:asciiTheme="majorHAnsi" w:eastAsiaTheme="majorEastAsia" w:hAnsiTheme="majorHAnsi" w:cstheme="majorBidi"/>
      <w:color w:val="0F4761" w:themeColor="accent1" w:themeShade="BF"/>
      <w:sz w:val="40"/>
      <w:szCs w:val="40"/>
      <w:lang w:val="bg-BG"/>
    </w:rPr>
  </w:style>
  <w:style w:type="character" w:customStyle="1" w:styleId="Heading2Char">
    <w:name w:val="Heading 2 Char"/>
    <w:basedOn w:val="DefaultParagraphFont"/>
    <w:link w:val="Heading2"/>
    <w:uiPriority w:val="9"/>
    <w:rsid w:val="00F83182"/>
    <w:rPr>
      <w:rFonts w:asciiTheme="majorHAnsi" w:eastAsiaTheme="majorEastAsia" w:hAnsiTheme="majorHAnsi" w:cstheme="majorBidi"/>
      <w:color w:val="0F4761" w:themeColor="accent1" w:themeShade="BF"/>
      <w:sz w:val="32"/>
      <w:szCs w:val="32"/>
      <w:lang w:val="bg-BG"/>
    </w:rPr>
  </w:style>
  <w:style w:type="character" w:customStyle="1" w:styleId="Heading3Char">
    <w:name w:val="Heading 3 Char"/>
    <w:basedOn w:val="DefaultParagraphFont"/>
    <w:link w:val="Heading3"/>
    <w:uiPriority w:val="9"/>
    <w:rsid w:val="00F83182"/>
    <w:rPr>
      <w:rFonts w:eastAsiaTheme="majorEastAsia" w:cstheme="majorBidi"/>
      <w:color w:val="0F4761" w:themeColor="accent1" w:themeShade="BF"/>
      <w:sz w:val="28"/>
      <w:szCs w:val="28"/>
      <w:lang w:val="bg-BG"/>
    </w:rPr>
  </w:style>
  <w:style w:type="character" w:customStyle="1" w:styleId="Heading4Char">
    <w:name w:val="Heading 4 Char"/>
    <w:basedOn w:val="DefaultParagraphFont"/>
    <w:link w:val="Heading4"/>
    <w:uiPriority w:val="9"/>
    <w:semiHidden/>
    <w:rsid w:val="00F83182"/>
    <w:rPr>
      <w:rFonts w:eastAsiaTheme="majorEastAsia" w:cstheme="majorBidi"/>
      <w:i/>
      <w:iCs/>
      <w:color w:val="0F4761" w:themeColor="accent1" w:themeShade="BF"/>
      <w:lang w:val="bg-BG"/>
    </w:rPr>
  </w:style>
  <w:style w:type="character" w:customStyle="1" w:styleId="Heading5Char">
    <w:name w:val="Heading 5 Char"/>
    <w:basedOn w:val="DefaultParagraphFont"/>
    <w:link w:val="Heading5"/>
    <w:uiPriority w:val="9"/>
    <w:semiHidden/>
    <w:rsid w:val="00F83182"/>
    <w:rPr>
      <w:rFonts w:eastAsiaTheme="majorEastAsia" w:cstheme="majorBidi"/>
      <w:color w:val="0F4761" w:themeColor="accent1" w:themeShade="BF"/>
      <w:lang w:val="bg-BG"/>
    </w:rPr>
  </w:style>
  <w:style w:type="character" w:customStyle="1" w:styleId="Heading6Char">
    <w:name w:val="Heading 6 Char"/>
    <w:basedOn w:val="DefaultParagraphFont"/>
    <w:link w:val="Heading6"/>
    <w:uiPriority w:val="9"/>
    <w:semiHidden/>
    <w:rsid w:val="00F83182"/>
    <w:rPr>
      <w:rFonts w:eastAsiaTheme="majorEastAsia" w:cstheme="majorBidi"/>
      <w:i/>
      <w:iCs/>
      <w:color w:val="595959" w:themeColor="text1" w:themeTint="A6"/>
      <w:lang w:val="bg-BG"/>
    </w:rPr>
  </w:style>
  <w:style w:type="character" w:customStyle="1" w:styleId="Heading7Char">
    <w:name w:val="Heading 7 Char"/>
    <w:basedOn w:val="DefaultParagraphFont"/>
    <w:link w:val="Heading7"/>
    <w:uiPriority w:val="9"/>
    <w:semiHidden/>
    <w:rsid w:val="00F83182"/>
    <w:rPr>
      <w:rFonts w:eastAsiaTheme="majorEastAsia" w:cstheme="majorBidi"/>
      <w:color w:val="595959" w:themeColor="text1" w:themeTint="A6"/>
      <w:lang w:val="bg-BG"/>
    </w:rPr>
  </w:style>
  <w:style w:type="character" w:customStyle="1" w:styleId="Heading8Char">
    <w:name w:val="Heading 8 Char"/>
    <w:basedOn w:val="DefaultParagraphFont"/>
    <w:link w:val="Heading8"/>
    <w:uiPriority w:val="9"/>
    <w:semiHidden/>
    <w:rsid w:val="00F83182"/>
    <w:rPr>
      <w:rFonts w:eastAsiaTheme="majorEastAsia" w:cstheme="majorBidi"/>
      <w:i/>
      <w:iCs/>
      <w:color w:val="272727" w:themeColor="text1" w:themeTint="D8"/>
      <w:lang w:val="bg-BG"/>
    </w:rPr>
  </w:style>
  <w:style w:type="character" w:customStyle="1" w:styleId="Heading9Char">
    <w:name w:val="Heading 9 Char"/>
    <w:basedOn w:val="DefaultParagraphFont"/>
    <w:link w:val="Heading9"/>
    <w:uiPriority w:val="9"/>
    <w:semiHidden/>
    <w:rsid w:val="00F83182"/>
    <w:rPr>
      <w:rFonts w:eastAsiaTheme="majorEastAsia" w:cstheme="majorBidi"/>
      <w:color w:val="272727" w:themeColor="text1" w:themeTint="D8"/>
      <w:lang w:val="bg-BG"/>
    </w:rPr>
  </w:style>
  <w:style w:type="paragraph" w:styleId="Title">
    <w:name w:val="Title"/>
    <w:basedOn w:val="Normal"/>
    <w:next w:val="Normal"/>
    <w:link w:val="TitleChar"/>
    <w:uiPriority w:val="10"/>
    <w:qFormat/>
    <w:rsid w:val="00F83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182"/>
    <w:rPr>
      <w:rFonts w:asciiTheme="majorHAnsi" w:eastAsiaTheme="majorEastAsia" w:hAnsiTheme="majorHAnsi" w:cstheme="majorBidi"/>
      <w:spacing w:val="-10"/>
      <w:kern w:val="28"/>
      <w:sz w:val="56"/>
      <w:szCs w:val="56"/>
      <w:lang w:val="bg-BG"/>
    </w:rPr>
  </w:style>
  <w:style w:type="paragraph" w:styleId="Subtitle">
    <w:name w:val="Subtitle"/>
    <w:basedOn w:val="Normal"/>
    <w:next w:val="Normal"/>
    <w:link w:val="SubtitleChar"/>
    <w:uiPriority w:val="11"/>
    <w:qFormat/>
    <w:rsid w:val="00F831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182"/>
    <w:rPr>
      <w:rFonts w:eastAsiaTheme="majorEastAsia" w:cstheme="majorBidi"/>
      <w:color w:val="595959" w:themeColor="text1" w:themeTint="A6"/>
      <w:spacing w:val="15"/>
      <w:sz w:val="28"/>
      <w:szCs w:val="28"/>
      <w:lang w:val="bg-BG"/>
    </w:rPr>
  </w:style>
  <w:style w:type="paragraph" w:styleId="Quote">
    <w:name w:val="Quote"/>
    <w:basedOn w:val="Normal"/>
    <w:next w:val="Normal"/>
    <w:link w:val="QuoteChar"/>
    <w:uiPriority w:val="29"/>
    <w:qFormat/>
    <w:rsid w:val="00F83182"/>
    <w:pPr>
      <w:spacing w:before="160"/>
      <w:jc w:val="center"/>
    </w:pPr>
    <w:rPr>
      <w:i/>
      <w:iCs/>
      <w:color w:val="404040" w:themeColor="text1" w:themeTint="BF"/>
    </w:rPr>
  </w:style>
  <w:style w:type="character" w:customStyle="1" w:styleId="QuoteChar">
    <w:name w:val="Quote Char"/>
    <w:basedOn w:val="DefaultParagraphFont"/>
    <w:link w:val="Quote"/>
    <w:uiPriority w:val="29"/>
    <w:rsid w:val="00F83182"/>
    <w:rPr>
      <w:i/>
      <w:iCs/>
      <w:color w:val="404040" w:themeColor="text1" w:themeTint="BF"/>
      <w:lang w:val="bg-BG"/>
    </w:rPr>
  </w:style>
  <w:style w:type="paragraph" w:styleId="ListParagraph">
    <w:name w:val="List Paragraph"/>
    <w:aliases w:val="1st level - Bullet List Paragraph,List Paragraph1,Lettre d'introduction,Paragrafo elenco,Medium Grid 1 - Accent 21,Fiche List Paragraph,body,Odsek zoznamu2,Odsek zoznamu1,3,Bullet 1,Bullet Points,Colorful List - Accent 11,Dot pt,Bulle,2,L"/>
    <w:basedOn w:val="Normal"/>
    <w:link w:val="ListParagraphChar"/>
    <w:uiPriority w:val="34"/>
    <w:qFormat/>
    <w:rsid w:val="00F83182"/>
    <w:pPr>
      <w:ind w:left="720"/>
      <w:contextualSpacing/>
    </w:pPr>
  </w:style>
  <w:style w:type="character" w:styleId="IntenseEmphasis">
    <w:name w:val="Intense Emphasis"/>
    <w:basedOn w:val="DefaultParagraphFont"/>
    <w:uiPriority w:val="21"/>
    <w:qFormat/>
    <w:rsid w:val="00F83182"/>
    <w:rPr>
      <w:i/>
      <w:iCs/>
      <w:color w:val="0F4761" w:themeColor="accent1" w:themeShade="BF"/>
    </w:rPr>
  </w:style>
  <w:style w:type="paragraph" w:styleId="IntenseQuote">
    <w:name w:val="Intense Quote"/>
    <w:basedOn w:val="Normal"/>
    <w:next w:val="Normal"/>
    <w:link w:val="IntenseQuoteChar"/>
    <w:uiPriority w:val="30"/>
    <w:qFormat/>
    <w:rsid w:val="00F83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182"/>
    <w:rPr>
      <w:i/>
      <w:iCs/>
      <w:color w:val="0F4761" w:themeColor="accent1" w:themeShade="BF"/>
      <w:lang w:val="bg-BG"/>
    </w:rPr>
  </w:style>
  <w:style w:type="character" w:styleId="IntenseReference">
    <w:name w:val="Intense Reference"/>
    <w:basedOn w:val="DefaultParagraphFont"/>
    <w:uiPriority w:val="32"/>
    <w:qFormat/>
    <w:rsid w:val="00F83182"/>
    <w:rPr>
      <w:b/>
      <w:bCs/>
      <w:smallCaps/>
      <w:color w:val="0F4761" w:themeColor="accent1" w:themeShade="BF"/>
      <w:spacing w:val="5"/>
    </w:rPr>
  </w:style>
  <w:style w:type="character" w:customStyle="1" w:styleId="Marker">
    <w:name w:val="Marker"/>
    <w:basedOn w:val="DefaultParagraphFont"/>
    <w:rsid w:val="00F60AD1"/>
    <w:rPr>
      <w:color w:val="0000FF"/>
      <w:shd w:val="clear" w:color="auto" w:fill="auto"/>
    </w:rPr>
  </w:style>
  <w:style w:type="paragraph" w:styleId="Header">
    <w:name w:val="header"/>
    <w:basedOn w:val="Normal"/>
    <w:link w:val="HeaderChar"/>
    <w:uiPriority w:val="99"/>
    <w:unhideWhenUsed/>
    <w:rsid w:val="00F60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AD1"/>
    <w:rPr>
      <w:lang w:val="bg-BG"/>
    </w:rPr>
  </w:style>
  <w:style w:type="paragraph" w:styleId="Footer">
    <w:name w:val="footer"/>
    <w:basedOn w:val="Normal"/>
    <w:link w:val="FooterChar"/>
    <w:uiPriority w:val="99"/>
    <w:unhideWhenUsed/>
    <w:rsid w:val="00F60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AD1"/>
    <w:rPr>
      <w:lang w:val="bg-BG"/>
    </w:rPr>
  </w:style>
  <w:style w:type="paragraph" w:customStyle="1" w:styleId="Pagedecouverture">
    <w:name w:val="Page de couverture"/>
    <w:basedOn w:val="Normal"/>
    <w:next w:val="Normal"/>
    <w:rsid w:val="00F60AD1"/>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rsid w:val="00F60AD1"/>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F60AD1"/>
    <w:rPr>
      <w:rFonts w:ascii="Times New Roman" w:hAnsi="Times New Roman" w:cs="Times New Roman"/>
      <w:sz w:val="24"/>
    </w:rPr>
  </w:style>
  <w:style w:type="paragraph" w:customStyle="1" w:styleId="FooterSensitivity">
    <w:name w:val="Footer Sensitivity"/>
    <w:basedOn w:val="Normal"/>
    <w:link w:val="FooterSensitivityChar"/>
    <w:rsid w:val="00F60AD1"/>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F60AD1"/>
    <w:rPr>
      <w:rFonts w:ascii="Times New Roman" w:hAnsi="Times New Roman" w:cs="Times New Roman"/>
      <w:b/>
      <w:sz w:val="32"/>
    </w:rPr>
  </w:style>
  <w:style w:type="paragraph" w:customStyle="1" w:styleId="HeaderCoverPage">
    <w:name w:val="Header Cover Page"/>
    <w:basedOn w:val="Normal"/>
    <w:link w:val="HeaderCoverPageChar"/>
    <w:rsid w:val="00F60AD1"/>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F60AD1"/>
    <w:rPr>
      <w:rFonts w:ascii="Times New Roman" w:hAnsi="Times New Roman" w:cs="Times New Roman"/>
      <w:sz w:val="24"/>
    </w:rPr>
  </w:style>
  <w:style w:type="paragraph" w:customStyle="1" w:styleId="HeaderSensitivity">
    <w:name w:val="Header Sensitivity"/>
    <w:basedOn w:val="Normal"/>
    <w:link w:val="HeaderSensitivityChar"/>
    <w:rsid w:val="00F60AD1"/>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F60AD1"/>
    <w:rPr>
      <w:rFonts w:ascii="Times New Roman" w:hAnsi="Times New Roman" w:cs="Times New Roman"/>
      <w:b/>
      <w:sz w:val="32"/>
    </w:rPr>
  </w:style>
  <w:style w:type="paragraph" w:customStyle="1" w:styleId="HeaderSensitivityRight">
    <w:name w:val="Header Sensitivity Right"/>
    <w:basedOn w:val="Normal"/>
    <w:link w:val="HeaderSensitivityRightChar"/>
    <w:rsid w:val="00E83524"/>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F60AD1"/>
    <w:rPr>
      <w:rFonts w:ascii="Times New Roman" w:hAnsi="Times New Roman" w:cs="Times New Roman"/>
      <w:sz w:val="28"/>
    </w:rPr>
  </w:style>
  <w:style w:type="character" w:customStyle="1" w:styleId="ListParagraphChar">
    <w:name w:val="List Paragraph Char"/>
    <w:aliases w:val="1st level - Bullet List Paragraph Char,List Paragraph1 Char,Lettre d'introduction Char,Paragrafo elenco Char,Medium Grid 1 - Accent 21 Char,Fiche List Paragraph Char,body Char,Odsek zoznamu2 Char,Odsek zoznamu1 Char,3 Char,Bulle Char"/>
    <w:link w:val="ListParagraph"/>
    <w:uiPriority w:val="34"/>
    <w:qFormat/>
    <w:locked/>
    <w:rsid w:val="00F60AD1"/>
    <w:rPr>
      <w:lang w:val="bg-BG"/>
    </w:rPr>
  </w:style>
  <w:style w:type="character" w:styleId="Hyperlink">
    <w:name w:val="Hyperlink"/>
    <w:uiPriority w:val="99"/>
    <w:rsid w:val="001D7834"/>
    <w:rPr>
      <w:color w:val="0000FF"/>
      <w:u w:val="single"/>
    </w:rPr>
  </w:style>
  <w:style w:type="paragraph" w:styleId="NoSpacing">
    <w:name w:val="No Spacing"/>
    <w:basedOn w:val="Normal"/>
    <w:uiPriority w:val="1"/>
    <w:qFormat/>
    <w:rsid w:val="001D7834"/>
    <w:pPr>
      <w:spacing w:after="0" w:line="240" w:lineRule="auto"/>
    </w:pPr>
    <w:rPr>
      <w:rFonts w:ascii="Calibri" w:hAnsi="Calibri" w:cs="Calibri"/>
      <w:kern w:val="0"/>
      <w:lang w:eastAsia="en-IE"/>
      <w14:ligatures w14:val="none"/>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fr"/>
    <w:basedOn w:val="DefaultParagraphFont"/>
    <w:link w:val="ftrefCharCharCharCharCharCharCharCharChar"/>
    <w:uiPriority w:val="99"/>
    <w:unhideWhenUsed/>
    <w:qFormat/>
    <w:rsid w:val="001D7834"/>
    <w:rPr>
      <w:vertAlign w:val="superscript"/>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
    <w:basedOn w:val="DefaultParagraphFont"/>
    <w:uiPriority w:val="99"/>
    <w:qFormat/>
    <w:rsid w:val="001D7834"/>
    <w:rPr>
      <w:sz w:val="20"/>
      <w:szCs w:val="20"/>
    </w:rPr>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 Text_EP-LC,single space,FOOTNOT"/>
    <w:basedOn w:val="Normal"/>
    <w:uiPriority w:val="99"/>
    <w:unhideWhenUsed/>
    <w:qFormat/>
    <w:rsid w:val="001D7834"/>
    <w:pPr>
      <w:spacing w:after="0" w:line="240" w:lineRule="auto"/>
    </w:pPr>
    <w:rPr>
      <w:sz w:val="20"/>
      <w:szCs w:val="20"/>
    </w:rPr>
  </w:style>
  <w:style w:type="character" w:customStyle="1" w:styleId="FootnoteTextChar1">
    <w:name w:val="Footnote Text Char1"/>
    <w:basedOn w:val="DefaultParagraphFont"/>
    <w:uiPriority w:val="99"/>
    <w:semiHidden/>
    <w:rsid w:val="001D7834"/>
    <w:rPr>
      <w:sz w:val="20"/>
      <w:szCs w:val="20"/>
      <w:lang w:val="bg-BG"/>
    </w:rPr>
  </w:style>
  <w:style w:type="paragraph" w:customStyle="1" w:styleId="FootnoteTextEP-LC1">
    <w:name w:val="Footnote Text_EP-LC1"/>
    <w:basedOn w:val="Normal"/>
    <w:next w:val="FootnoteText"/>
    <w:uiPriority w:val="99"/>
    <w:unhideWhenUsed/>
    <w:qFormat/>
    <w:rsid w:val="001D7834"/>
    <w:pPr>
      <w:spacing w:after="0" w:line="240" w:lineRule="auto"/>
    </w:pPr>
    <w:rPr>
      <w:kern w:val="0"/>
      <w:sz w:val="20"/>
      <w:szCs w:val="20"/>
      <w14:ligatures w14:val="none"/>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D7834"/>
    <w:pPr>
      <w:spacing w:line="240" w:lineRule="exact"/>
      <w:jc w:val="both"/>
    </w:pPr>
    <w:rPr>
      <w:vertAlign w:val="superscript"/>
    </w:rPr>
  </w:style>
  <w:style w:type="character" w:styleId="CommentReference">
    <w:name w:val="annotation reference"/>
    <w:basedOn w:val="DefaultParagraphFont"/>
    <w:uiPriority w:val="99"/>
    <w:unhideWhenUsed/>
    <w:rsid w:val="005667A3"/>
    <w:rPr>
      <w:sz w:val="16"/>
      <w:szCs w:val="16"/>
    </w:rPr>
  </w:style>
  <w:style w:type="character" w:customStyle="1" w:styleId="UnresolvedMention1">
    <w:name w:val="Unresolved Mention1"/>
    <w:basedOn w:val="DefaultParagraphFont"/>
    <w:uiPriority w:val="99"/>
    <w:semiHidden/>
    <w:unhideWhenUsed/>
    <w:rsid w:val="009F739A"/>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qFormat/>
    <w:rsid w:val="00A077B9"/>
    <w:pPr>
      <w:spacing w:line="240" w:lineRule="exact"/>
    </w:pPr>
    <w:rPr>
      <w:rFonts w:ascii="Times New Roman" w:eastAsia="Times New Roman" w:hAnsi="Times New Roman" w:cs="Times New Roman"/>
      <w:kern w:val="0"/>
      <w:sz w:val="24"/>
      <w:szCs w:val="20"/>
      <w:vertAlign w:val="superscript"/>
      <w14:ligatures w14:val="none"/>
    </w:rPr>
  </w:style>
  <w:style w:type="table" w:styleId="TableGrid">
    <w:name w:val="Table Grid"/>
    <w:basedOn w:val="TableNormal"/>
    <w:uiPriority w:val="39"/>
    <w:rsid w:val="0039026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C7409"/>
    <w:rPr>
      <w:color w:val="96607D" w:themeColor="followedHyperlink"/>
      <w:u w:val="single"/>
    </w:rPr>
  </w:style>
  <w:style w:type="paragraph" w:styleId="CommentText">
    <w:name w:val="annotation text"/>
    <w:basedOn w:val="Normal"/>
    <w:link w:val="CommentTextChar"/>
    <w:uiPriority w:val="99"/>
    <w:unhideWhenUsed/>
    <w:rsid w:val="00BE5EA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BE5EA5"/>
    <w:rPr>
      <w:kern w:val="0"/>
      <w:sz w:val="20"/>
      <w:szCs w:val="20"/>
      <w:lang w:val="bg-BG"/>
      <w14:ligatures w14:val="none"/>
    </w:rPr>
  </w:style>
  <w:style w:type="paragraph" w:styleId="NormalWeb">
    <w:name w:val="Normal (Web)"/>
    <w:basedOn w:val="Normal"/>
    <w:uiPriority w:val="99"/>
    <w:unhideWhenUsed/>
    <w:rsid w:val="00131826"/>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CommentSubject">
    <w:name w:val="annotation subject"/>
    <w:basedOn w:val="CommentText"/>
    <w:next w:val="CommentText"/>
    <w:link w:val="CommentSubjectChar"/>
    <w:uiPriority w:val="99"/>
    <w:semiHidden/>
    <w:unhideWhenUsed/>
    <w:rsid w:val="00213530"/>
    <w:rPr>
      <w:b/>
      <w:bCs/>
      <w:kern w:val="2"/>
      <w14:ligatures w14:val="standardContextual"/>
    </w:rPr>
  </w:style>
  <w:style w:type="character" w:customStyle="1" w:styleId="CommentSubjectChar">
    <w:name w:val="Comment Subject Char"/>
    <w:basedOn w:val="CommentTextChar"/>
    <w:link w:val="CommentSubject"/>
    <w:uiPriority w:val="99"/>
    <w:semiHidden/>
    <w:rsid w:val="00213530"/>
    <w:rPr>
      <w:b/>
      <w:bCs/>
      <w:kern w:val="0"/>
      <w:sz w:val="20"/>
      <w:szCs w:val="20"/>
      <w:lang w:val="bg-BG"/>
      <w14:ligatures w14:val="none"/>
    </w:rPr>
  </w:style>
  <w:style w:type="paragraph" w:styleId="Revision">
    <w:name w:val="Revision"/>
    <w:hidden/>
    <w:uiPriority w:val="99"/>
    <w:semiHidden/>
    <w:rsid w:val="00BD50A9"/>
    <w:pPr>
      <w:spacing w:after="0" w:line="240" w:lineRule="auto"/>
    </w:pPr>
  </w:style>
  <w:style w:type="character" w:customStyle="1" w:styleId="Mention1">
    <w:name w:val="Mention1"/>
    <w:basedOn w:val="DefaultParagraphFont"/>
    <w:uiPriority w:val="99"/>
    <w:unhideWhenUsed/>
    <w:rsid w:val="00F16C87"/>
    <w:rPr>
      <w:color w:val="2B579A"/>
      <w:shd w:val="clear" w:color="auto" w:fill="E1DFDD"/>
    </w:rPr>
  </w:style>
  <w:style w:type="paragraph" w:customStyle="1" w:styleId="paragraph">
    <w:name w:val="paragraph"/>
    <w:basedOn w:val="Normal"/>
    <w:rsid w:val="0050358E"/>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normaltextrun">
    <w:name w:val="normaltextrun"/>
    <w:basedOn w:val="DefaultParagraphFont"/>
    <w:rsid w:val="0050358E"/>
  </w:style>
  <w:style w:type="character" w:customStyle="1" w:styleId="eop">
    <w:name w:val="eop"/>
    <w:basedOn w:val="DefaultParagraphFont"/>
    <w:rsid w:val="0050358E"/>
  </w:style>
  <w:style w:type="character" w:styleId="Emphasis">
    <w:name w:val="Emphasis"/>
    <w:basedOn w:val="DefaultParagraphFont"/>
    <w:uiPriority w:val="20"/>
    <w:qFormat/>
    <w:rsid w:val="00EF7A4C"/>
    <w:rPr>
      <w:i/>
      <w:iCs/>
    </w:rPr>
  </w:style>
  <w:style w:type="character" w:customStyle="1" w:styleId="cf01">
    <w:name w:val="cf01"/>
    <w:basedOn w:val="DefaultParagraphFont"/>
    <w:rsid w:val="00051846"/>
    <w:rPr>
      <w:rFonts w:ascii="Segoe UI" w:hAnsi="Segoe UI" w:cs="Segoe UI" w:hint="default"/>
      <w:sz w:val="18"/>
      <w:szCs w:val="18"/>
    </w:rPr>
  </w:style>
  <w:style w:type="paragraph" w:customStyle="1" w:styleId="Disclaimer">
    <w:name w:val="Disclaimer"/>
    <w:basedOn w:val="Normal"/>
    <w:rsid w:val="009B511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9B511C"/>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9B511C"/>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9B511C"/>
    <w:pPr>
      <w:spacing w:after="0" w:line="276" w:lineRule="auto"/>
      <w:ind w:left="5103"/>
    </w:pPr>
    <w:rPr>
      <w:rFonts w:ascii="Times New Roman" w:hAnsi="Times New Roman" w:cs="Times New Roman"/>
      <w:i/>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0293">
      <w:bodyDiv w:val="1"/>
      <w:marLeft w:val="0"/>
      <w:marRight w:val="0"/>
      <w:marTop w:val="0"/>
      <w:marBottom w:val="0"/>
      <w:divBdr>
        <w:top w:val="none" w:sz="0" w:space="0" w:color="auto"/>
        <w:left w:val="none" w:sz="0" w:space="0" w:color="auto"/>
        <w:bottom w:val="none" w:sz="0" w:space="0" w:color="auto"/>
        <w:right w:val="none" w:sz="0" w:space="0" w:color="auto"/>
      </w:divBdr>
    </w:div>
    <w:div w:id="28266429">
      <w:bodyDiv w:val="1"/>
      <w:marLeft w:val="0"/>
      <w:marRight w:val="0"/>
      <w:marTop w:val="0"/>
      <w:marBottom w:val="0"/>
      <w:divBdr>
        <w:top w:val="none" w:sz="0" w:space="0" w:color="auto"/>
        <w:left w:val="none" w:sz="0" w:space="0" w:color="auto"/>
        <w:bottom w:val="none" w:sz="0" w:space="0" w:color="auto"/>
        <w:right w:val="none" w:sz="0" w:space="0" w:color="auto"/>
      </w:divBdr>
    </w:div>
    <w:div w:id="42993258">
      <w:bodyDiv w:val="1"/>
      <w:marLeft w:val="0"/>
      <w:marRight w:val="0"/>
      <w:marTop w:val="0"/>
      <w:marBottom w:val="0"/>
      <w:divBdr>
        <w:top w:val="none" w:sz="0" w:space="0" w:color="auto"/>
        <w:left w:val="none" w:sz="0" w:space="0" w:color="auto"/>
        <w:bottom w:val="none" w:sz="0" w:space="0" w:color="auto"/>
        <w:right w:val="none" w:sz="0" w:space="0" w:color="auto"/>
      </w:divBdr>
    </w:div>
    <w:div w:id="89084844">
      <w:bodyDiv w:val="1"/>
      <w:marLeft w:val="0"/>
      <w:marRight w:val="0"/>
      <w:marTop w:val="0"/>
      <w:marBottom w:val="0"/>
      <w:divBdr>
        <w:top w:val="none" w:sz="0" w:space="0" w:color="auto"/>
        <w:left w:val="none" w:sz="0" w:space="0" w:color="auto"/>
        <w:bottom w:val="none" w:sz="0" w:space="0" w:color="auto"/>
        <w:right w:val="none" w:sz="0" w:space="0" w:color="auto"/>
      </w:divBdr>
    </w:div>
    <w:div w:id="119614158">
      <w:bodyDiv w:val="1"/>
      <w:marLeft w:val="0"/>
      <w:marRight w:val="0"/>
      <w:marTop w:val="0"/>
      <w:marBottom w:val="0"/>
      <w:divBdr>
        <w:top w:val="none" w:sz="0" w:space="0" w:color="auto"/>
        <w:left w:val="none" w:sz="0" w:space="0" w:color="auto"/>
        <w:bottom w:val="none" w:sz="0" w:space="0" w:color="auto"/>
        <w:right w:val="none" w:sz="0" w:space="0" w:color="auto"/>
      </w:divBdr>
    </w:div>
    <w:div w:id="236935874">
      <w:bodyDiv w:val="1"/>
      <w:marLeft w:val="0"/>
      <w:marRight w:val="0"/>
      <w:marTop w:val="0"/>
      <w:marBottom w:val="0"/>
      <w:divBdr>
        <w:top w:val="none" w:sz="0" w:space="0" w:color="auto"/>
        <w:left w:val="none" w:sz="0" w:space="0" w:color="auto"/>
        <w:bottom w:val="none" w:sz="0" w:space="0" w:color="auto"/>
        <w:right w:val="none" w:sz="0" w:space="0" w:color="auto"/>
      </w:divBdr>
    </w:div>
    <w:div w:id="244921991">
      <w:bodyDiv w:val="1"/>
      <w:marLeft w:val="0"/>
      <w:marRight w:val="0"/>
      <w:marTop w:val="0"/>
      <w:marBottom w:val="0"/>
      <w:divBdr>
        <w:top w:val="none" w:sz="0" w:space="0" w:color="auto"/>
        <w:left w:val="none" w:sz="0" w:space="0" w:color="auto"/>
        <w:bottom w:val="none" w:sz="0" w:space="0" w:color="auto"/>
        <w:right w:val="none" w:sz="0" w:space="0" w:color="auto"/>
      </w:divBdr>
      <w:divsChild>
        <w:div w:id="947783029">
          <w:marLeft w:val="0"/>
          <w:marRight w:val="0"/>
          <w:marTop w:val="0"/>
          <w:marBottom w:val="0"/>
          <w:divBdr>
            <w:top w:val="none" w:sz="0" w:space="0" w:color="auto"/>
            <w:left w:val="none" w:sz="0" w:space="0" w:color="auto"/>
            <w:bottom w:val="none" w:sz="0" w:space="0" w:color="auto"/>
            <w:right w:val="none" w:sz="0" w:space="0" w:color="auto"/>
          </w:divBdr>
        </w:div>
        <w:div w:id="1160080635">
          <w:marLeft w:val="0"/>
          <w:marRight w:val="0"/>
          <w:marTop w:val="0"/>
          <w:marBottom w:val="0"/>
          <w:divBdr>
            <w:top w:val="none" w:sz="0" w:space="0" w:color="auto"/>
            <w:left w:val="none" w:sz="0" w:space="0" w:color="auto"/>
            <w:bottom w:val="none" w:sz="0" w:space="0" w:color="auto"/>
            <w:right w:val="none" w:sz="0" w:space="0" w:color="auto"/>
          </w:divBdr>
        </w:div>
        <w:div w:id="1472091674">
          <w:marLeft w:val="0"/>
          <w:marRight w:val="0"/>
          <w:marTop w:val="0"/>
          <w:marBottom w:val="0"/>
          <w:divBdr>
            <w:top w:val="none" w:sz="0" w:space="0" w:color="auto"/>
            <w:left w:val="none" w:sz="0" w:space="0" w:color="auto"/>
            <w:bottom w:val="none" w:sz="0" w:space="0" w:color="auto"/>
            <w:right w:val="none" w:sz="0" w:space="0" w:color="auto"/>
          </w:divBdr>
        </w:div>
      </w:divsChild>
    </w:div>
    <w:div w:id="264308185">
      <w:bodyDiv w:val="1"/>
      <w:marLeft w:val="0"/>
      <w:marRight w:val="0"/>
      <w:marTop w:val="0"/>
      <w:marBottom w:val="0"/>
      <w:divBdr>
        <w:top w:val="none" w:sz="0" w:space="0" w:color="auto"/>
        <w:left w:val="none" w:sz="0" w:space="0" w:color="auto"/>
        <w:bottom w:val="none" w:sz="0" w:space="0" w:color="auto"/>
        <w:right w:val="none" w:sz="0" w:space="0" w:color="auto"/>
      </w:divBdr>
    </w:div>
    <w:div w:id="265307816">
      <w:bodyDiv w:val="1"/>
      <w:marLeft w:val="0"/>
      <w:marRight w:val="0"/>
      <w:marTop w:val="0"/>
      <w:marBottom w:val="0"/>
      <w:divBdr>
        <w:top w:val="none" w:sz="0" w:space="0" w:color="auto"/>
        <w:left w:val="none" w:sz="0" w:space="0" w:color="auto"/>
        <w:bottom w:val="none" w:sz="0" w:space="0" w:color="auto"/>
        <w:right w:val="none" w:sz="0" w:space="0" w:color="auto"/>
      </w:divBdr>
    </w:div>
    <w:div w:id="416902214">
      <w:bodyDiv w:val="1"/>
      <w:marLeft w:val="0"/>
      <w:marRight w:val="0"/>
      <w:marTop w:val="0"/>
      <w:marBottom w:val="0"/>
      <w:divBdr>
        <w:top w:val="none" w:sz="0" w:space="0" w:color="auto"/>
        <w:left w:val="none" w:sz="0" w:space="0" w:color="auto"/>
        <w:bottom w:val="none" w:sz="0" w:space="0" w:color="auto"/>
        <w:right w:val="none" w:sz="0" w:space="0" w:color="auto"/>
      </w:divBdr>
    </w:div>
    <w:div w:id="430667228">
      <w:bodyDiv w:val="1"/>
      <w:marLeft w:val="0"/>
      <w:marRight w:val="0"/>
      <w:marTop w:val="0"/>
      <w:marBottom w:val="0"/>
      <w:divBdr>
        <w:top w:val="none" w:sz="0" w:space="0" w:color="auto"/>
        <w:left w:val="none" w:sz="0" w:space="0" w:color="auto"/>
        <w:bottom w:val="none" w:sz="0" w:space="0" w:color="auto"/>
        <w:right w:val="none" w:sz="0" w:space="0" w:color="auto"/>
      </w:divBdr>
    </w:div>
    <w:div w:id="445782962">
      <w:bodyDiv w:val="1"/>
      <w:marLeft w:val="0"/>
      <w:marRight w:val="0"/>
      <w:marTop w:val="0"/>
      <w:marBottom w:val="0"/>
      <w:divBdr>
        <w:top w:val="none" w:sz="0" w:space="0" w:color="auto"/>
        <w:left w:val="none" w:sz="0" w:space="0" w:color="auto"/>
        <w:bottom w:val="none" w:sz="0" w:space="0" w:color="auto"/>
        <w:right w:val="none" w:sz="0" w:space="0" w:color="auto"/>
      </w:divBdr>
    </w:div>
    <w:div w:id="507402411">
      <w:bodyDiv w:val="1"/>
      <w:marLeft w:val="0"/>
      <w:marRight w:val="0"/>
      <w:marTop w:val="0"/>
      <w:marBottom w:val="0"/>
      <w:divBdr>
        <w:top w:val="none" w:sz="0" w:space="0" w:color="auto"/>
        <w:left w:val="none" w:sz="0" w:space="0" w:color="auto"/>
        <w:bottom w:val="none" w:sz="0" w:space="0" w:color="auto"/>
        <w:right w:val="none" w:sz="0" w:space="0" w:color="auto"/>
      </w:divBdr>
    </w:div>
    <w:div w:id="510805234">
      <w:bodyDiv w:val="1"/>
      <w:marLeft w:val="0"/>
      <w:marRight w:val="0"/>
      <w:marTop w:val="0"/>
      <w:marBottom w:val="0"/>
      <w:divBdr>
        <w:top w:val="none" w:sz="0" w:space="0" w:color="auto"/>
        <w:left w:val="none" w:sz="0" w:space="0" w:color="auto"/>
        <w:bottom w:val="none" w:sz="0" w:space="0" w:color="auto"/>
        <w:right w:val="none" w:sz="0" w:space="0" w:color="auto"/>
      </w:divBdr>
    </w:div>
    <w:div w:id="515467391">
      <w:bodyDiv w:val="1"/>
      <w:marLeft w:val="0"/>
      <w:marRight w:val="0"/>
      <w:marTop w:val="0"/>
      <w:marBottom w:val="0"/>
      <w:divBdr>
        <w:top w:val="none" w:sz="0" w:space="0" w:color="auto"/>
        <w:left w:val="none" w:sz="0" w:space="0" w:color="auto"/>
        <w:bottom w:val="none" w:sz="0" w:space="0" w:color="auto"/>
        <w:right w:val="none" w:sz="0" w:space="0" w:color="auto"/>
      </w:divBdr>
    </w:div>
    <w:div w:id="614680881">
      <w:bodyDiv w:val="1"/>
      <w:marLeft w:val="0"/>
      <w:marRight w:val="0"/>
      <w:marTop w:val="0"/>
      <w:marBottom w:val="0"/>
      <w:divBdr>
        <w:top w:val="none" w:sz="0" w:space="0" w:color="auto"/>
        <w:left w:val="none" w:sz="0" w:space="0" w:color="auto"/>
        <w:bottom w:val="none" w:sz="0" w:space="0" w:color="auto"/>
        <w:right w:val="none" w:sz="0" w:space="0" w:color="auto"/>
      </w:divBdr>
    </w:div>
    <w:div w:id="656111611">
      <w:bodyDiv w:val="1"/>
      <w:marLeft w:val="0"/>
      <w:marRight w:val="0"/>
      <w:marTop w:val="0"/>
      <w:marBottom w:val="0"/>
      <w:divBdr>
        <w:top w:val="none" w:sz="0" w:space="0" w:color="auto"/>
        <w:left w:val="none" w:sz="0" w:space="0" w:color="auto"/>
        <w:bottom w:val="none" w:sz="0" w:space="0" w:color="auto"/>
        <w:right w:val="none" w:sz="0" w:space="0" w:color="auto"/>
      </w:divBdr>
    </w:div>
    <w:div w:id="699431191">
      <w:bodyDiv w:val="1"/>
      <w:marLeft w:val="0"/>
      <w:marRight w:val="0"/>
      <w:marTop w:val="0"/>
      <w:marBottom w:val="0"/>
      <w:divBdr>
        <w:top w:val="none" w:sz="0" w:space="0" w:color="auto"/>
        <w:left w:val="none" w:sz="0" w:space="0" w:color="auto"/>
        <w:bottom w:val="none" w:sz="0" w:space="0" w:color="auto"/>
        <w:right w:val="none" w:sz="0" w:space="0" w:color="auto"/>
      </w:divBdr>
    </w:div>
    <w:div w:id="703555219">
      <w:bodyDiv w:val="1"/>
      <w:marLeft w:val="0"/>
      <w:marRight w:val="0"/>
      <w:marTop w:val="0"/>
      <w:marBottom w:val="0"/>
      <w:divBdr>
        <w:top w:val="none" w:sz="0" w:space="0" w:color="auto"/>
        <w:left w:val="none" w:sz="0" w:space="0" w:color="auto"/>
        <w:bottom w:val="none" w:sz="0" w:space="0" w:color="auto"/>
        <w:right w:val="none" w:sz="0" w:space="0" w:color="auto"/>
      </w:divBdr>
    </w:div>
    <w:div w:id="764767663">
      <w:bodyDiv w:val="1"/>
      <w:marLeft w:val="0"/>
      <w:marRight w:val="0"/>
      <w:marTop w:val="0"/>
      <w:marBottom w:val="0"/>
      <w:divBdr>
        <w:top w:val="none" w:sz="0" w:space="0" w:color="auto"/>
        <w:left w:val="none" w:sz="0" w:space="0" w:color="auto"/>
        <w:bottom w:val="none" w:sz="0" w:space="0" w:color="auto"/>
        <w:right w:val="none" w:sz="0" w:space="0" w:color="auto"/>
      </w:divBdr>
    </w:div>
    <w:div w:id="769548530">
      <w:bodyDiv w:val="1"/>
      <w:marLeft w:val="0"/>
      <w:marRight w:val="0"/>
      <w:marTop w:val="0"/>
      <w:marBottom w:val="0"/>
      <w:divBdr>
        <w:top w:val="none" w:sz="0" w:space="0" w:color="auto"/>
        <w:left w:val="none" w:sz="0" w:space="0" w:color="auto"/>
        <w:bottom w:val="none" w:sz="0" w:space="0" w:color="auto"/>
        <w:right w:val="none" w:sz="0" w:space="0" w:color="auto"/>
      </w:divBdr>
    </w:div>
    <w:div w:id="829296445">
      <w:bodyDiv w:val="1"/>
      <w:marLeft w:val="0"/>
      <w:marRight w:val="0"/>
      <w:marTop w:val="0"/>
      <w:marBottom w:val="0"/>
      <w:divBdr>
        <w:top w:val="none" w:sz="0" w:space="0" w:color="auto"/>
        <w:left w:val="none" w:sz="0" w:space="0" w:color="auto"/>
        <w:bottom w:val="none" w:sz="0" w:space="0" w:color="auto"/>
        <w:right w:val="none" w:sz="0" w:space="0" w:color="auto"/>
      </w:divBdr>
    </w:div>
    <w:div w:id="853886189">
      <w:bodyDiv w:val="1"/>
      <w:marLeft w:val="0"/>
      <w:marRight w:val="0"/>
      <w:marTop w:val="0"/>
      <w:marBottom w:val="0"/>
      <w:divBdr>
        <w:top w:val="none" w:sz="0" w:space="0" w:color="auto"/>
        <w:left w:val="none" w:sz="0" w:space="0" w:color="auto"/>
        <w:bottom w:val="none" w:sz="0" w:space="0" w:color="auto"/>
        <w:right w:val="none" w:sz="0" w:space="0" w:color="auto"/>
      </w:divBdr>
    </w:div>
    <w:div w:id="865293542">
      <w:bodyDiv w:val="1"/>
      <w:marLeft w:val="0"/>
      <w:marRight w:val="0"/>
      <w:marTop w:val="0"/>
      <w:marBottom w:val="0"/>
      <w:divBdr>
        <w:top w:val="none" w:sz="0" w:space="0" w:color="auto"/>
        <w:left w:val="none" w:sz="0" w:space="0" w:color="auto"/>
        <w:bottom w:val="none" w:sz="0" w:space="0" w:color="auto"/>
        <w:right w:val="none" w:sz="0" w:space="0" w:color="auto"/>
      </w:divBdr>
    </w:div>
    <w:div w:id="960457975">
      <w:bodyDiv w:val="1"/>
      <w:marLeft w:val="0"/>
      <w:marRight w:val="0"/>
      <w:marTop w:val="0"/>
      <w:marBottom w:val="0"/>
      <w:divBdr>
        <w:top w:val="none" w:sz="0" w:space="0" w:color="auto"/>
        <w:left w:val="none" w:sz="0" w:space="0" w:color="auto"/>
        <w:bottom w:val="none" w:sz="0" w:space="0" w:color="auto"/>
        <w:right w:val="none" w:sz="0" w:space="0" w:color="auto"/>
      </w:divBdr>
    </w:div>
    <w:div w:id="1019507789">
      <w:bodyDiv w:val="1"/>
      <w:marLeft w:val="0"/>
      <w:marRight w:val="0"/>
      <w:marTop w:val="0"/>
      <w:marBottom w:val="0"/>
      <w:divBdr>
        <w:top w:val="none" w:sz="0" w:space="0" w:color="auto"/>
        <w:left w:val="none" w:sz="0" w:space="0" w:color="auto"/>
        <w:bottom w:val="none" w:sz="0" w:space="0" w:color="auto"/>
        <w:right w:val="none" w:sz="0" w:space="0" w:color="auto"/>
      </w:divBdr>
    </w:div>
    <w:div w:id="1021249994">
      <w:bodyDiv w:val="1"/>
      <w:marLeft w:val="0"/>
      <w:marRight w:val="0"/>
      <w:marTop w:val="0"/>
      <w:marBottom w:val="0"/>
      <w:divBdr>
        <w:top w:val="none" w:sz="0" w:space="0" w:color="auto"/>
        <w:left w:val="none" w:sz="0" w:space="0" w:color="auto"/>
        <w:bottom w:val="none" w:sz="0" w:space="0" w:color="auto"/>
        <w:right w:val="none" w:sz="0" w:space="0" w:color="auto"/>
      </w:divBdr>
    </w:div>
    <w:div w:id="1066100325">
      <w:bodyDiv w:val="1"/>
      <w:marLeft w:val="0"/>
      <w:marRight w:val="0"/>
      <w:marTop w:val="0"/>
      <w:marBottom w:val="0"/>
      <w:divBdr>
        <w:top w:val="none" w:sz="0" w:space="0" w:color="auto"/>
        <w:left w:val="none" w:sz="0" w:space="0" w:color="auto"/>
        <w:bottom w:val="none" w:sz="0" w:space="0" w:color="auto"/>
        <w:right w:val="none" w:sz="0" w:space="0" w:color="auto"/>
      </w:divBdr>
    </w:div>
    <w:div w:id="1104230949">
      <w:bodyDiv w:val="1"/>
      <w:marLeft w:val="0"/>
      <w:marRight w:val="0"/>
      <w:marTop w:val="0"/>
      <w:marBottom w:val="0"/>
      <w:divBdr>
        <w:top w:val="none" w:sz="0" w:space="0" w:color="auto"/>
        <w:left w:val="none" w:sz="0" w:space="0" w:color="auto"/>
        <w:bottom w:val="none" w:sz="0" w:space="0" w:color="auto"/>
        <w:right w:val="none" w:sz="0" w:space="0" w:color="auto"/>
      </w:divBdr>
    </w:div>
    <w:div w:id="1190533949">
      <w:bodyDiv w:val="1"/>
      <w:marLeft w:val="0"/>
      <w:marRight w:val="0"/>
      <w:marTop w:val="0"/>
      <w:marBottom w:val="0"/>
      <w:divBdr>
        <w:top w:val="none" w:sz="0" w:space="0" w:color="auto"/>
        <w:left w:val="none" w:sz="0" w:space="0" w:color="auto"/>
        <w:bottom w:val="none" w:sz="0" w:space="0" w:color="auto"/>
        <w:right w:val="none" w:sz="0" w:space="0" w:color="auto"/>
      </w:divBdr>
    </w:div>
    <w:div w:id="1206214087">
      <w:bodyDiv w:val="1"/>
      <w:marLeft w:val="0"/>
      <w:marRight w:val="0"/>
      <w:marTop w:val="0"/>
      <w:marBottom w:val="0"/>
      <w:divBdr>
        <w:top w:val="none" w:sz="0" w:space="0" w:color="auto"/>
        <w:left w:val="none" w:sz="0" w:space="0" w:color="auto"/>
        <w:bottom w:val="none" w:sz="0" w:space="0" w:color="auto"/>
        <w:right w:val="none" w:sz="0" w:space="0" w:color="auto"/>
      </w:divBdr>
    </w:div>
    <w:div w:id="1217930424">
      <w:bodyDiv w:val="1"/>
      <w:marLeft w:val="0"/>
      <w:marRight w:val="0"/>
      <w:marTop w:val="0"/>
      <w:marBottom w:val="0"/>
      <w:divBdr>
        <w:top w:val="none" w:sz="0" w:space="0" w:color="auto"/>
        <w:left w:val="none" w:sz="0" w:space="0" w:color="auto"/>
        <w:bottom w:val="none" w:sz="0" w:space="0" w:color="auto"/>
        <w:right w:val="none" w:sz="0" w:space="0" w:color="auto"/>
      </w:divBdr>
    </w:div>
    <w:div w:id="1235698304">
      <w:bodyDiv w:val="1"/>
      <w:marLeft w:val="0"/>
      <w:marRight w:val="0"/>
      <w:marTop w:val="0"/>
      <w:marBottom w:val="0"/>
      <w:divBdr>
        <w:top w:val="none" w:sz="0" w:space="0" w:color="auto"/>
        <w:left w:val="none" w:sz="0" w:space="0" w:color="auto"/>
        <w:bottom w:val="none" w:sz="0" w:space="0" w:color="auto"/>
        <w:right w:val="none" w:sz="0" w:space="0" w:color="auto"/>
      </w:divBdr>
    </w:div>
    <w:div w:id="1303656227">
      <w:bodyDiv w:val="1"/>
      <w:marLeft w:val="0"/>
      <w:marRight w:val="0"/>
      <w:marTop w:val="0"/>
      <w:marBottom w:val="0"/>
      <w:divBdr>
        <w:top w:val="none" w:sz="0" w:space="0" w:color="auto"/>
        <w:left w:val="none" w:sz="0" w:space="0" w:color="auto"/>
        <w:bottom w:val="none" w:sz="0" w:space="0" w:color="auto"/>
        <w:right w:val="none" w:sz="0" w:space="0" w:color="auto"/>
      </w:divBdr>
    </w:div>
    <w:div w:id="1309555038">
      <w:bodyDiv w:val="1"/>
      <w:marLeft w:val="0"/>
      <w:marRight w:val="0"/>
      <w:marTop w:val="0"/>
      <w:marBottom w:val="0"/>
      <w:divBdr>
        <w:top w:val="none" w:sz="0" w:space="0" w:color="auto"/>
        <w:left w:val="none" w:sz="0" w:space="0" w:color="auto"/>
        <w:bottom w:val="none" w:sz="0" w:space="0" w:color="auto"/>
        <w:right w:val="none" w:sz="0" w:space="0" w:color="auto"/>
      </w:divBdr>
    </w:div>
    <w:div w:id="1319075047">
      <w:bodyDiv w:val="1"/>
      <w:marLeft w:val="0"/>
      <w:marRight w:val="0"/>
      <w:marTop w:val="0"/>
      <w:marBottom w:val="0"/>
      <w:divBdr>
        <w:top w:val="none" w:sz="0" w:space="0" w:color="auto"/>
        <w:left w:val="none" w:sz="0" w:space="0" w:color="auto"/>
        <w:bottom w:val="none" w:sz="0" w:space="0" w:color="auto"/>
        <w:right w:val="none" w:sz="0" w:space="0" w:color="auto"/>
      </w:divBdr>
    </w:div>
    <w:div w:id="1382440008">
      <w:bodyDiv w:val="1"/>
      <w:marLeft w:val="0"/>
      <w:marRight w:val="0"/>
      <w:marTop w:val="0"/>
      <w:marBottom w:val="0"/>
      <w:divBdr>
        <w:top w:val="none" w:sz="0" w:space="0" w:color="auto"/>
        <w:left w:val="none" w:sz="0" w:space="0" w:color="auto"/>
        <w:bottom w:val="none" w:sz="0" w:space="0" w:color="auto"/>
        <w:right w:val="none" w:sz="0" w:space="0" w:color="auto"/>
      </w:divBdr>
    </w:div>
    <w:div w:id="1443306205">
      <w:bodyDiv w:val="1"/>
      <w:marLeft w:val="0"/>
      <w:marRight w:val="0"/>
      <w:marTop w:val="0"/>
      <w:marBottom w:val="0"/>
      <w:divBdr>
        <w:top w:val="none" w:sz="0" w:space="0" w:color="auto"/>
        <w:left w:val="none" w:sz="0" w:space="0" w:color="auto"/>
        <w:bottom w:val="none" w:sz="0" w:space="0" w:color="auto"/>
        <w:right w:val="none" w:sz="0" w:space="0" w:color="auto"/>
      </w:divBdr>
    </w:div>
    <w:div w:id="1476146436">
      <w:bodyDiv w:val="1"/>
      <w:marLeft w:val="0"/>
      <w:marRight w:val="0"/>
      <w:marTop w:val="0"/>
      <w:marBottom w:val="0"/>
      <w:divBdr>
        <w:top w:val="none" w:sz="0" w:space="0" w:color="auto"/>
        <w:left w:val="none" w:sz="0" w:space="0" w:color="auto"/>
        <w:bottom w:val="none" w:sz="0" w:space="0" w:color="auto"/>
        <w:right w:val="none" w:sz="0" w:space="0" w:color="auto"/>
      </w:divBdr>
    </w:div>
    <w:div w:id="1485317785">
      <w:bodyDiv w:val="1"/>
      <w:marLeft w:val="0"/>
      <w:marRight w:val="0"/>
      <w:marTop w:val="0"/>
      <w:marBottom w:val="0"/>
      <w:divBdr>
        <w:top w:val="none" w:sz="0" w:space="0" w:color="auto"/>
        <w:left w:val="none" w:sz="0" w:space="0" w:color="auto"/>
        <w:bottom w:val="none" w:sz="0" w:space="0" w:color="auto"/>
        <w:right w:val="none" w:sz="0" w:space="0" w:color="auto"/>
      </w:divBdr>
    </w:div>
    <w:div w:id="1491096935">
      <w:bodyDiv w:val="1"/>
      <w:marLeft w:val="0"/>
      <w:marRight w:val="0"/>
      <w:marTop w:val="0"/>
      <w:marBottom w:val="0"/>
      <w:divBdr>
        <w:top w:val="none" w:sz="0" w:space="0" w:color="auto"/>
        <w:left w:val="none" w:sz="0" w:space="0" w:color="auto"/>
        <w:bottom w:val="none" w:sz="0" w:space="0" w:color="auto"/>
        <w:right w:val="none" w:sz="0" w:space="0" w:color="auto"/>
      </w:divBdr>
    </w:div>
    <w:div w:id="1508904282">
      <w:bodyDiv w:val="1"/>
      <w:marLeft w:val="0"/>
      <w:marRight w:val="0"/>
      <w:marTop w:val="0"/>
      <w:marBottom w:val="0"/>
      <w:divBdr>
        <w:top w:val="none" w:sz="0" w:space="0" w:color="auto"/>
        <w:left w:val="none" w:sz="0" w:space="0" w:color="auto"/>
        <w:bottom w:val="none" w:sz="0" w:space="0" w:color="auto"/>
        <w:right w:val="none" w:sz="0" w:space="0" w:color="auto"/>
      </w:divBdr>
    </w:div>
    <w:div w:id="1653635338">
      <w:bodyDiv w:val="1"/>
      <w:marLeft w:val="0"/>
      <w:marRight w:val="0"/>
      <w:marTop w:val="0"/>
      <w:marBottom w:val="0"/>
      <w:divBdr>
        <w:top w:val="none" w:sz="0" w:space="0" w:color="auto"/>
        <w:left w:val="none" w:sz="0" w:space="0" w:color="auto"/>
        <w:bottom w:val="none" w:sz="0" w:space="0" w:color="auto"/>
        <w:right w:val="none" w:sz="0" w:space="0" w:color="auto"/>
      </w:divBdr>
    </w:div>
    <w:div w:id="1676178646">
      <w:bodyDiv w:val="1"/>
      <w:marLeft w:val="0"/>
      <w:marRight w:val="0"/>
      <w:marTop w:val="0"/>
      <w:marBottom w:val="0"/>
      <w:divBdr>
        <w:top w:val="none" w:sz="0" w:space="0" w:color="auto"/>
        <w:left w:val="none" w:sz="0" w:space="0" w:color="auto"/>
        <w:bottom w:val="none" w:sz="0" w:space="0" w:color="auto"/>
        <w:right w:val="none" w:sz="0" w:space="0" w:color="auto"/>
      </w:divBdr>
    </w:div>
    <w:div w:id="1688826054">
      <w:bodyDiv w:val="1"/>
      <w:marLeft w:val="0"/>
      <w:marRight w:val="0"/>
      <w:marTop w:val="0"/>
      <w:marBottom w:val="0"/>
      <w:divBdr>
        <w:top w:val="none" w:sz="0" w:space="0" w:color="auto"/>
        <w:left w:val="none" w:sz="0" w:space="0" w:color="auto"/>
        <w:bottom w:val="none" w:sz="0" w:space="0" w:color="auto"/>
        <w:right w:val="none" w:sz="0" w:space="0" w:color="auto"/>
      </w:divBdr>
    </w:div>
    <w:div w:id="1706559922">
      <w:bodyDiv w:val="1"/>
      <w:marLeft w:val="0"/>
      <w:marRight w:val="0"/>
      <w:marTop w:val="0"/>
      <w:marBottom w:val="0"/>
      <w:divBdr>
        <w:top w:val="none" w:sz="0" w:space="0" w:color="auto"/>
        <w:left w:val="none" w:sz="0" w:space="0" w:color="auto"/>
        <w:bottom w:val="none" w:sz="0" w:space="0" w:color="auto"/>
        <w:right w:val="none" w:sz="0" w:space="0" w:color="auto"/>
      </w:divBdr>
    </w:div>
    <w:div w:id="1808860735">
      <w:bodyDiv w:val="1"/>
      <w:marLeft w:val="0"/>
      <w:marRight w:val="0"/>
      <w:marTop w:val="0"/>
      <w:marBottom w:val="0"/>
      <w:divBdr>
        <w:top w:val="none" w:sz="0" w:space="0" w:color="auto"/>
        <w:left w:val="none" w:sz="0" w:space="0" w:color="auto"/>
        <w:bottom w:val="none" w:sz="0" w:space="0" w:color="auto"/>
        <w:right w:val="none" w:sz="0" w:space="0" w:color="auto"/>
      </w:divBdr>
    </w:div>
    <w:div w:id="1880170191">
      <w:bodyDiv w:val="1"/>
      <w:marLeft w:val="0"/>
      <w:marRight w:val="0"/>
      <w:marTop w:val="0"/>
      <w:marBottom w:val="0"/>
      <w:divBdr>
        <w:top w:val="none" w:sz="0" w:space="0" w:color="auto"/>
        <w:left w:val="none" w:sz="0" w:space="0" w:color="auto"/>
        <w:bottom w:val="none" w:sz="0" w:space="0" w:color="auto"/>
        <w:right w:val="none" w:sz="0" w:space="0" w:color="auto"/>
      </w:divBdr>
    </w:div>
    <w:div w:id="1948998769">
      <w:bodyDiv w:val="1"/>
      <w:marLeft w:val="0"/>
      <w:marRight w:val="0"/>
      <w:marTop w:val="0"/>
      <w:marBottom w:val="0"/>
      <w:divBdr>
        <w:top w:val="none" w:sz="0" w:space="0" w:color="auto"/>
        <w:left w:val="none" w:sz="0" w:space="0" w:color="auto"/>
        <w:bottom w:val="none" w:sz="0" w:space="0" w:color="auto"/>
        <w:right w:val="none" w:sz="0" w:space="0" w:color="auto"/>
      </w:divBdr>
    </w:div>
    <w:div w:id="1978023669">
      <w:bodyDiv w:val="1"/>
      <w:marLeft w:val="0"/>
      <w:marRight w:val="0"/>
      <w:marTop w:val="0"/>
      <w:marBottom w:val="0"/>
      <w:divBdr>
        <w:top w:val="none" w:sz="0" w:space="0" w:color="auto"/>
        <w:left w:val="none" w:sz="0" w:space="0" w:color="auto"/>
        <w:bottom w:val="none" w:sz="0" w:space="0" w:color="auto"/>
        <w:right w:val="none" w:sz="0" w:space="0" w:color="auto"/>
      </w:divBdr>
    </w:div>
    <w:div w:id="2036691566">
      <w:bodyDiv w:val="1"/>
      <w:marLeft w:val="0"/>
      <w:marRight w:val="0"/>
      <w:marTop w:val="0"/>
      <w:marBottom w:val="0"/>
      <w:divBdr>
        <w:top w:val="none" w:sz="0" w:space="0" w:color="auto"/>
        <w:left w:val="none" w:sz="0" w:space="0" w:color="auto"/>
        <w:bottom w:val="none" w:sz="0" w:space="0" w:color="auto"/>
        <w:right w:val="none" w:sz="0" w:space="0" w:color="auto"/>
      </w:divBdr>
    </w:div>
    <w:div w:id="2090694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rldefense.com/v3/__https:/www.oecd.org/en/publications/combatting-discrimination-in-the-european-union_29c2c36a-en.html__;!!DOxrgLBm!BC7ZqODAzAlF74KveNbz7nLsayg9Pijh_U_awxxH27ojgASNZu22P5Gm5zHRhOiZh301CY28X9o45TAz6PAzEODocg$" TargetMode="External"/><Relationship Id="rId21" Type="http://schemas.openxmlformats.org/officeDocument/2006/relationships/hyperlink" Target="https://ec.europa.eu/commission/presscorner/detail/bg/SPEECH_25_2053" TargetMode="External"/><Relationship Id="rId42" Type="http://schemas.openxmlformats.org/officeDocument/2006/relationships/hyperlink" Target="https://eur-lex.europa.eu/legal-content/BG/TXT/?uri=celex%3A32024H1238" TargetMode="External"/><Relationship Id="rId47" Type="http://schemas.openxmlformats.org/officeDocument/2006/relationships/hyperlink" Target="https://digital-strategy.ec.europa.eu/bg/library/code-conduct-countering-illegal-hate-speech-online" TargetMode="External"/><Relationship Id="rId63" Type="http://schemas.openxmlformats.org/officeDocument/2006/relationships/hyperlink" Target="https://eur-lex.europa.eu/legal-content/BG/TXT/?uri=celex:52023DC0298" TargetMode="External"/><Relationship Id="rId68" Type="http://schemas.openxmlformats.org/officeDocument/2006/relationships/hyperlink" Target="http://data.europa.eu/eli/C/2024/3527/oj" TargetMode="External"/><Relationship Id="rId84" Type="http://schemas.openxmlformats.org/officeDocument/2006/relationships/hyperlink" Target="https://commission.europa.eu/publications/european-social-fund_bg" TargetMode="External"/><Relationship Id="rId89" Type="http://schemas.openxmlformats.org/officeDocument/2006/relationships/hyperlink" Target="https://www.eeas.europa.eu/sites/default/files/documents/2024/Action-Plan-EN_2020-2027.pdf" TargetMode="External"/><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commission.europa.eu/document/download/e6cd4328-673c-4e7a-8683-f63ffb2cf648_en?filename=Political%20Guidelines%202024-2029_BG.pdf" TargetMode="External"/><Relationship Id="rId107" Type="http://schemas.openxmlformats.org/officeDocument/2006/relationships/footer" Target="footer4.xml"/><Relationship Id="rId11" Type="http://schemas.openxmlformats.org/officeDocument/2006/relationships/webSettings" Target="webSettings.xml"/><Relationship Id="rId24" Type="http://schemas.openxmlformats.org/officeDocument/2006/relationships/hyperlink" Target="https://fra.europa.eu/bg/publication/2024/lgbtiq-equality-crossroads-progress-and-challenges" TargetMode="External"/><Relationship Id="rId32" Type="http://schemas.openxmlformats.org/officeDocument/2006/relationships/hyperlink" Target="https://citizens-initiative.europa.eu/initiatives/details/2024/000001_bg" TargetMode="External"/><Relationship Id="rId37" Type="http://schemas.openxmlformats.org/officeDocument/2006/relationships/hyperlink" Target="https://eur-lex.europa.eu/legal-content/BG/TXT/?uri=celex%3A52023PC0424" TargetMode="External"/><Relationship Id="rId40" Type="http://schemas.openxmlformats.org/officeDocument/2006/relationships/hyperlink" Target="https://research-and-innovation.ec.europa.eu/funding/funding-opportunities/funding-programmes-and-open-calls/horizon-europe/cluster-2-culture-creativity-and-inclusive-society_en?prefLang=bg" TargetMode="External"/><Relationship Id="rId45" Type="http://schemas.openxmlformats.org/officeDocument/2006/relationships/hyperlink" Target="https://webgate.ec.europa.eu/circabc-ewpp/d/d/workspace/SpacesStore/b81316ab-a513-49a1-b520-b6a6e0de6986/file.bin" TargetMode="External"/><Relationship Id="rId53" Type="http://schemas.openxmlformats.org/officeDocument/2006/relationships/hyperlink" Target="https://commission.europa.eu/strategy-and-policy/policies/justice-and-fundamental-rights/combatting-discrimination/lesbian-gay-bi-trans-and-intersex-equality/lgbtiq-equality-strategy-2020-2025_en?prefLang=bg" TargetMode="External"/><Relationship Id="rId58" Type="http://schemas.openxmlformats.org/officeDocument/2006/relationships/hyperlink" Target="https://webgate.ec.europa.eu/dyna/bp-portal/" TargetMode="External"/><Relationship Id="rId66" Type="http://schemas.openxmlformats.org/officeDocument/2006/relationships/hyperlink" Target="https://sport.ec.europa.eu/initiatives/beactive-eu-sport-awards" TargetMode="External"/><Relationship Id="rId74" Type="http://schemas.openxmlformats.org/officeDocument/2006/relationships/hyperlink" Target="https://www.equalitylaw.eu/" TargetMode="External"/><Relationship Id="rId79" Type="http://schemas.openxmlformats.org/officeDocument/2006/relationships/hyperlink" Target="https://www.oecd.org/content/dam/oecd/en/publications/reports/2025/06/combatting-discrimination-in-the-european-union_e408d1a9/29c2c36a-en.pdf" TargetMode="External"/><Relationship Id="rId87" Type="http://schemas.openxmlformats.org/officeDocument/2006/relationships/hyperlink" Target="https://europa.eu/youreurope/index.htm" TargetMode="External"/><Relationship Id="rId102" Type="http://schemas.openxmlformats.org/officeDocument/2006/relationships/hyperlink" Target="https://www.eeas.europa.eu/sites/default/files/eu_guidelines_hrd_en.pdf" TargetMode="External"/><Relationship Id="rId110" Type="http://schemas.openxmlformats.org/officeDocument/2006/relationships/footer" Target="footer6.xml"/><Relationship Id="rId5" Type="http://schemas.openxmlformats.org/officeDocument/2006/relationships/customXml" Target="../customXml/item5.xml"/><Relationship Id="rId61" Type="http://schemas.openxmlformats.org/officeDocument/2006/relationships/hyperlink" Target="https://cancer-inequalities.jrc.ec.europa.eu/" TargetMode="External"/><Relationship Id="rId82" Type="http://schemas.openxmlformats.org/officeDocument/2006/relationships/hyperlink" Target="https://www.raznolikost.eu/wp-content/uploads/DiversityCharters-in-the-EU_PLEDGE_April-2025.docx.pdf" TargetMode="External"/><Relationship Id="rId90" Type="http://schemas.openxmlformats.org/officeDocument/2006/relationships/hyperlink" Target="https://commission.europa.eu/document/download/c442d610-c462-4aaf-b341-8f5a3cde5830_bg?filename=guidelines_for_strategies_and_action_plans_to_enhance_lgbtiq_equality_2022final16_05.pdf" TargetMode="External"/><Relationship Id="rId95" Type="http://schemas.openxmlformats.org/officeDocument/2006/relationships/hyperlink" Target="https://commission.europa.eu/business-economy-euro/economic-recovery/recovery-and-resilience-facility_bg" TargetMode="External"/><Relationship Id="rId19" Type="http://schemas.openxmlformats.org/officeDocument/2006/relationships/header" Target="header3.xml"/><Relationship Id="rId14" Type="http://schemas.openxmlformats.org/officeDocument/2006/relationships/image" Target="media/image1.emf"/><Relationship Id="rId22" Type="http://schemas.openxmlformats.org/officeDocument/2006/relationships/hyperlink" Target="https://commission.europa.eu/strategy-and-policy/policies/justice-and-fundamental-rights/combatting-discrimination/lesbian-gay-bi-trans-and-intersex-equality/lgbtiq-equality-strategy-2020-2025_en?prefLang=bg" TargetMode="External"/><Relationship Id="rId27" Type="http://schemas.openxmlformats.org/officeDocument/2006/relationships/hyperlink" Target="https://eur-lex.europa.eu/legal-content/BG/TXT/PDF/?uri=CELEX:52024DC0420" TargetMode="External"/><Relationship Id="rId30" Type="http://schemas.openxmlformats.org/officeDocument/2006/relationships/hyperlink" Target="https://ec.europa.eu/info/law/better-regulation/have-your-say/initiatives/14551-EU-LGBTIQ-equality-strategy-for-2026-2030_bg" TargetMode="External"/><Relationship Id="rId35" Type="http://schemas.openxmlformats.org/officeDocument/2006/relationships/hyperlink" Target="https://commission.europa.eu/strategy-and-policy/policies/justice-and-fundamental-rights/combatting-discrimination/racism-and-xenophobia/combating-hate-speech-and-hate-crime_en?prefLang=bg" TargetMode="External"/><Relationship Id="rId43" Type="http://schemas.openxmlformats.org/officeDocument/2006/relationships/hyperlink" Target="https://eur-lex.europa.eu/legal-content/BG/TXT/?uri=celex:52025DC0148" TargetMode="External"/><Relationship Id="rId48" Type="http://schemas.openxmlformats.org/officeDocument/2006/relationships/hyperlink" Target="https://citizens.ec.europa.eu/european-citizens-panels/tackling-hatred-society-panel_bg" TargetMode="External"/><Relationship Id="rId56" Type="http://schemas.openxmlformats.org/officeDocument/2006/relationships/hyperlink" Target="https://youth.europa.eu/strategy/euyouthstrategygroup_bg" TargetMode="External"/><Relationship Id="rId64" Type="http://schemas.openxmlformats.org/officeDocument/2006/relationships/hyperlink" Target="https://eur-lex.europa.eu/legal-content/BG/TXT/?uri=celex%3A52021DC0101" TargetMode="External"/><Relationship Id="rId69" Type="http://schemas.openxmlformats.org/officeDocument/2006/relationships/hyperlink" Target="https://eur-lex.europa.eu/eli/reg/2024/1689/oj" TargetMode="External"/><Relationship Id="rId77" Type="http://schemas.openxmlformats.org/officeDocument/2006/relationships/hyperlink" Target="https://eur-lex.europa.eu/eli/dir/2024/1499/oj/bg" TargetMode="External"/><Relationship Id="rId100" Type="http://schemas.openxmlformats.org/officeDocument/2006/relationships/hyperlink" Target="https://gsphub.eu/about-gsp/eba" TargetMode="External"/><Relationship Id="rId105" Type="http://schemas.openxmlformats.org/officeDocument/2006/relationships/header" Target="header4.xml"/><Relationship Id="rId8" Type="http://schemas.openxmlformats.org/officeDocument/2006/relationships/numbering" Target="numbering.xml"/><Relationship Id="rId51" Type="http://schemas.openxmlformats.org/officeDocument/2006/relationships/hyperlink" Target="https://fra.europa.eu/bg/publication/2023/being-black-eu" TargetMode="External"/><Relationship Id="rId72" Type="http://schemas.openxmlformats.org/officeDocument/2006/relationships/hyperlink" Target="https://commission.europa.eu/document/download/f713e60d-403a-41eb-934b-a70f65ec66a8_en?filename=Study%20on%20sanctions%20for%20discrimination%20on%20racial%2Cethnic%2Creligious%20grounds.pdf" TargetMode="External"/><Relationship Id="rId80" Type="http://schemas.openxmlformats.org/officeDocument/2006/relationships/hyperlink" Target="https://eu-diversity-inclusion.campaign.europa.eu/eu-platform-diversity-charters_en?prefLang=bg" TargetMode="External"/><Relationship Id="rId85" Type="http://schemas.openxmlformats.org/officeDocument/2006/relationships/hyperlink" Target="https://eur-lex.europa.eu/eli/dir/2004/38/oj/bg" TargetMode="External"/><Relationship Id="rId93" Type="http://schemas.openxmlformats.org/officeDocument/2006/relationships/hyperlink" Target="https://commission.europa.eu/topics/youth/youth-dialogues_en" TargetMode="External"/><Relationship Id="rId98" Type="http://schemas.openxmlformats.org/officeDocument/2006/relationships/hyperlink" Target="https://commission.europa.eu/strategy-and-policy/policies/justice-and-fundamental-rights/combatting-discrimination/equality-data-collection/round-table-equality-data-30-september-2021_bg"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yperlink" Target="https://fra.europa.eu/bg/publication/2023/civic-space-2023-update" TargetMode="External"/><Relationship Id="rId33" Type="http://schemas.openxmlformats.org/officeDocument/2006/relationships/hyperlink" Target="https://eur-lex.europa.eu/legal-content/BG/TXT/?uri=CELEX%3A32024L1385&amp;qid=1721907928628" TargetMode="External"/><Relationship Id="rId38" Type="http://schemas.openxmlformats.org/officeDocument/2006/relationships/hyperlink" Target="https://eur-lex.europa.eu/legal-content/BG/TXT/?uri=celex:52020DC0258" TargetMode="External"/><Relationship Id="rId46" Type="http://schemas.openxmlformats.org/officeDocument/2006/relationships/hyperlink" Target="https://eur-lex.europa.eu/legal-content/BG/TXT/?uri=CELEX:32022R2065" TargetMode="External"/><Relationship Id="rId59" Type="http://schemas.openxmlformats.org/officeDocument/2006/relationships/hyperlink" Target="https://health.ec.europa.eu/social-determinants/projects/european-parliament-projects_en?prefLang=bg" TargetMode="External"/><Relationship Id="rId67" Type="http://schemas.openxmlformats.org/officeDocument/2006/relationships/hyperlink" Target="https://sport.ec.europa.eu/european-week-of-sport" TargetMode="External"/><Relationship Id="rId103" Type="http://schemas.openxmlformats.org/officeDocument/2006/relationships/hyperlink" Target="https://protectdefenders.eu/" TargetMode="External"/><Relationship Id="rId108" Type="http://schemas.openxmlformats.org/officeDocument/2006/relationships/footer" Target="footer5.xml"/><Relationship Id="rId20" Type="http://schemas.openxmlformats.org/officeDocument/2006/relationships/footer" Target="footer3.xml"/><Relationship Id="rId41" Type="http://schemas.openxmlformats.org/officeDocument/2006/relationships/hyperlink" Target="https://commission.europa.eu/topics/research-and-innovation/choose-europe_en" TargetMode="External"/><Relationship Id="rId54" Type="http://schemas.openxmlformats.org/officeDocument/2006/relationships/hyperlink" Target="https://eur-lex.europa.eu/legal-content/bg/TXT/?uri=CELEX%3A52021DC0142" TargetMode="External"/><Relationship Id="rId62" Type="http://schemas.openxmlformats.org/officeDocument/2006/relationships/hyperlink" Target="https://eur-lex.europa.eu/legal-content/BG/TXT/?uri=CELEX%3A52025DC0529" TargetMode="External"/><Relationship Id="rId70" Type="http://schemas.openxmlformats.org/officeDocument/2006/relationships/hyperlink" Target="https://eur-lex.europa.eu/legal-content/BG/TXT/?uri=celex:52025DC0090" TargetMode="External"/><Relationship Id="rId75" Type="http://schemas.openxmlformats.org/officeDocument/2006/relationships/hyperlink" Target="https://eur-lex.europa.eu/legal-content/BG/TXT/?uri=CELEX:52008PC0426" TargetMode="External"/><Relationship Id="rId83" Type="http://schemas.openxmlformats.org/officeDocument/2006/relationships/hyperlink" Target="https://www.eurofound.europa.eu/en/surveys-and-data/surveys/living-and-working-in-the-eu-e-survey/e-survey-2023" TargetMode="External"/><Relationship Id="rId88" Type="http://schemas.openxmlformats.org/officeDocument/2006/relationships/hyperlink" Target="https://eur-lex.europa.eu/legal-content/BG/TXT/?uri=CELEX%3A52022PC0695" TargetMode="External"/><Relationship Id="rId91" Type="http://schemas.openxmlformats.org/officeDocument/2006/relationships/hyperlink" Target="https://commission.europa.eu/document/e1c36a26-d8b3-4214-a280-8b08e28f8d16_bg" TargetMode="External"/><Relationship Id="rId96" Type="http://schemas.openxmlformats.org/officeDocument/2006/relationships/hyperlink" Target="https://commission.europa.eu/funding-tenders/find-funding/funding-management-mode/common-provisions-regulation_bg"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s://europa.eu/eurobarometer/surveys/detail/2972?etrans=bg" TargetMode="External"/><Relationship Id="rId28" Type="http://schemas.openxmlformats.org/officeDocument/2006/relationships/hyperlink" Target="https://open.overheid.nl/documenten/ronl-00b035d542eefa7def397baa1f137824159e962a/pdf" TargetMode="External"/><Relationship Id="rId36" Type="http://schemas.openxmlformats.org/officeDocument/2006/relationships/hyperlink" Target="https://eur-lex.europa.eu/legal-content/BG/TXT/?qid=1753799477044&amp;uri=CELEX%3A52025PC0550" TargetMode="External"/><Relationship Id="rId49" Type="http://schemas.openxmlformats.org/officeDocument/2006/relationships/hyperlink" Target="https://eur-lex.europa.eu/legal-content/BG/ALL/?uri=CELEX:32010L0013" TargetMode="External"/><Relationship Id="rId57" Type="http://schemas.openxmlformats.org/officeDocument/2006/relationships/hyperlink" Target="https://webgate.ec.europa.eu/hpf/page/show/505" TargetMode="External"/><Relationship Id="rId106" Type="http://schemas.openxmlformats.org/officeDocument/2006/relationships/header" Target="header5.xml"/><Relationship Id="rId10" Type="http://schemas.openxmlformats.org/officeDocument/2006/relationships/settings" Target="settings.xml"/><Relationship Id="rId31" Type="http://schemas.openxmlformats.org/officeDocument/2006/relationships/hyperlink" Target="https://fra.europa.eu/bg/publication/2025/being-intersex-eu" TargetMode="External"/><Relationship Id="rId44" Type="http://schemas.openxmlformats.org/officeDocument/2006/relationships/hyperlink" Target="https://eur-lex.europa.eu/legal-content/BG/TXT/?uri=celex:52025DC0148" TargetMode="External"/><Relationship Id="rId52" Type="http://schemas.openxmlformats.org/officeDocument/2006/relationships/hyperlink" Target="https://eur-lex.europa.eu/legal-content/BG/TXT/?uri=celex:52020DC0758" TargetMode="External"/><Relationship Id="rId60" Type="http://schemas.openxmlformats.org/officeDocument/2006/relationships/hyperlink" Target="https://eur-lex.europa.eu/legal-content/BG/TXT/?uri=COM%3A2021%3A44%3AFIN" TargetMode="External"/><Relationship Id="rId65" Type="http://schemas.openxmlformats.org/officeDocument/2006/relationships/hyperlink" Target="https://eur-lex.europa.eu/legal-content/BG/TXT/?uri=CELEX%3A32021R0818" TargetMode="External"/><Relationship Id="rId73" Type="http://schemas.openxmlformats.org/officeDocument/2006/relationships/hyperlink" Target="https://eur-lex.europa.eu/legal-content/BG/TXT/?uri=CELEX:32023L0970" TargetMode="External"/><Relationship Id="rId78" Type="http://schemas.openxmlformats.org/officeDocument/2006/relationships/hyperlink" Target="https://curia.europa.eu/juris/document/document.jsf?text=&amp;docid=300973&amp;pageIndex=0&amp;doclang=BG&amp;mode=lst&amp;dir=&amp;occ=first&amp;part=1&amp;cid=3270211" TargetMode="External"/><Relationship Id="rId81" Type="http://schemas.openxmlformats.org/officeDocument/2006/relationships/hyperlink" Target="https://commission.europa.eu/strategy-and-policy/policies/justice-and-fundamental-rights/disability/union-equality-strategy-rights-persons-disabilities-2021-2030_en?prefLang=bg" TargetMode="External"/><Relationship Id="rId86" Type="http://schemas.openxmlformats.org/officeDocument/2006/relationships/hyperlink" Target="https://eur-lex.europa.eu/eli/C/2023/1392/oj/bg" TargetMode="External"/><Relationship Id="rId94" Type="http://schemas.openxmlformats.org/officeDocument/2006/relationships/hyperlink" Target="https://commission.europa.eu/funding-tenders/find-funding/eu-funding-programmes/technical-support-instrument/technical-support-instrument-tsi_bg" TargetMode="External"/><Relationship Id="rId99" Type="http://schemas.openxmlformats.org/officeDocument/2006/relationships/hyperlink" Target="https://eur-lex.europa.eu/eli/reg/2012/978/2023-11-28" TargetMode="External"/><Relationship Id="rId101" Type="http://schemas.openxmlformats.org/officeDocument/2006/relationships/hyperlink" Target="https://home-affairs.ec.europa.eu/document/download/1d79f44d-49ba-4847-951e-129f924b1051_en?filename=Commission%20Implementing%20Decision%20C(2024)%204319-annex_en.PDF" TargetMode="Externa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9" Type="http://schemas.openxmlformats.org/officeDocument/2006/relationships/hyperlink" Target="https://op.europa.eu/en/publication-detail/-/publication/6ce8aef5-70b3-11ef-a8ba-01aa75ed71a1/language-bg" TargetMode="External"/><Relationship Id="rId109" Type="http://schemas.openxmlformats.org/officeDocument/2006/relationships/header" Target="header6.xml"/><Relationship Id="rId34" Type="http://schemas.openxmlformats.org/officeDocument/2006/relationships/hyperlink" Target="https://citizens.ec.europa.eu/european-citizens-panels/tackling-hatred-society-panel_bg" TargetMode="External"/><Relationship Id="rId50" Type="http://schemas.openxmlformats.org/officeDocument/2006/relationships/hyperlink" Target="https://home-affairs.ec.europa.eu/policies/migration-and-asylum/pact-migration-and-asylum_bg" TargetMode="External"/><Relationship Id="rId55" Type="http://schemas.openxmlformats.org/officeDocument/2006/relationships/hyperlink" Target="https://new-european-bauhaus.europa.eu/index_en?prefLang=bg" TargetMode="External"/><Relationship Id="rId76" Type="http://schemas.openxmlformats.org/officeDocument/2006/relationships/hyperlink" Target="https://eur-lex.europa.eu/eli/dir/2024/1500/oj/bg" TargetMode="External"/><Relationship Id="rId97" Type="http://schemas.openxmlformats.org/officeDocument/2006/relationships/hyperlink" Target="https://eur-lex.europa.eu/eli/reg/2024/2509/oj/bg" TargetMode="External"/><Relationship Id="rId104" Type="http://schemas.openxmlformats.org/officeDocument/2006/relationships/hyperlink" Target="https://eur-lex.europa.eu/legal-content/BG/TXT/?uri=CELEX%3A52025PC0551&amp;qid=1753799711782" TargetMode="External"/><Relationship Id="rId7" Type="http://schemas.openxmlformats.org/officeDocument/2006/relationships/customXml" Target="../customXml/item7.xml"/><Relationship Id="rId71" Type="http://schemas.openxmlformats.org/officeDocument/2006/relationships/hyperlink" Target="https://eur-lex.europa.eu/eli/dir/2000/78/oj/eng" TargetMode="External"/><Relationship Id="rId92" Type="http://schemas.openxmlformats.org/officeDocument/2006/relationships/hyperlink" Target="https://eu-diversity-inclusion.campaign.europa.eu/european-capitals-inclusion-and-diversity-award_bg"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data.europa.eu/doi/10.2838/50202" TargetMode="External"/><Relationship Id="rId18" Type="http://schemas.openxmlformats.org/officeDocument/2006/relationships/hyperlink" Target="https://eur-lex.europa.eu/legal-content/BG/TXT/?uri=CELEX%3A52021DC0777" TargetMode="External"/><Relationship Id="rId26" Type="http://schemas.openxmlformats.org/officeDocument/2006/relationships/hyperlink" Target="https://eur-lex.europa.eu/legal-content/BG/TXT/?uri=CELEX:52024PC0060" TargetMode="External"/><Relationship Id="rId39" Type="http://schemas.openxmlformats.org/officeDocument/2006/relationships/hyperlink" Target="https://eige.europa.eu/publications-resources/thesaurus/terms/1336?language_content_entity=bg" TargetMode="External"/><Relationship Id="rId3" Type="http://schemas.openxmlformats.org/officeDocument/2006/relationships/hyperlink" Target="https://www.citiesreport.open-for-business.org/" TargetMode="External"/><Relationship Id="rId21" Type="http://schemas.openxmlformats.org/officeDocument/2006/relationships/hyperlink" Target="https://commission.europa.eu/system/files/2021-11/ec_rtd_era-policy-agenda-2021.pdf" TargetMode="External"/><Relationship Id="rId34" Type="http://schemas.openxmlformats.org/officeDocument/2006/relationships/hyperlink" Target="https://doi.org/10.1186/s40001-022-00677-0" TargetMode="External"/><Relationship Id="rId42" Type="http://schemas.openxmlformats.org/officeDocument/2006/relationships/hyperlink" Target="https://eur-lex.europa.eu/eli/reg/2016/1103/oj/bul" TargetMode="External"/><Relationship Id="rId47" Type="http://schemas.openxmlformats.org/officeDocument/2006/relationships/hyperlink" Target="https://globalphilanthropyproject.org/coordinatedresponseodacuts/" TargetMode="External"/><Relationship Id="rId7" Type="http://schemas.openxmlformats.org/officeDocument/2006/relationships/hyperlink" Target="https://ec.europa.eu/commission/sites/beta-political/files/social-summit-european-pillar-social-rights-booklet_bg.pdf;" TargetMode="External"/><Relationship Id="rId12" Type="http://schemas.openxmlformats.org/officeDocument/2006/relationships/hyperlink" Target="https://data.europa.eu/doi/10.2838/50202" TargetMode="External"/><Relationship Id="rId17" Type="http://schemas.openxmlformats.org/officeDocument/2006/relationships/hyperlink" Target="https://eur-lex.europa.eu/legal-content/BG/TXT/?uri=CELEX%3A52021DC0777" TargetMode="External"/><Relationship Id="rId25" Type="http://schemas.openxmlformats.org/officeDocument/2006/relationships/hyperlink" Target="https://eur-lex.europa.eu/legal-content/BG/TXT/?uri=CELEX%3A52022PC0209" TargetMode="External"/><Relationship Id="rId33" Type="http://schemas.openxmlformats.org/officeDocument/2006/relationships/hyperlink" Target="https://eur-lex.europa.eu/legal-content/BG/TXT/?uri=CELEX:32021D1877" TargetMode="External"/><Relationship Id="rId38" Type="http://schemas.openxmlformats.org/officeDocument/2006/relationships/hyperlink" Target="https://commission.europa.eu/strategy-and-policy/policies/justice-and-fundamental-rights/combatting-discrimination/tackling-discrimination/diversity-and-inclusion-initiatives/diversity-charters-eu-country_bg" TargetMode="External"/><Relationship Id="rId46" Type="http://schemas.openxmlformats.org/officeDocument/2006/relationships/hyperlink" Target="https://globalphilanthropyproject.org/coordinatedresponseodacuts/" TargetMode="External"/><Relationship Id="rId2" Type="http://schemas.openxmlformats.org/officeDocument/2006/relationships/hyperlink" Target="https://ec.europa.eu/commission/presscorner/detail/bg/statement_25_1629" TargetMode="External"/><Relationship Id="rId16" Type="http://schemas.openxmlformats.org/officeDocument/2006/relationships/hyperlink" Target="https://op.europa.eu/bg/publication-detail/-/publication/08185780-57db-11ec-91ac-01aa75ed71a1" TargetMode="External"/><Relationship Id="rId20" Type="http://schemas.openxmlformats.org/officeDocument/2006/relationships/hyperlink" Target="https://data.consilium.europa.eu/doc/document/ST-13567-2020-INIT/bg/pdf" TargetMode="External"/><Relationship Id="rId29" Type="http://schemas.openxmlformats.org/officeDocument/2006/relationships/hyperlink" Target="https://cdn.prod.website-files.com/63fdd3923aa8fbc7d5b6f168/643972f485d5065f4b12a695_D20-Inclusive-Education-Study.pdf" TargetMode="External"/><Relationship Id="rId41" Type="http://schemas.openxmlformats.org/officeDocument/2006/relationships/hyperlink" Target="https://eur-lex.europa.eu/eli/reg/2009/4(1)/oj/bul" TargetMode="External"/><Relationship Id="rId1" Type="http://schemas.openxmlformats.org/officeDocument/2006/relationships/hyperlink" Target="https://employment-social-affairs.ec.europa.eu/policies-and-activities/european-pillar-social-rights-building-fairer-and-more-inclusive-european-union_en?prefLang=bg" TargetMode="External"/><Relationship Id="rId6" Type="http://schemas.openxmlformats.org/officeDocument/2006/relationships/hyperlink" Target="https://commission.europa.eu/document/download/99cc0720-68c2-4300-854f-592bf21dceaf_en?filename=eu_roma_strategic_framework_for_equality_inclusion_and_participation_for_2020_-_2030.pdf" TargetMode="External"/><Relationship Id="rId11" Type="http://schemas.openxmlformats.org/officeDocument/2006/relationships/hyperlink" Target="https://www.ohchr.org/en/documents/thematic-reports/ahrc4453-practices-so-called-conversion-therapy-report-independent" TargetMode="External"/><Relationship Id="rId24" Type="http://schemas.openxmlformats.org/officeDocument/2006/relationships/hyperlink" Target="http://www.ohchr.org/en/professionalinterest/pages/crc.aspx" TargetMode="External"/><Relationship Id="rId32" Type="http://schemas.openxmlformats.org/officeDocument/2006/relationships/hyperlink" Target="https://lsa.euaa.europa.eu/euaa-products" TargetMode="External"/><Relationship Id="rId37" Type="http://schemas.openxmlformats.org/officeDocument/2006/relationships/hyperlink" Target="https://fra.europa.eu/bg/publication/2022/bias-algorithm" TargetMode="External"/><Relationship Id="rId40" Type="http://schemas.openxmlformats.org/officeDocument/2006/relationships/hyperlink" Target="https://eur-lex.europa.eu/eli/reg/2019/1111/oj/bul" TargetMode="External"/><Relationship Id="rId45" Type="http://schemas.openxmlformats.org/officeDocument/2006/relationships/hyperlink" Target="https://eur-lex.europa.eu/legal-content/BG/TXT/?uri=CELEX%3A32021R1060" TargetMode="External"/><Relationship Id="rId5" Type="http://schemas.openxmlformats.org/officeDocument/2006/relationships/hyperlink" Target="https://commission.europa.eu/document/download/99cc0720-68c2-4300-854f-592bf21dceaf_en?filename=eu_roma_strategic_framework_for_equality_inclusion_and_participation_for_2020_-_2030.pdf" TargetMode="External"/><Relationship Id="rId15" Type="http://schemas.openxmlformats.org/officeDocument/2006/relationships/hyperlink" Target="https://www.europarl.europa.eu/RegData/etudes/BRIE/2022/733521/EPRS_BRI(2022)733521_EN.pdf" TargetMode="External"/><Relationship Id="rId23" Type="http://schemas.openxmlformats.org/officeDocument/2006/relationships/hyperlink" Target="https://doi.org/10.1016/j.chipro.2024.100001" TargetMode="External"/><Relationship Id="rId28" Type="http://schemas.openxmlformats.org/officeDocument/2006/relationships/hyperlink" Target="https://hmd.org.uk/learn-about-the-holocaust-and-genocides/nazi-persecution/gay-people/" TargetMode="External"/><Relationship Id="rId36" Type="http://schemas.openxmlformats.org/officeDocument/2006/relationships/hyperlink" Target="https://health.ec.europa.eu/non-communicable-diseases/mental-health_bg" TargetMode="External"/><Relationship Id="rId49" Type="http://schemas.openxmlformats.org/officeDocument/2006/relationships/hyperlink" Target="https://www.unaids.org/en/resources/presscentre/pressreleaseandstatementarchive/2023/may/20230517_idahobit" TargetMode="External"/><Relationship Id="rId10" Type="http://schemas.openxmlformats.org/officeDocument/2006/relationships/hyperlink" Target="https://commission.europa.eu/document/download/d6cc6024-6f90-4b6a-8216-fd940407e55f_en?filename=cafjl_antisemitism-strategy-doc-bg.pdf" TargetMode="External"/><Relationship Id="rId19" Type="http://schemas.openxmlformats.org/officeDocument/2006/relationships/hyperlink" Target="https://www.facingfacts.eu/" TargetMode="External"/><Relationship Id="rId31" Type="http://schemas.openxmlformats.org/officeDocument/2006/relationships/hyperlink" Target="https://www.unhcr.org/media/protecting-lgbtiq-people-situations-forced-displacement-stocktaking-unhcr-progress-2021" TargetMode="External"/><Relationship Id="rId44" Type="http://schemas.openxmlformats.org/officeDocument/2006/relationships/hyperlink" Target="https://eur-lex.europa.eu/eli/reg/2012/650/oj/bul" TargetMode="External"/><Relationship Id="rId4" Type="http://schemas.openxmlformats.org/officeDocument/2006/relationships/hyperlink" Target="https://www.europarl.europa.eu/doceo/document/TA-9-2024-0076_BG.html" TargetMode="External"/><Relationship Id="rId9" Type="http://schemas.openxmlformats.org/officeDocument/2006/relationships/hyperlink" Target="https://eur-lex.europa.eu/legal-content/bg/TXT/?uri=CELEX%3A52021DC0142" TargetMode="External"/><Relationship Id="rId14" Type="http://schemas.openxmlformats.org/officeDocument/2006/relationships/hyperlink" Target="https://rainbowmap.ilga-europe.org/categories/legal-gender-recognition/" TargetMode="External"/><Relationship Id="rId22" Type="http://schemas.openxmlformats.org/officeDocument/2006/relationships/hyperlink" Target="https://ec.europa.eu/eurostat/web/children-youth" TargetMode="External"/><Relationship Id="rId27" Type="http://schemas.openxmlformats.org/officeDocument/2006/relationships/hyperlink" Target="https://www.ilga-europe.org/report/annual-review-2025/" TargetMode="External"/><Relationship Id="rId30" Type="http://schemas.openxmlformats.org/officeDocument/2006/relationships/hyperlink" Target="https://www.unhcr.org/media/protecting-lgbtiq-people-situations-forced-displacement-stocktaking-unhcr-progress-2021" TargetMode="External"/><Relationship Id="rId35" Type="http://schemas.openxmlformats.org/officeDocument/2006/relationships/hyperlink" Target="https://doi.org/10.1001/jamaoncol.2025.1002" TargetMode="External"/><Relationship Id="rId43" Type="http://schemas.openxmlformats.org/officeDocument/2006/relationships/hyperlink" Target="https://eur-lex.europa.eu/eli/reg/2016/1104/oj/bul" TargetMode="External"/><Relationship Id="rId48" Type="http://schemas.openxmlformats.org/officeDocument/2006/relationships/hyperlink" Target="https://eur-lex.europa.eu/legal-content/BG/TXT/?uri=CELEX%3A52025PC0565&amp;qid=1753801752960" TargetMode="External"/><Relationship Id="rId8" Type="http://schemas.openxmlformats.org/officeDocument/2006/relationships/hyperlink" Target="https://eur-lex.europa.eu/legal-content/BG/TXT/?uri=celex%3A52021DC0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DEBFA01D8CDE41AAE050D7D7CF61F9" ma:contentTypeVersion="12" ma:contentTypeDescription="Create a new document." ma:contentTypeScope="" ma:versionID="d395c53d9eeadcf37ad123705c21f2a8">
  <xsd:schema xmlns:xsd="http://www.w3.org/2001/XMLSchema" xmlns:xs="http://www.w3.org/2001/XMLSchema" xmlns:p="http://schemas.microsoft.com/office/2006/metadata/properties" xmlns:ns2="38bf3bd7-73ad-4948-8b71-aa2c92f53103" targetNamespace="http://schemas.microsoft.com/office/2006/metadata/properties" ma:root="true" ma:fieldsID="5374ba195cb68f35364a4c43bfae1339" ns2:_="">
    <xsd:import namespace="38bf3bd7-73ad-4948-8b71-aa2c92f531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f3bd7-73ad-4948-8b71-aa2c92f53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38bf3bd7-73ad-4948-8b71-aa2c92f5310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28B16-2003-427A-9480-E8EA5E46BBE4}">
  <ds:schemaRefs>
    <ds:schemaRef ds:uri="http://schemas.microsoft.com/sharepoint/v3/contenttype/forms"/>
  </ds:schemaRefs>
</ds:datastoreItem>
</file>

<file path=customXml/itemProps2.xml><?xml version="1.0" encoding="utf-8"?>
<ds:datastoreItem xmlns:ds="http://schemas.openxmlformats.org/officeDocument/2006/customXml" ds:itemID="{4500BC8F-72A0-414B-9B94-80B640206917}">
  <ds:schemaRefs>
    <ds:schemaRef ds:uri="http://schemas.microsoft.com/sharepoint/v3/contenttype/forms"/>
  </ds:schemaRefs>
</ds:datastoreItem>
</file>

<file path=customXml/itemProps3.xml><?xml version="1.0" encoding="utf-8"?>
<ds:datastoreItem xmlns:ds="http://schemas.openxmlformats.org/officeDocument/2006/customXml" ds:itemID="{5C031239-430D-4FFC-B214-B196787BA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f3bd7-73ad-4948-8b71-aa2c92f53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8E27F5-7101-4B1B-8A5D-5C2482CEF416}">
  <ds:schemaRefs>
    <ds:schemaRef ds:uri="http://schemas.microsoft.com/sharepoint/v3/contenttype/forms"/>
  </ds:schemaRefs>
</ds:datastoreItem>
</file>

<file path=customXml/itemProps5.xml><?xml version="1.0" encoding="utf-8"?>
<ds:datastoreItem xmlns:ds="http://schemas.openxmlformats.org/officeDocument/2006/customXml" ds:itemID="{6239D847-41DF-46F1-8E85-14D9E398C918}">
  <ds:schemaRefs>
    <ds:schemaRef ds:uri="http://schemas.microsoft.com/sharepoint/v3/contenttype/forms"/>
  </ds:schemaRefs>
</ds:datastoreItem>
</file>

<file path=customXml/itemProps6.xml><?xml version="1.0" encoding="utf-8"?>
<ds:datastoreItem xmlns:ds="http://schemas.openxmlformats.org/officeDocument/2006/customXml" ds:itemID="{655D7BB8-42CA-4649-B567-895E8441546F}">
  <ds:schemaRefs>
    <ds:schemaRef ds:uri="http://schemas.microsoft.com/office/2006/metadata/properties"/>
    <ds:schemaRef ds:uri="http://schemas.microsoft.com/office/infopath/2007/PartnerControls"/>
    <ds:schemaRef ds:uri="38bf3bd7-73ad-4948-8b71-aa2c92f53103"/>
  </ds:schemaRefs>
</ds:datastoreItem>
</file>

<file path=customXml/itemProps7.xml><?xml version="1.0" encoding="utf-8"?>
<ds:datastoreItem xmlns:ds="http://schemas.openxmlformats.org/officeDocument/2006/customXml" ds:itemID="{061999DA-2EF0-45E0-A5D8-D3162204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12337</Words>
  <Characters>70326</Characters>
  <Application>Microsoft Office Word</Application>
  <DocSecurity>0</DocSecurity>
  <Lines>586</Lines>
  <Paragraphs>164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82499</CharactersWithSpaces>
  <SharedDoc>false</SharedDoc>
  <HLinks>
    <vt:vector size="816" baseType="variant">
      <vt:variant>
        <vt:i4>1966095</vt:i4>
      </vt:variant>
      <vt:variant>
        <vt:i4>276</vt:i4>
      </vt:variant>
      <vt:variant>
        <vt:i4>0</vt:i4>
      </vt:variant>
      <vt:variant>
        <vt:i4>5</vt:i4>
      </vt:variant>
      <vt:variant>
        <vt:lpwstr>https://eur-lex.europa.eu/legal-content/EN/TXT/?uri=CELEX%3A52025PC0551&amp;qid=1753799711782</vt:lpwstr>
      </vt:variant>
      <vt:variant>
        <vt:lpwstr/>
      </vt:variant>
      <vt:variant>
        <vt:i4>4456451</vt:i4>
      </vt:variant>
      <vt:variant>
        <vt:i4>273</vt:i4>
      </vt:variant>
      <vt:variant>
        <vt:i4>0</vt:i4>
      </vt:variant>
      <vt:variant>
        <vt:i4>5</vt:i4>
      </vt:variant>
      <vt:variant>
        <vt:lpwstr>https://protectdefenders.eu/</vt:lpwstr>
      </vt:variant>
      <vt:variant>
        <vt:lpwstr/>
      </vt:variant>
      <vt:variant>
        <vt:i4>1376354</vt:i4>
      </vt:variant>
      <vt:variant>
        <vt:i4>270</vt:i4>
      </vt:variant>
      <vt:variant>
        <vt:i4>0</vt:i4>
      </vt:variant>
      <vt:variant>
        <vt:i4>5</vt:i4>
      </vt:variant>
      <vt:variant>
        <vt:lpwstr>https://www.eeas.europa.eu/sites/default/files/eu_guidelines_hrd_en.pdf</vt:lpwstr>
      </vt:variant>
      <vt:variant>
        <vt:lpwstr/>
      </vt:variant>
      <vt:variant>
        <vt:i4>7864420</vt:i4>
      </vt:variant>
      <vt:variant>
        <vt:i4>267</vt:i4>
      </vt:variant>
      <vt:variant>
        <vt:i4>0</vt:i4>
      </vt:variant>
      <vt:variant>
        <vt:i4>5</vt:i4>
      </vt:variant>
      <vt:variant>
        <vt:lpwstr>https://home-affairs.ec.europa.eu/document/download/1d79f44d-49ba-4847-951e-129f924b1051_en?filename=Commission%20Implementing%20Decision%20C(2024)%204319-annex_en.PDF</vt:lpwstr>
      </vt:variant>
      <vt:variant>
        <vt:lpwstr/>
      </vt:variant>
      <vt:variant>
        <vt:i4>2490481</vt:i4>
      </vt:variant>
      <vt:variant>
        <vt:i4>264</vt:i4>
      </vt:variant>
      <vt:variant>
        <vt:i4>0</vt:i4>
      </vt:variant>
      <vt:variant>
        <vt:i4>5</vt:i4>
      </vt:variant>
      <vt:variant>
        <vt:lpwstr>https://gsphub.eu/about-gsp/eba</vt:lpwstr>
      </vt:variant>
      <vt:variant>
        <vt:lpwstr/>
      </vt:variant>
      <vt:variant>
        <vt:i4>1507405</vt:i4>
      </vt:variant>
      <vt:variant>
        <vt:i4>261</vt:i4>
      </vt:variant>
      <vt:variant>
        <vt:i4>0</vt:i4>
      </vt:variant>
      <vt:variant>
        <vt:i4>5</vt:i4>
      </vt:variant>
      <vt:variant>
        <vt:lpwstr>https://eur-lex.europa.eu/eli/reg/2012/978/2023-11-28</vt:lpwstr>
      </vt:variant>
      <vt:variant>
        <vt:lpwstr/>
      </vt:variant>
      <vt:variant>
        <vt:i4>4456490</vt:i4>
      </vt:variant>
      <vt:variant>
        <vt:i4>258</vt:i4>
      </vt:variant>
      <vt:variant>
        <vt:i4>0</vt:i4>
      </vt:variant>
      <vt:variant>
        <vt:i4>5</vt:i4>
      </vt:variant>
      <vt:variant>
        <vt:lpwstr>https://commission.europa.eu/strategy-and-policy/policies/justice-and-fundamental-rights/combatting-discrimination/equality-data-collection/round-table-equality-data-30-september-2021_en</vt:lpwstr>
      </vt:variant>
      <vt:variant>
        <vt:lpwstr/>
      </vt:variant>
      <vt:variant>
        <vt:i4>2555992</vt:i4>
      </vt:variant>
      <vt:variant>
        <vt:i4>255</vt:i4>
      </vt:variant>
      <vt:variant>
        <vt:i4>0</vt:i4>
      </vt:variant>
      <vt:variant>
        <vt:i4>5</vt:i4>
      </vt:variant>
      <vt:variant>
        <vt:lpwstr>https://commission.europa.eu/topics/youth/youth-dialogues_en</vt:lpwstr>
      </vt:variant>
      <vt:variant>
        <vt:lpwstr/>
      </vt:variant>
      <vt:variant>
        <vt:i4>917510</vt:i4>
      </vt:variant>
      <vt:variant>
        <vt:i4>252</vt:i4>
      </vt:variant>
      <vt:variant>
        <vt:i4>0</vt:i4>
      </vt:variant>
      <vt:variant>
        <vt:i4>5</vt:i4>
      </vt:variant>
      <vt:variant>
        <vt:lpwstr>https://curia.europa.eu/juris/document/document.jsf?text=&amp;docid=300973&amp;pageIndex=0&amp;doclang=EN&amp;mode=lst&amp;dir=&amp;occ=first&amp;part=1&amp;cid=3270211</vt:lpwstr>
      </vt:variant>
      <vt:variant>
        <vt:lpwstr/>
      </vt:variant>
      <vt:variant>
        <vt:i4>8061035</vt:i4>
      </vt:variant>
      <vt:variant>
        <vt:i4>249</vt:i4>
      </vt:variant>
      <vt:variant>
        <vt:i4>0</vt:i4>
      </vt:variant>
      <vt:variant>
        <vt:i4>5</vt:i4>
      </vt:variant>
      <vt:variant>
        <vt:lpwstr>https://eur-lex.europa.eu/eli/reg/2024/2509/oj/eng</vt:lpwstr>
      </vt:variant>
      <vt:variant>
        <vt:lpwstr/>
      </vt:variant>
      <vt:variant>
        <vt:i4>458877</vt:i4>
      </vt:variant>
      <vt:variant>
        <vt:i4>246</vt:i4>
      </vt:variant>
      <vt:variant>
        <vt:i4>0</vt:i4>
      </vt:variant>
      <vt:variant>
        <vt:i4>5</vt:i4>
      </vt:variant>
      <vt:variant>
        <vt:lpwstr>https://commission.europa.eu/funding-tenders/find-funding/funding-management-mode/common-provisions-regulation_en</vt:lpwstr>
      </vt:variant>
      <vt:variant>
        <vt:lpwstr/>
      </vt:variant>
      <vt:variant>
        <vt:i4>2293787</vt:i4>
      </vt:variant>
      <vt:variant>
        <vt:i4>243</vt:i4>
      </vt:variant>
      <vt:variant>
        <vt:i4>0</vt:i4>
      </vt:variant>
      <vt:variant>
        <vt:i4>5</vt:i4>
      </vt:variant>
      <vt:variant>
        <vt:lpwstr>https://commission.europa.eu/business-economy-euro/economic-recovery/recovery-and-resilience-facility_en</vt:lpwstr>
      </vt:variant>
      <vt:variant>
        <vt:lpwstr/>
      </vt:variant>
      <vt:variant>
        <vt:i4>8060943</vt:i4>
      </vt:variant>
      <vt:variant>
        <vt:i4>240</vt:i4>
      </vt:variant>
      <vt:variant>
        <vt:i4>0</vt:i4>
      </vt:variant>
      <vt:variant>
        <vt:i4>5</vt:i4>
      </vt:variant>
      <vt:variant>
        <vt:lpwstr>https://commission.europa.eu/funding-tenders/find-funding/eu-funding-programmes/technical-support-instrument/technical-support-instrument-tsi_en</vt:lpwstr>
      </vt:variant>
      <vt:variant>
        <vt:lpwstr/>
      </vt:variant>
      <vt:variant>
        <vt:i4>3014665</vt:i4>
      </vt:variant>
      <vt:variant>
        <vt:i4>237</vt:i4>
      </vt:variant>
      <vt:variant>
        <vt:i4>0</vt:i4>
      </vt:variant>
      <vt:variant>
        <vt:i4>5</vt:i4>
      </vt:variant>
      <vt:variant>
        <vt:lpwstr>https://eu-diversity-inclusion.campaign.europa.eu/european-capitals-inclusion-and-diversity-award_en</vt:lpwstr>
      </vt:variant>
      <vt:variant>
        <vt:lpwstr/>
      </vt:variant>
      <vt:variant>
        <vt:i4>4522018</vt:i4>
      </vt:variant>
      <vt:variant>
        <vt:i4>234</vt:i4>
      </vt:variant>
      <vt:variant>
        <vt:i4>0</vt:i4>
      </vt:variant>
      <vt:variant>
        <vt:i4>5</vt:i4>
      </vt:variant>
      <vt:variant>
        <vt:lpwstr>https://commission.europa.eu/document/e1c36a26-d8b3-4214-a280-8b08e28f8d16_en</vt:lpwstr>
      </vt:variant>
      <vt:variant>
        <vt:lpwstr/>
      </vt:variant>
      <vt:variant>
        <vt:i4>7405607</vt:i4>
      </vt:variant>
      <vt:variant>
        <vt:i4>231</vt:i4>
      </vt:variant>
      <vt:variant>
        <vt:i4>0</vt:i4>
      </vt:variant>
      <vt:variant>
        <vt:i4>5</vt:i4>
      </vt:variant>
      <vt:variant>
        <vt:lpwstr>https://commission.europa.eu/document/download/c442d610-c462-4aaf-b341-8f5a3cde5830_en?filename=guidelines_for_strategies_and_action_plans_to_enhance_lgbtiq_equality_2022final16_05.pdf</vt:lpwstr>
      </vt:variant>
      <vt:variant>
        <vt:lpwstr/>
      </vt:variant>
      <vt:variant>
        <vt:i4>8192052</vt:i4>
      </vt:variant>
      <vt:variant>
        <vt:i4>228</vt:i4>
      </vt:variant>
      <vt:variant>
        <vt:i4>0</vt:i4>
      </vt:variant>
      <vt:variant>
        <vt:i4>5</vt:i4>
      </vt:variant>
      <vt:variant>
        <vt:lpwstr>https://www.eeas.europa.eu/sites/default/files/07_hr_guidelines_lgbti_en.pdf</vt:lpwstr>
      </vt:variant>
      <vt:variant>
        <vt:lpwstr/>
      </vt:variant>
      <vt:variant>
        <vt:i4>4063257</vt:i4>
      </vt:variant>
      <vt:variant>
        <vt:i4>225</vt:i4>
      </vt:variant>
      <vt:variant>
        <vt:i4>0</vt:i4>
      </vt:variant>
      <vt:variant>
        <vt:i4>5</vt:i4>
      </vt:variant>
      <vt:variant>
        <vt:lpwstr>https://www.eeas.europa.eu/sites/default/files/documents/2024/Action-Plan-EN_2020-2027.pdf</vt:lpwstr>
      </vt:variant>
      <vt:variant>
        <vt:lpwstr/>
      </vt:variant>
      <vt:variant>
        <vt:i4>6488099</vt:i4>
      </vt:variant>
      <vt:variant>
        <vt:i4>222</vt:i4>
      </vt:variant>
      <vt:variant>
        <vt:i4>0</vt:i4>
      </vt:variant>
      <vt:variant>
        <vt:i4>5</vt:i4>
      </vt:variant>
      <vt:variant>
        <vt:lpwstr>https://eur-lex.europa.eu/legal-content/EN/TXT/?uri=CELEX%3A52022PC0695</vt:lpwstr>
      </vt:variant>
      <vt:variant>
        <vt:lpwstr/>
      </vt:variant>
      <vt:variant>
        <vt:i4>3276905</vt:i4>
      </vt:variant>
      <vt:variant>
        <vt:i4>219</vt:i4>
      </vt:variant>
      <vt:variant>
        <vt:i4>0</vt:i4>
      </vt:variant>
      <vt:variant>
        <vt:i4>5</vt:i4>
      </vt:variant>
      <vt:variant>
        <vt:lpwstr>https://europa.eu/youreurope/index.htm</vt:lpwstr>
      </vt:variant>
      <vt:variant>
        <vt:lpwstr/>
      </vt:variant>
      <vt:variant>
        <vt:i4>1245200</vt:i4>
      </vt:variant>
      <vt:variant>
        <vt:i4>216</vt:i4>
      </vt:variant>
      <vt:variant>
        <vt:i4>0</vt:i4>
      </vt:variant>
      <vt:variant>
        <vt:i4>5</vt:i4>
      </vt:variant>
      <vt:variant>
        <vt:lpwstr>https://eur-lex.europa.eu/eli/C/2023/1392/oj/eng</vt:lpwstr>
      </vt:variant>
      <vt:variant>
        <vt:lpwstr/>
      </vt:variant>
      <vt:variant>
        <vt:i4>4587614</vt:i4>
      </vt:variant>
      <vt:variant>
        <vt:i4>213</vt:i4>
      </vt:variant>
      <vt:variant>
        <vt:i4>0</vt:i4>
      </vt:variant>
      <vt:variant>
        <vt:i4>5</vt:i4>
      </vt:variant>
      <vt:variant>
        <vt:lpwstr>https://eur-lex.europa.eu/eli/dir/2004/38/oj/eng</vt:lpwstr>
      </vt:variant>
      <vt:variant>
        <vt:lpwstr/>
      </vt:variant>
      <vt:variant>
        <vt:i4>5242912</vt:i4>
      </vt:variant>
      <vt:variant>
        <vt:i4>210</vt:i4>
      </vt:variant>
      <vt:variant>
        <vt:i4>0</vt:i4>
      </vt:variant>
      <vt:variant>
        <vt:i4>5</vt:i4>
      </vt:variant>
      <vt:variant>
        <vt:lpwstr>https://commission.europa.eu/publications/european-social-fund_en</vt:lpwstr>
      </vt:variant>
      <vt:variant>
        <vt:lpwstr/>
      </vt:variant>
      <vt:variant>
        <vt:i4>2162735</vt:i4>
      </vt:variant>
      <vt:variant>
        <vt:i4>207</vt:i4>
      </vt:variant>
      <vt:variant>
        <vt:i4>0</vt:i4>
      </vt:variant>
      <vt:variant>
        <vt:i4>5</vt:i4>
      </vt:variant>
      <vt:variant>
        <vt:lpwstr>https://www.eurofound.europa.eu/en/surveys-and-data/surveys/living-and-working-in-the-eu-e-survey/e-survey-2023</vt:lpwstr>
      </vt:variant>
      <vt:variant>
        <vt:lpwstr>Data-explorer</vt:lpwstr>
      </vt:variant>
      <vt:variant>
        <vt:i4>6684705</vt:i4>
      </vt:variant>
      <vt:variant>
        <vt:i4>204</vt:i4>
      </vt:variant>
      <vt:variant>
        <vt:i4>0</vt:i4>
      </vt:variant>
      <vt:variant>
        <vt:i4>5</vt:i4>
      </vt:variant>
      <vt:variant>
        <vt:lpwstr>https://www.raznolikost.eu/wp-content/uploads/DiversityCharters-in-the-EU_PLEDGE_April-2025.docx.pdf</vt:lpwstr>
      </vt:variant>
      <vt:variant>
        <vt:lpwstr/>
      </vt:variant>
      <vt:variant>
        <vt:i4>6553666</vt:i4>
      </vt:variant>
      <vt:variant>
        <vt:i4>201</vt:i4>
      </vt:variant>
      <vt:variant>
        <vt:i4>0</vt:i4>
      </vt:variant>
      <vt:variant>
        <vt:i4>5</vt:i4>
      </vt:variant>
      <vt:variant>
        <vt:lpwstr>https://commission.europa.eu/strategy-and-policy/policies/justice-and-fundamental-rights/disability/union-equality-strategy-rights-persons-disabilities-2021-2030_en</vt:lpwstr>
      </vt:variant>
      <vt:variant>
        <vt:lpwstr/>
      </vt:variant>
      <vt:variant>
        <vt:i4>2490377</vt:i4>
      </vt:variant>
      <vt:variant>
        <vt:i4>198</vt:i4>
      </vt:variant>
      <vt:variant>
        <vt:i4>0</vt:i4>
      </vt:variant>
      <vt:variant>
        <vt:i4>5</vt:i4>
      </vt:variant>
      <vt:variant>
        <vt:lpwstr>https://eu-diversity-inclusion.campaign.europa.eu/eu-platform-diversity-charters_en?prefLang=bg</vt:lpwstr>
      </vt:variant>
      <vt:variant>
        <vt:lpwstr/>
      </vt:variant>
      <vt:variant>
        <vt:i4>1572919</vt:i4>
      </vt:variant>
      <vt:variant>
        <vt:i4>195</vt:i4>
      </vt:variant>
      <vt:variant>
        <vt:i4>0</vt:i4>
      </vt:variant>
      <vt:variant>
        <vt:i4>5</vt:i4>
      </vt:variant>
      <vt:variant>
        <vt:lpwstr>https://www.oecd.org/content/dam/oecd/en/publications/reports/2025/06/combatting-discrimination-in-the-european-union_e408d1a9/29c2c36a-en.pdf</vt:lpwstr>
      </vt:variant>
      <vt:variant>
        <vt:lpwstr/>
      </vt:variant>
      <vt:variant>
        <vt:i4>8192105</vt:i4>
      </vt:variant>
      <vt:variant>
        <vt:i4>192</vt:i4>
      </vt:variant>
      <vt:variant>
        <vt:i4>0</vt:i4>
      </vt:variant>
      <vt:variant>
        <vt:i4>5</vt:i4>
      </vt:variant>
      <vt:variant>
        <vt:lpwstr>https://eur-lex.europa.eu/eli/dir/2024/1499/oj/eng</vt:lpwstr>
      </vt:variant>
      <vt:variant>
        <vt:lpwstr/>
      </vt:variant>
      <vt:variant>
        <vt:i4>7602273</vt:i4>
      </vt:variant>
      <vt:variant>
        <vt:i4>189</vt:i4>
      </vt:variant>
      <vt:variant>
        <vt:i4>0</vt:i4>
      </vt:variant>
      <vt:variant>
        <vt:i4>5</vt:i4>
      </vt:variant>
      <vt:variant>
        <vt:lpwstr>https://eur-lex.europa.eu/eli/dir/2024/1500/oj/eng</vt:lpwstr>
      </vt:variant>
      <vt:variant>
        <vt:lpwstr/>
      </vt:variant>
      <vt:variant>
        <vt:i4>1310744</vt:i4>
      </vt:variant>
      <vt:variant>
        <vt:i4>186</vt:i4>
      </vt:variant>
      <vt:variant>
        <vt:i4>0</vt:i4>
      </vt:variant>
      <vt:variant>
        <vt:i4>5</vt:i4>
      </vt:variant>
      <vt:variant>
        <vt:lpwstr>https://eur-lex.europa.eu/legal-content/EN/TXT/?uri=CELEX:52008PC0426</vt:lpwstr>
      </vt:variant>
      <vt:variant>
        <vt:lpwstr/>
      </vt:variant>
      <vt:variant>
        <vt:i4>7471158</vt:i4>
      </vt:variant>
      <vt:variant>
        <vt:i4>183</vt:i4>
      </vt:variant>
      <vt:variant>
        <vt:i4>0</vt:i4>
      </vt:variant>
      <vt:variant>
        <vt:i4>5</vt:i4>
      </vt:variant>
      <vt:variant>
        <vt:lpwstr>https://www.equalitylaw.eu/</vt:lpwstr>
      </vt:variant>
      <vt:variant>
        <vt:lpwstr/>
      </vt:variant>
      <vt:variant>
        <vt:i4>1179741</vt:i4>
      </vt:variant>
      <vt:variant>
        <vt:i4>180</vt:i4>
      </vt:variant>
      <vt:variant>
        <vt:i4>0</vt:i4>
      </vt:variant>
      <vt:variant>
        <vt:i4>5</vt:i4>
      </vt:variant>
      <vt:variant>
        <vt:lpwstr>https://eur-lex.europa.eu/eli/dir/2023/970/oj/eng</vt:lpwstr>
      </vt:variant>
      <vt:variant>
        <vt:lpwstr/>
      </vt:variant>
      <vt:variant>
        <vt:i4>6029419</vt:i4>
      </vt:variant>
      <vt:variant>
        <vt:i4>177</vt:i4>
      </vt:variant>
      <vt:variant>
        <vt:i4>0</vt:i4>
      </vt:variant>
      <vt:variant>
        <vt:i4>5</vt:i4>
      </vt:variant>
      <vt:variant>
        <vt:lpwstr>https://commission.europa.eu/document/download/f713e60d-403a-41eb-934b-a70f65ec66a8_en?filename=Study%20on%20sanctions%20for%20discrimination%20on%20racial%2Cethnic%2Creligious%20grounds.pdf</vt:lpwstr>
      </vt:variant>
      <vt:variant>
        <vt:lpwstr/>
      </vt:variant>
      <vt:variant>
        <vt:i4>1179741</vt:i4>
      </vt:variant>
      <vt:variant>
        <vt:i4>174</vt:i4>
      </vt:variant>
      <vt:variant>
        <vt:i4>0</vt:i4>
      </vt:variant>
      <vt:variant>
        <vt:i4>5</vt:i4>
      </vt:variant>
      <vt:variant>
        <vt:lpwstr>https://eur-lex.europa.eu/eli/dir/2023/970/oj/eng</vt:lpwstr>
      </vt:variant>
      <vt:variant>
        <vt:lpwstr/>
      </vt:variant>
      <vt:variant>
        <vt:i4>4587614</vt:i4>
      </vt:variant>
      <vt:variant>
        <vt:i4>171</vt:i4>
      </vt:variant>
      <vt:variant>
        <vt:i4>0</vt:i4>
      </vt:variant>
      <vt:variant>
        <vt:i4>5</vt:i4>
      </vt:variant>
      <vt:variant>
        <vt:lpwstr>https://eur-lex.europa.eu/eli/dir/2000/78/oj/eng</vt:lpwstr>
      </vt:variant>
      <vt:variant>
        <vt:lpwstr/>
      </vt:variant>
      <vt:variant>
        <vt:i4>1703964</vt:i4>
      </vt:variant>
      <vt:variant>
        <vt:i4>168</vt:i4>
      </vt:variant>
      <vt:variant>
        <vt:i4>0</vt:i4>
      </vt:variant>
      <vt:variant>
        <vt:i4>5</vt:i4>
      </vt:variant>
      <vt:variant>
        <vt:lpwstr>https://op.europa.eu/en/publication-detail/-/publication/33304d83-82f4-11f0-9af8-01aa75ed71a1/language-en</vt:lpwstr>
      </vt:variant>
      <vt:variant>
        <vt:lpwstr/>
      </vt:variant>
      <vt:variant>
        <vt:i4>589841</vt:i4>
      </vt:variant>
      <vt:variant>
        <vt:i4>165</vt:i4>
      </vt:variant>
      <vt:variant>
        <vt:i4>0</vt:i4>
      </vt:variant>
      <vt:variant>
        <vt:i4>5</vt:i4>
      </vt:variant>
      <vt:variant>
        <vt:lpwstr>https://eur-lex.europa.eu/legal-content/EN/TXT/?uri=celex:52025DC0090</vt:lpwstr>
      </vt:variant>
      <vt:variant>
        <vt:lpwstr/>
      </vt:variant>
      <vt:variant>
        <vt:i4>7471145</vt:i4>
      </vt:variant>
      <vt:variant>
        <vt:i4>162</vt:i4>
      </vt:variant>
      <vt:variant>
        <vt:i4>0</vt:i4>
      </vt:variant>
      <vt:variant>
        <vt:i4>5</vt:i4>
      </vt:variant>
      <vt:variant>
        <vt:lpwstr>https://eur-lex.europa.eu/eli/reg/2024/1689/oj</vt:lpwstr>
      </vt:variant>
      <vt:variant>
        <vt:lpwstr/>
      </vt:variant>
      <vt:variant>
        <vt:i4>3866703</vt:i4>
      </vt:variant>
      <vt:variant>
        <vt:i4>159</vt:i4>
      </vt:variant>
      <vt:variant>
        <vt:i4>0</vt:i4>
      </vt:variant>
      <vt:variant>
        <vt:i4>5</vt:i4>
      </vt:variant>
      <vt:variant>
        <vt:lpwstr>https://transport.ec.europa.eu/transport-themes/infrastructure-and-investment/trans-european-transport-network-ten-t_en</vt:lpwstr>
      </vt:variant>
      <vt:variant>
        <vt:lpwstr/>
      </vt:variant>
      <vt:variant>
        <vt:i4>1638522</vt:i4>
      </vt:variant>
      <vt:variant>
        <vt:i4>156</vt:i4>
      </vt:variant>
      <vt:variant>
        <vt:i4>0</vt:i4>
      </vt:variant>
      <vt:variant>
        <vt:i4>5</vt:i4>
      </vt:variant>
      <vt:variant>
        <vt:lpwstr>https://transport.ec.europa.eu/transport-themes/social-issues-equality-and-attractiveness-transport-sector/equality/diversity-ambassadors-transport_en</vt:lpwstr>
      </vt:variant>
      <vt:variant>
        <vt:lpwstr/>
      </vt:variant>
      <vt:variant>
        <vt:i4>524312</vt:i4>
      </vt:variant>
      <vt:variant>
        <vt:i4>153</vt:i4>
      </vt:variant>
      <vt:variant>
        <vt:i4>0</vt:i4>
      </vt:variant>
      <vt:variant>
        <vt:i4>5</vt:i4>
      </vt:variant>
      <vt:variant>
        <vt:lpwstr>http://data.europa.eu/eli/C/2024/3527/oj</vt:lpwstr>
      </vt:variant>
      <vt:variant>
        <vt:lpwstr/>
      </vt:variant>
      <vt:variant>
        <vt:i4>458758</vt:i4>
      </vt:variant>
      <vt:variant>
        <vt:i4>150</vt:i4>
      </vt:variant>
      <vt:variant>
        <vt:i4>0</vt:i4>
      </vt:variant>
      <vt:variant>
        <vt:i4>5</vt:i4>
      </vt:variant>
      <vt:variant>
        <vt:lpwstr>https://sport.ec.europa.eu/european-week-of-sport</vt:lpwstr>
      </vt:variant>
      <vt:variant>
        <vt:lpwstr/>
      </vt:variant>
      <vt:variant>
        <vt:i4>3080290</vt:i4>
      </vt:variant>
      <vt:variant>
        <vt:i4>147</vt:i4>
      </vt:variant>
      <vt:variant>
        <vt:i4>0</vt:i4>
      </vt:variant>
      <vt:variant>
        <vt:i4>5</vt:i4>
      </vt:variant>
      <vt:variant>
        <vt:lpwstr>https://sport.ec.europa.eu/initiatives/beactive-eu-sport-awards</vt:lpwstr>
      </vt:variant>
      <vt:variant>
        <vt:lpwstr/>
      </vt:variant>
      <vt:variant>
        <vt:i4>6815858</vt:i4>
      </vt:variant>
      <vt:variant>
        <vt:i4>144</vt:i4>
      </vt:variant>
      <vt:variant>
        <vt:i4>0</vt:i4>
      </vt:variant>
      <vt:variant>
        <vt:i4>5</vt:i4>
      </vt:variant>
      <vt:variant>
        <vt:lpwstr>https://eur-lex.europa.eu/legal-content/EN/TXT/?uri=CELEX%3A32021R0818</vt:lpwstr>
      </vt:variant>
      <vt:variant>
        <vt:lpwstr/>
      </vt:variant>
      <vt:variant>
        <vt:i4>8257575</vt:i4>
      </vt:variant>
      <vt:variant>
        <vt:i4>141</vt:i4>
      </vt:variant>
      <vt:variant>
        <vt:i4>0</vt:i4>
      </vt:variant>
      <vt:variant>
        <vt:i4>5</vt:i4>
      </vt:variant>
      <vt:variant>
        <vt:lpwstr>https://eur-lex.europa.eu/legal-content/EN/TXT/?uri=celex%3A52021DC0101</vt:lpwstr>
      </vt:variant>
      <vt:variant>
        <vt:lpwstr/>
      </vt:variant>
      <vt:variant>
        <vt:i4>589845</vt:i4>
      </vt:variant>
      <vt:variant>
        <vt:i4>138</vt:i4>
      </vt:variant>
      <vt:variant>
        <vt:i4>0</vt:i4>
      </vt:variant>
      <vt:variant>
        <vt:i4>5</vt:i4>
      </vt:variant>
      <vt:variant>
        <vt:lpwstr>https://eur-lex.europa.eu/legal-content/EN/TXT/?uri=celex:52023DC0298</vt:lpwstr>
      </vt:variant>
      <vt:variant>
        <vt:lpwstr/>
      </vt:variant>
      <vt:variant>
        <vt:i4>8126503</vt:i4>
      </vt:variant>
      <vt:variant>
        <vt:i4>135</vt:i4>
      </vt:variant>
      <vt:variant>
        <vt:i4>0</vt:i4>
      </vt:variant>
      <vt:variant>
        <vt:i4>5</vt:i4>
      </vt:variant>
      <vt:variant>
        <vt:lpwstr>https://eur-lex.europa.eu/legal-content/EN/TXT/?uri=CELEX%3A52025DC0529</vt:lpwstr>
      </vt:variant>
      <vt:variant>
        <vt:lpwstr/>
      </vt:variant>
      <vt:variant>
        <vt:i4>4718676</vt:i4>
      </vt:variant>
      <vt:variant>
        <vt:i4>132</vt:i4>
      </vt:variant>
      <vt:variant>
        <vt:i4>0</vt:i4>
      </vt:variant>
      <vt:variant>
        <vt:i4>5</vt:i4>
      </vt:variant>
      <vt:variant>
        <vt:lpwstr>https://cancer-inequalities.jrc.ec.europa.eu/</vt:lpwstr>
      </vt:variant>
      <vt:variant>
        <vt:lpwstr/>
      </vt:variant>
      <vt:variant>
        <vt:i4>6160413</vt:i4>
      </vt:variant>
      <vt:variant>
        <vt:i4>129</vt:i4>
      </vt:variant>
      <vt:variant>
        <vt:i4>0</vt:i4>
      </vt:variant>
      <vt:variant>
        <vt:i4>5</vt:i4>
      </vt:variant>
      <vt:variant>
        <vt:lpwstr>https://eur-lex.europa.eu/legal-content/EN/TXT/?uri=COM%3A2021%3A44%3AFIN</vt:lpwstr>
      </vt:variant>
      <vt:variant>
        <vt:lpwstr/>
      </vt:variant>
      <vt:variant>
        <vt:i4>3866721</vt:i4>
      </vt:variant>
      <vt:variant>
        <vt:i4>126</vt:i4>
      </vt:variant>
      <vt:variant>
        <vt:i4>0</vt:i4>
      </vt:variant>
      <vt:variant>
        <vt:i4>5</vt:i4>
      </vt:variant>
      <vt:variant>
        <vt:lpwstr>https://ec.europa.eu/health/social_determinants/projects/ep_funded_projects_en</vt:lpwstr>
      </vt:variant>
      <vt:variant>
        <vt:lpwstr>fragment2</vt:lpwstr>
      </vt:variant>
      <vt:variant>
        <vt:i4>983051</vt:i4>
      </vt:variant>
      <vt:variant>
        <vt:i4>123</vt:i4>
      </vt:variant>
      <vt:variant>
        <vt:i4>0</vt:i4>
      </vt:variant>
      <vt:variant>
        <vt:i4>5</vt:i4>
      </vt:variant>
      <vt:variant>
        <vt:lpwstr>https://webgate.ec.europa.eu/dyna/bp-portal/</vt:lpwstr>
      </vt:variant>
      <vt:variant>
        <vt:lpwstr/>
      </vt:variant>
      <vt:variant>
        <vt:i4>4128883</vt:i4>
      </vt:variant>
      <vt:variant>
        <vt:i4>120</vt:i4>
      </vt:variant>
      <vt:variant>
        <vt:i4>0</vt:i4>
      </vt:variant>
      <vt:variant>
        <vt:i4>5</vt:i4>
      </vt:variant>
      <vt:variant>
        <vt:lpwstr>https://webgate.ec.europa.eu/hpf/page/show/505</vt:lpwstr>
      </vt:variant>
      <vt:variant>
        <vt:lpwstr/>
      </vt:variant>
      <vt:variant>
        <vt:i4>2228292</vt:i4>
      </vt:variant>
      <vt:variant>
        <vt:i4>117</vt:i4>
      </vt:variant>
      <vt:variant>
        <vt:i4>0</vt:i4>
      </vt:variant>
      <vt:variant>
        <vt:i4>5</vt:i4>
      </vt:variant>
      <vt:variant>
        <vt:lpwstr>https://youth.europa.eu/strategy/euyouthstrategygroup_en</vt:lpwstr>
      </vt:variant>
      <vt:variant>
        <vt:lpwstr/>
      </vt:variant>
      <vt:variant>
        <vt:i4>327699</vt:i4>
      </vt:variant>
      <vt:variant>
        <vt:i4>114</vt:i4>
      </vt:variant>
      <vt:variant>
        <vt:i4>0</vt:i4>
      </vt:variant>
      <vt:variant>
        <vt:i4>5</vt:i4>
      </vt:variant>
      <vt:variant>
        <vt:lpwstr>https://eur-lex.europa.eu/legal-content/EN/TXT/?uri=celex:52020DC0758</vt:lpwstr>
      </vt:variant>
      <vt:variant>
        <vt:lpwstr/>
      </vt:variant>
      <vt:variant>
        <vt:i4>5308438</vt:i4>
      </vt:variant>
      <vt:variant>
        <vt:i4>111</vt:i4>
      </vt:variant>
      <vt:variant>
        <vt:i4>0</vt:i4>
      </vt:variant>
      <vt:variant>
        <vt:i4>5</vt:i4>
      </vt:variant>
      <vt:variant>
        <vt:lpwstr>https://fra.europa.eu/en/publication/2023/being-black-eu</vt:lpwstr>
      </vt:variant>
      <vt:variant>
        <vt:lpwstr>publication-tab-1</vt:lpwstr>
      </vt:variant>
      <vt:variant>
        <vt:i4>7012354</vt:i4>
      </vt:variant>
      <vt:variant>
        <vt:i4>108</vt:i4>
      </vt:variant>
      <vt:variant>
        <vt:i4>0</vt:i4>
      </vt:variant>
      <vt:variant>
        <vt:i4>5</vt:i4>
      </vt:variant>
      <vt:variant>
        <vt:lpwstr>https://home-affairs.ec.europa.eu/policies/migration-and-asylum/pact-migration-and-asylum_en</vt:lpwstr>
      </vt:variant>
      <vt:variant>
        <vt:lpwstr/>
      </vt:variant>
      <vt:variant>
        <vt:i4>3670038</vt:i4>
      </vt:variant>
      <vt:variant>
        <vt:i4>96</vt:i4>
      </vt:variant>
      <vt:variant>
        <vt:i4>0</vt:i4>
      </vt:variant>
      <vt:variant>
        <vt:i4>5</vt:i4>
      </vt:variant>
      <vt:variant>
        <vt:lpwstr>https://ec.europa.eu/info/law/better-regulation/have-your-say/initiatives/14587-European-Democracy-Shield_en</vt:lpwstr>
      </vt:variant>
      <vt:variant>
        <vt:lpwstr/>
      </vt:variant>
      <vt:variant>
        <vt:i4>327764</vt:i4>
      </vt:variant>
      <vt:variant>
        <vt:i4>93</vt:i4>
      </vt:variant>
      <vt:variant>
        <vt:i4>0</vt:i4>
      </vt:variant>
      <vt:variant>
        <vt:i4>5</vt:i4>
      </vt:variant>
      <vt:variant>
        <vt:lpwstr>https://eur-lex.europa.eu/legal-content/EN/ALL/?uri=CELEX:32010L0013</vt:lpwstr>
      </vt:variant>
      <vt:variant>
        <vt:lpwstr/>
      </vt:variant>
      <vt:variant>
        <vt:i4>6356998</vt:i4>
      </vt:variant>
      <vt:variant>
        <vt:i4>90</vt:i4>
      </vt:variant>
      <vt:variant>
        <vt:i4>0</vt:i4>
      </vt:variant>
      <vt:variant>
        <vt:i4>5</vt:i4>
      </vt:variant>
      <vt:variant>
        <vt:lpwstr>https://citizens.ec.europa.eu/european-citizens-panels/tackling-hatred-society-panel_en</vt:lpwstr>
      </vt:variant>
      <vt:variant>
        <vt:lpwstr/>
      </vt:variant>
      <vt:variant>
        <vt:i4>8126591</vt:i4>
      </vt:variant>
      <vt:variant>
        <vt:i4>87</vt:i4>
      </vt:variant>
      <vt:variant>
        <vt:i4>0</vt:i4>
      </vt:variant>
      <vt:variant>
        <vt:i4>5</vt:i4>
      </vt:variant>
      <vt:variant>
        <vt:lpwstr>https://digital-strategy.ec.europa.eu/en/library/code-conduct-countering-illegal-hate-speech-online</vt:lpwstr>
      </vt:variant>
      <vt:variant>
        <vt:lpwstr/>
      </vt:variant>
      <vt:variant>
        <vt:i4>1245255</vt:i4>
      </vt:variant>
      <vt:variant>
        <vt:i4>84</vt:i4>
      </vt:variant>
      <vt:variant>
        <vt:i4>0</vt:i4>
      </vt:variant>
      <vt:variant>
        <vt:i4>5</vt:i4>
      </vt:variant>
      <vt:variant>
        <vt:lpwstr>https://eur-lex.europa.eu/legal-content/EN/TXT/?uri=CELEX:32022R2065</vt:lpwstr>
      </vt:variant>
      <vt:variant>
        <vt:lpwstr/>
      </vt:variant>
      <vt:variant>
        <vt:i4>393262</vt:i4>
      </vt:variant>
      <vt:variant>
        <vt:i4>78</vt:i4>
      </vt:variant>
      <vt:variant>
        <vt:i4>0</vt:i4>
      </vt:variant>
      <vt:variant>
        <vt:i4>5</vt:i4>
      </vt:variant>
      <vt:variant>
        <vt:lpwstr>https://research-and-innovation.ec.europa.eu/funding/funding-opportunities/funding-programmes-and-open-calls/horizon-europe/cluster-2-culture-creativity-and-inclusive-society_en</vt:lpwstr>
      </vt:variant>
      <vt:variant>
        <vt:lpwstr/>
      </vt:variant>
      <vt:variant>
        <vt:i4>262160</vt:i4>
      </vt:variant>
      <vt:variant>
        <vt:i4>72</vt:i4>
      </vt:variant>
      <vt:variant>
        <vt:i4>0</vt:i4>
      </vt:variant>
      <vt:variant>
        <vt:i4>5</vt:i4>
      </vt:variant>
      <vt:variant>
        <vt:lpwstr>https://eur-lex.europa.eu/legal-content/EN/TXT/?uri=celex:52025DC0148</vt:lpwstr>
      </vt:variant>
      <vt:variant>
        <vt:lpwstr/>
      </vt:variant>
      <vt:variant>
        <vt:i4>7864436</vt:i4>
      </vt:variant>
      <vt:variant>
        <vt:i4>69</vt:i4>
      </vt:variant>
      <vt:variant>
        <vt:i4>0</vt:i4>
      </vt:variant>
      <vt:variant>
        <vt:i4>5</vt:i4>
      </vt:variant>
      <vt:variant>
        <vt:lpwstr>https://eur-lex.europa.eu/legal-content/EN/TXT/?uri=celex%3A32024H1238</vt:lpwstr>
      </vt:variant>
      <vt:variant>
        <vt:lpwstr/>
      </vt:variant>
      <vt:variant>
        <vt:i4>393262</vt:i4>
      </vt:variant>
      <vt:variant>
        <vt:i4>66</vt:i4>
      </vt:variant>
      <vt:variant>
        <vt:i4>0</vt:i4>
      </vt:variant>
      <vt:variant>
        <vt:i4>5</vt:i4>
      </vt:variant>
      <vt:variant>
        <vt:lpwstr>https://research-and-innovation.ec.europa.eu/funding/funding-opportunities/funding-programmes-and-open-calls/horizon-europe/cluster-2-culture-creativity-and-inclusive-society_en</vt:lpwstr>
      </vt:variant>
      <vt:variant>
        <vt:lpwstr/>
      </vt:variant>
      <vt:variant>
        <vt:i4>4456514</vt:i4>
      </vt:variant>
      <vt:variant>
        <vt:i4>63</vt:i4>
      </vt:variant>
      <vt:variant>
        <vt:i4>0</vt:i4>
      </vt:variant>
      <vt:variant>
        <vt:i4>5</vt:i4>
      </vt:variant>
      <vt:variant>
        <vt:lpwstr>https://op.europa.eu/en/publication-detail/-/publication/6ce8aef5-70b3-11ef-a8ba-01aa75ed71a1/language-en</vt:lpwstr>
      </vt:variant>
      <vt:variant>
        <vt:lpwstr/>
      </vt:variant>
      <vt:variant>
        <vt:i4>327702</vt:i4>
      </vt:variant>
      <vt:variant>
        <vt:i4>60</vt:i4>
      </vt:variant>
      <vt:variant>
        <vt:i4>0</vt:i4>
      </vt:variant>
      <vt:variant>
        <vt:i4>5</vt:i4>
      </vt:variant>
      <vt:variant>
        <vt:lpwstr>https://eur-lex.europa.eu/legal-content/EN/TXT/?uri=celex:52020DC0258</vt:lpwstr>
      </vt:variant>
      <vt:variant>
        <vt:lpwstr/>
      </vt:variant>
      <vt:variant>
        <vt:i4>1441811</vt:i4>
      </vt:variant>
      <vt:variant>
        <vt:i4>57</vt:i4>
      </vt:variant>
      <vt:variant>
        <vt:i4>0</vt:i4>
      </vt:variant>
      <vt:variant>
        <vt:i4>5</vt:i4>
      </vt:variant>
      <vt:variant>
        <vt:lpwstr>https://eur-lex.europa.eu/legal-content/EN/TXT/?uri=celex:52023PC0424</vt:lpwstr>
      </vt:variant>
      <vt:variant>
        <vt:lpwstr/>
      </vt:variant>
      <vt:variant>
        <vt:i4>1507343</vt:i4>
      </vt:variant>
      <vt:variant>
        <vt:i4>54</vt:i4>
      </vt:variant>
      <vt:variant>
        <vt:i4>0</vt:i4>
      </vt:variant>
      <vt:variant>
        <vt:i4>5</vt:i4>
      </vt:variant>
      <vt:variant>
        <vt:lpwstr>https://eur-lex.europa.eu/legal-content/EN/TXT/?uri=CELEX%3A52025PC0550&amp;qid=1753799477044</vt:lpwstr>
      </vt:variant>
      <vt:variant>
        <vt:lpwstr/>
      </vt:variant>
      <vt:variant>
        <vt:i4>6619219</vt:i4>
      </vt:variant>
      <vt:variant>
        <vt:i4>51</vt:i4>
      </vt:variant>
      <vt:variant>
        <vt:i4>0</vt:i4>
      </vt:variant>
      <vt:variant>
        <vt:i4>5</vt:i4>
      </vt:variant>
      <vt:variant>
        <vt:lpwstr>https://commission.europa.eu/strategy-and-policy/policies/justice-and-fundamental-rights/combatting-discrimination/racism-and-xenophobia/combating-hate-speech-and-hate-crime_en</vt:lpwstr>
      </vt:variant>
      <vt:variant>
        <vt:lpwstr>the-high-level-group-on-combating-hate-speech-and-hate-crime</vt:lpwstr>
      </vt:variant>
      <vt:variant>
        <vt:i4>6356998</vt:i4>
      </vt:variant>
      <vt:variant>
        <vt:i4>48</vt:i4>
      </vt:variant>
      <vt:variant>
        <vt:i4>0</vt:i4>
      </vt:variant>
      <vt:variant>
        <vt:i4>5</vt:i4>
      </vt:variant>
      <vt:variant>
        <vt:lpwstr>https://citizens.ec.europa.eu/european-citizens-panels/tackling-hatred-society-panel_en</vt:lpwstr>
      </vt:variant>
      <vt:variant>
        <vt:lpwstr/>
      </vt:variant>
      <vt:variant>
        <vt:i4>5505032</vt:i4>
      </vt:variant>
      <vt:variant>
        <vt:i4>45</vt:i4>
      </vt:variant>
      <vt:variant>
        <vt:i4>0</vt:i4>
      </vt:variant>
      <vt:variant>
        <vt:i4>5</vt:i4>
      </vt:variant>
      <vt:variant>
        <vt:lpwstr>https://eur-lex.europa.eu/legal-content/EN/TXT/?uri=CELEX%3A32024L1385&amp;qid=1721907928628</vt:lpwstr>
      </vt:variant>
      <vt:variant>
        <vt:lpwstr/>
      </vt:variant>
      <vt:variant>
        <vt:i4>6881356</vt:i4>
      </vt:variant>
      <vt:variant>
        <vt:i4>39</vt:i4>
      </vt:variant>
      <vt:variant>
        <vt:i4>0</vt:i4>
      </vt:variant>
      <vt:variant>
        <vt:i4>5</vt:i4>
      </vt:variant>
      <vt:variant>
        <vt:lpwstr>https://citizens-initiative.europa.eu/initiatives/details/2024/000001_en</vt:lpwstr>
      </vt:variant>
      <vt:variant>
        <vt:lpwstr/>
      </vt:variant>
      <vt:variant>
        <vt:i4>6488113</vt:i4>
      </vt:variant>
      <vt:variant>
        <vt:i4>36</vt:i4>
      </vt:variant>
      <vt:variant>
        <vt:i4>0</vt:i4>
      </vt:variant>
      <vt:variant>
        <vt:i4>5</vt:i4>
      </vt:variant>
      <vt:variant>
        <vt:lpwstr>https://fra.europa.eu/en/publication/2025/being-intersex-eu</vt:lpwstr>
      </vt:variant>
      <vt:variant>
        <vt:lpwstr/>
      </vt:variant>
      <vt:variant>
        <vt:i4>6619227</vt:i4>
      </vt:variant>
      <vt:variant>
        <vt:i4>33</vt:i4>
      </vt:variant>
      <vt:variant>
        <vt:i4>0</vt:i4>
      </vt:variant>
      <vt:variant>
        <vt:i4>5</vt:i4>
      </vt:variant>
      <vt:variant>
        <vt:lpwstr>https://ec.europa.eu/info/law/better-regulation/have-your-say/initiatives/14551-EU-LGBTIQ-equality-strategy-for-2026-2030_en</vt:lpwstr>
      </vt:variant>
      <vt:variant>
        <vt:lpwstr/>
      </vt:variant>
      <vt:variant>
        <vt:i4>3932201</vt:i4>
      </vt:variant>
      <vt:variant>
        <vt:i4>30</vt:i4>
      </vt:variant>
      <vt:variant>
        <vt:i4>0</vt:i4>
      </vt:variant>
      <vt:variant>
        <vt:i4>5</vt:i4>
      </vt:variant>
      <vt:variant>
        <vt:lpwstr>https://commission.europa.eu/document/download/e6cd4328-673c-4e7a-8683-f63ffb2cf648_en?filename=Political%20Guidelines%202024-2029_EN.pdf</vt:lpwstr>
      </vt:variant>
      <vt:variant>
        <vt:lpwstr/>
      </vt:variant>
      <vt:variant>
        <vt:i4>4390996</vt:i4>
      </vt:variant>
      <vt:variant>
        <vt:i4>27</vt:i4>
      </vt:variant>
      <vt:variant>
        <vt:i4>0</vt:i4>
      </vt:variant>
      <vt:variant>
        <vt:i4>5</vt:i4>
      </vt:variant>
      <vt:variant>
        <vt:lpwstr>https://open.overheid.nl/documenten/ronl-00b035d542eefa7def397baa1f137824159e962a/pdf</vt:lpwstr>
      </vt:variant>
      <vt:variant>
        <vt:lpwstr/>
      </vt:variant>
      <vt:variant>
        <vt:i4>1310815</vt:i4>
      </vt:variant>
      <vt:variant>
        <vt:i4>24</vt:i4>
      </vt:variant>
      <vt:variant>
        <vt:i4>0</vt:i4>
      </vt:variant>
      <vt:variant>
        <vt:i4>5</vt:i4>
      </vt:variant>
      <vt:variant>
        <vt:lpwstr>https://eur-lex.europa.eu/legal-content/EN/TXT/PDF/?uri=CELEX:52024DC0420</vt:lpwstr>
      </vt:variant>
      <vt:variant>
        <vt:lpwstr/>
      </vt:variant>
      <vt:variant>
        <vt:i4>8192093</vt:i4>
      </vt:variant>
      <vt:variant>
        <vt:i4>15</vt:i4>
      </vt:variant>
      <vt:variant>
        <vt:i4>0</vt:i4>
      </vt:variant>
      <vt:variant>
        <vt:i4>5</vt:i4>
      </vt:variant>
      <vt:variant>
        <vt:lpwstr>https://urldefense.com/v3/__https:/www.oecd.org/en/publications/combatting-discrimination-in-the-european-union_29c2c36a-en.html__;!!DOxrgLBm!BC7ZqODAzAlF74KveNbz7nLsayg9Pijh_U_awxxH27ojgASNZu22P5Gm5zHRhOiZh301CY28X9o45TAz6PAzEODocg$</vt:lpwstr>
      </vt:variant>
      <vt:variant>
        <vt:lpwstr/>
      </vt:variant>
      <vt:variant>
        <vt:i4>5570625</vt:i4>
      </vt:variant>
      <vt:variant>
        <vt:i4>12</vt:i4>
      </vt:variant>
      <vt:variant>
        <vt:i4>0</vt:i4>
      </vt:variant>
      <vt:variant>
        <vt:i4>5</vt:i4>
      </vt:variant>
      <vt:variant>
        <vt:lpwstr>https://fra.europa.eu/en/publication/2023/civic-space-2023-update</vt:lpwstr>
      </vt:variant>
      <vt:variant>
        <vt:lpwstr/>
      </vt:variant>
      <vt:variant>
        <vt:i4>7864358</vt:i4>
      </vt:variant>
      <vt:variant>
        <vt:i4>9</vt:i4>
      </vt:variant>
      <vt:variant>
        <vt:i4>0</vt:i4>
      </vt:variant>
      <vt:variant>
        <vt:i4>5</vt:i4>
      </vt:variant>
      <vt:variant>
        <vt:lpwstr>https://fra.europa.eu/en/publication/2024/lgbtiq-crossroads-progress-and-challenges</vt:lpwstr>
      </vt:variant>
      <vt:variant>
        <vt:lpwstr/>
      </vt:variant>
      <vt:variant>
        <vt:i4>2293864</vt:i4>
      </vt:variant>
      <vt:variant>
        <vt:i4>6</vt:i4>
      </vt:variant>
      <vt:variant>
        <vt:i4>0</vt:i4>
      </vt:variant>
      <vt:variant>
        <vt:i4>5</vt:i4>
      </vt:variant>
      <vt:variant>
        <vt:lpwstr>https://europa.eu/eurobarometer/surveys/detail/2972</vt:lpwstr>
      </vt:variant>
      <vt:variant>
        <vt:lpwstr/>
      </vt:variant>
      <vt:variant>
        <vt:i4>6684683</vt:i4>
      </vt:variant>
      <vt:variant>
        <vt:i4>3</vt:i4>
      </vt:variant>
      <vt:variant>
        <vt:i4>0</vt:i4>
      </vt:variant>
      <vt:variant>
        <vt:i4>5</vt:i4>
      </vt:variant>
      <vt:variant>
        <vt:lpwstr>https://commission.europa.eu/strategy-and-policy/policies/justice-and-fundamental-rights/combatting-discrimination/lesbian-gay-bi-trans-and-intersex-equality/lgbtiq-equality-strategy-2020-2025_en</vt:lpwstr>
      </vt:variant>
      <vt:variant>
        <vt:lpwstr/>
      </vt:variant>
      <vt:variant>
        <vt:i4>8061025</vt:i4>
      </vt:variant>
      <vt:variant>
        <vt:i4>0</vt:i4>
      </vt:variant>
      <vt:variant>
        <vt:i4>0</vt:i4>
      </vt:variant>
      <vt:variant>
        <vt:i4>5</vt:i4>
      </vt:variant>
      <vt:variant>
        <vt:lpwstr>https://ec.europa.eu/commission/presscorner/detail/ov/SPEECH_25_2053</vt:lpwstr>
      </vt:variant>
      <vt:variant>
        <vt:lpwstr/>
      </vt:variant>
      <vt:variant>
        <vt:i4>2162730</vt:i4>
      </vt:variant>
      <vt:variant>
        <vt:i4>141</vt:i4>
      </vt:variant>
      <vt:variant>
        <vt:i4>0</vt:i4>
      </vt:variant>
      <vt:variant>
        <vt:i4>5</vt:i4>
      </vt:variant>
      <vt:variant>
        <vt:lpwstr>https://www.humandignitytrust.org/lgbt-the-law/map-of-criminalisation/</vt:lpwstr>
      </vt:variant>
      <vt:variant>
        <vt:lpwstr/>
      </vt:variant>
      <vt:variant>
        <vt:i4>1638406</vt:i4>
      </vt:variant>
      <vt:variant>
        <vt:i4>138</vt:i4>
      </vt:variant>
      <vt:variant>
        <vt:i4>0</vt:i4>
      </vt:variant>
      <vt:variant>
        <vt:i4>5</vt:i4>
      </vt:variant>
      <vt:variant>
        <vt:lpwstr>https://eur-lex.europa.eu/legal-content/EN/TXT/?uri=CELEX%3A52025PC0565&amp;qid=1753801752960</vt:lpwstr>
      </vt:variant>
      <vt:variant>
        <vt:lpwstr/>
      </vt:variant>
      <vt:variant>
        <vt:i4>655450</vt:i4>
      </vt:variant>
      <vt:variant>
        <vt:i4>135</vt:i4>
      </vt:variant>
      <vt:variant>
        <vt:i4>0</vt:i4>
      </vt:variant>
      <vt:variant>
        <vt:i4>5</vt:i4>
      </vt:variant>
      <vt:variant>
        <vt:lpwstr>https://globalphilanthropyproject.org/coordinatedresponseodacuts/</vt:lpwstr>
      </vt:variant>
      <vt:variant>
        <vt:lpwstr/>
      </vt:variant>
      <vt:variant>
        <vt:i4>6815860</vt:i4>
      </vt:variant>
      <vt:variant>
        <vt:i4>132</vt:i4>
      </vt:variant>
      <vt:variant>
        <vt:i4>0</vt:i4>
      </vt:variant>
      <vt:variant>
        <vt:i4>5</vt:i4>
      </vt:variant>
      <vt:variant>
        <vt:lpwstr>https://eur-lex.europa.eu/legal-content/EN/TXT/?uri=CELEX%3A32021R1060</vt:lpwstr>
      </vt:variant>
      <vt:variant>
        <vt:lpwstr/>
      </vt:variant>
      <vt:variant>
        <vt:i4>1048671</vt:i4>
      </vt:variant>
      <vt:variant>
        <vt:i4>129</vt:i4>
      </vt:variant>
      <vt:variant>
        <vt:i4>0</vt:i4>
      </vt:variant>
      <vt:variant>
        <vt:i4>5</vt:i4>
      </vt:variant>
      <vt:variant>
        <vt:lpwstr>https://eur-lex.europa.eu/eli/reg/2012/650/oj/eng</vt:lpwstr>
      </vt:variant>
      <vt:variant>
        <vt:lpwstr/>
      </vt:variant>
      <vt:variant>
        <vt:i4>7995489</vt:i4>
      </vt:variant>
      <vt:variant>
        <vt:i4>126</vt:i4>
      </vt:variant>
      <vt:variant>
        <vt:i4>0</vt:i4>
      </vt:variant>
      <vt:variant>
        <vt:i4>5</vt:i4>
      </vt:variant>
      <vt:variant>
        <vt:lpwstr>https://eur-lex.europa.eu/eli/reg/2016/1104/oj/eng</vt:lpwstr>
      </vt:variant>
      <vt:variant>
        <vt:lpwstr/>
      </vt:variant>
      <vt:variant>
        <vt:i4>7995494</vt:i4>
      </vt:variant>
      <vt:variant>
        <vt:i4>123</vt:i4>
      </vt:variant>
      <vt:variant>
        <vt:i4>0</vt:i4>
      </vt:variant>
      <vt:variant>
        <vt:i4>5</vt:i4>
      </vt:variant>
      <vt:variant>
        <vt:lpwstr>https://eur-lex.europa.eu/eli/reg/2016/1103/oj/eng</vt:lpwstr>
      </vt:variant>
      <vt:variant>
        <vt:lpwstr/>
      </vt:variant>
      <vt:variant>
        <vt:i4>7405668</vt:i4>
      </vt:variant>
      <vt:variant>
        <vt:i4>120</vt:i4>
      </vt:variant>
      <vt:variant>
        <vt:i4>0</vt:i4>
      </vt:variant>
      <vt:variant>
        <vt:i4>5</vt:i4>
      </vt:variant>
      <vt:variant>
        <vt:lpwstr>https://eur-lex.europa.eu/eli/reg/2009/4(1)/oj/eng</vt:lpwstr>
      </vt:variant>
      <vt:variant>
        <vt:lpwstr/>
      </vt:variant>
      <vt:variant>
        <vt:i4>7602276</vt:i4>
      </vt:variant>
      <vt:variant>
        <vt:i4>117</vt:i4>
      </vt:variant>
      <vt:variant>
        <vt:i4>0</vt:i4>
      </vt:variant>
      <vt:variant>
        <vt:i4>5</vt:i4>
      </vt:variant>
      <vt:variant>
        <vt:lpwstr>https://eur-lex.europa.eu/eli/reg/2019/1111/oj/eng</vt:lpwstr>
      </vt:variant>
      <vt:variant>
        <vt:lpwstr/>
      </vt:variant>
      <vt:variant>
        <vt:i4>5701713</vt:i4>
      </vt:variant>
      <vt:variant>
        <vt:i4>114</vt:i4>
      </vt:variant>
      <vt:variant>
        <vt:i4>0</vt:i4>
      </vt:variant>
      <vt:variant>
        <vt:i4>5</vt:i4>
      </vt:variant>
      <vt:variant>
        <vt:lpwstr>https://fra.europa.eu/en/publication/2022/bias-algorithm</vt:lpwstr>
      </vt:variant>
      <vt:variant>
        <vt:lpwstr/>
      </vt:variant>
      <vt:variant>
        <vt:i4>5046329</vt:i4>
      </vt:variant>
      <vt:variant>
        <vt:i4>111</vt:i4>
      </vt:variant>
      <vt:variant>
        <vt:i4>0</vt:i4>
      </vt:variant>
      <vt:variant>
        <vt:i4>5</vt:i4>
      </vt:variant>
      <vt:variant>
        <vt:lpwstr>https://health.ec.europa.eu/non-communicable-diseases/mental-health_en</vt:lpwstr>
      </vt:variant>
      <vt:variant>
        <vt:lpwstr/>
      </vt:variant>
      <vt:variant>
        <vt:i4>6225994</vt:i4>
      </vt:variant>
      <vt:variant>
        <vt:i4>108</vt:i4>
      </vt:variant>
      <vt:variant>
        <vt:i4>0</vt:i4>
      </vt:variant>
      <vt:variant>
        <vt:i4>5</vt:i4>
      </vt:variant>
      <vt:variant>
        <vt:lpwstr>https://doi.org/10.1161/CIR.0000000000000914</vt:lpwstr>
      </vt:variant>
      <vt:variant>
        <vt:lpwstr/>
      </vt:variant>
      <vt:variant>
        <vt:i4>3670050</vt:i4>
      </vt:variant>
      <vt:variant>
        <vt:i4>105</vt:i4>
      </vt:variant>
      <vt:variant>
        <vt:i4>0</vt:i4>
      </vt:variant>
      <vt:variant>
        <vt:i4>5</vt:i4>
      </vt:variant>
      <vt:variant>
        <vt:lpwstr>https://doi.org/10.1001/jamaoncol.2025.1002</vt:lpwstr>
      </vt:variant>
      <vt:variant>
        <vt:lpwstr/>
      </vt:variant>
      <vt:variant>
        <vt:i4>2949174</vt:i4>
      </vt:variant>
      <vt:variant>
        <vt:i4>102</vt:i4>
      </vt:variant>
      <vt:variant>
        <vt:i4>0</vt:i4>
      </vt:variant>
      <vt:variant>
        <vt:i4>5</vt:i4>
      </vt:variant>
      <vt:variant>
        <vt:lpwstr>https://doi.org/10.1186/s40001-022-00677-0</vt:lpwstr>
      </vt:variant>
      <vt:variant>
        <vt:lpwstr/>
      </vt:variant>
      <vt:variant>
        <vt:i4>983110</vt:i4>
      </vt:variant>
      <vt:variant>
        <vt:i4>99</vt:i4>
      </vt:variant>
      <vt:variant>
        <vt:i4>0</vt:i4>
      </vt:variant>
      <vt:variant>
        <vt:i4>5</vt:i4>
      </vt:variant>
      <vt:variant>
        <vt:lpwstr>https://eur-lex.europa.eu/legal-content/EN/TXT/?uri=CELEX:32021D1877</vt:lpwstr>
      </vt:variant>
      <vt:variant>
        <vt:lpwstr/>
      </vt:variant>
      <vt:variant>
        <vt:i4>4915292</vt:i4>
      </vt:variant>
      <vt:variant>
        <vt:i4>96</vt:i4>
      </vt:variant>
      <vt:variant>
        <vt:i4>0</vt:i4>
      </vt:variant>
      <vt:variant>
        <vt:i4>5</vt:i4>
      </vt:variant>
      <vt:variant>
        <vt:lpwstr>https://lsa.euaa.europa.eu/euaa-products</vt:lpwstr>
      </vt:variant>
      <vt:variant>
        <vt:lpwstr/>
      </vt:variant>
      <vt:variant>
        <vt:i4>4063342</vt:i4>
      </vt:variant>
      <vt:variant>
        <vt:i4>93</vt:i4>
      </vt:variant>
      <vt:variant>
        <vt:i4>0</vt:i4>
      </vt:variant>
      <vt:variant>
        <vt:i4>5</vt:i4>
      </vt:variant>
      <vt:variant>
        <vt:lpwstr>https://www.unhcr.org/media/protecting-lgbtiq-people-situations-forced-displacement-stocktaking-unhcr-progress-2021</vt:lpwstr>
      </vt:variant>
      <vt:variant>
        <vt:lpwstr/>
      </vt:variant>
      <vt:variant>
        <vt:i4>393306</vt:i4>
      </vt:variant>
      <vt:variant>
        <vt:i4>87</vt:i4>
      </vt:variant>
      <vt:variant>
        <vt:i4>0</vt:i4>
      </vt:variant>
      <vt:variant>
        <vt:i4>5</vt:i4>
      </vt:variant>
      <vt:variant>
        <vt:lpwstr>https://www.epfweb.org/node/1147</vt:lpwstr>
      </vt:variant>
      <vt:variant>
        <vt:lpwstr/>
      </vt:variant>
      <vt:variant>
        <vt:i4>3145808</vt:i4>
      </vt:variant>
      <vt:variant>
        <vt:i4>84</vt:i4>
      </vt:variant>
      <vt:variant>
        <vt:i4>0</vt:i4>
      </vt:variant>
      <vt:variant>
        <vt:i4>5</vt:i4>
      </vt:variant>
      <vt:variant>
        <vt:lpwstr>https://cdn.prod.website-files.com/63fdd3923aa8fbc7d5b6f168/643972f485d5065f4b12a695_D20-Inclusive-Education-Study.pdf</vt:lpwstr>
      </vt:variant>
      <vt:variant>
        <vt:lpwstr/>
      </vt:variant>
      <vt:variant>
        <vt:i4>3604606</vt:i4>
      </vt:variant>
      <vt:variant>
        <vt:i4>78</vt:i4>
      </vt:variant>
      <vt:variant>
        <vt:i4>0</vt:i4>
      </vt:variant>
      <vt:variant>
        <vt:i4>5</vt:i4>
      </vt:variant>
      <vt:variant>
        <vt:lpwstr>https://hmd.org.uk/learn-about-the-holocaust-and-genocides/nazi-persecution/gay-people/</vt:lpwstr>
      </vt:variant>
      <vt:variant>
        <vt:lpwstr/>
      </vt:variant>
      <vt:variant>
        <vt:i4>3670133</vt:i4>
      </vt:variant>
      <vt:variant>
        <vt:i4>69</vt:i4>
      </vt:variant>
      <vt:variant>
        <vt:i4>0</vt:i4>
      </vt:variant>
      <vt:variant>
        <vt:i4>5</vt:i4>
      </vt:variant>
      <vt:variant>
        <vt:lpwstr>https://www.ilga-europe.org/report/annual-review-2025/</vt:lpwstr>
      </vt:variant>
      <vt:variant>
        <vt:lpwstr/>
      </vt:variant>
      <vt:variant>
        <vt:i4>1179664</vt:i4>
      </vt:variant>
      <vt:variant>
        <vt:i4>66</vt:i4>
      </vt:variant>
      <vt:variant>
        <vt:i4>0</vt:i4>
      </vt:variant>
      <vt:variant>
        <vt:i4>5</vt:i4>
      </vt:variant>
      <vt:variant>
        <vt:lpwstr>https://eur-lex.europa.eu/legal-content/EN/TXT/?uri=CELEX:52024PC0060</vt:lpwstr>
      </vt:variant>
      <vt:variant>
        <vt:lpwstr/>
      </vt:variant>
      <vt:variant>
        <vt:i4>6946855</vt:i4>
      </vt:variant>
      <vt:variant>
        <vt:i4>63</vt:i4>
      </vt:variant>
      <vt:variant>
        <vt:i4>0</vt:i4>
      </vt:variant>
      <vt:variant>
        <vt:i4>5</vt:i4>
      </vt:variant>
      <vt:variant>
        <vt:lpwstr>https://eur-lex.europa.eu/legal-content/EN/TXT/?uri=CELEX%3A52022PC0209</vt:lpwstr>
      </vt:variant>
      <vt:variant>
        <vt:lpwstr/>
      </vt:variant>
      <vt:variant>
        <vt:i4>5505109</vt:i4>
      </vt:variant>
      <vt:variant>
        <vt:i4>60</vt:i4>
      </vt:variant>
      <vt:variant>
        <vt:i4>0</vt:i4>
      </vt:variant>
      <vt:variant>
        <vt:i4>5</vt:i4>
      </vt:variant>
      <vt:variant>
        <vt:lpwstr>https://doi.org/10.1016/j.chipro.2024.100001</vt:lpwstr>
      </vt:variant>
      <vt:variant>
        <vt:lpwstr/>
      </vt:variant>
      <vt:variant>
        <vt:i4>2883628</vt:i4>
      </vt:variant>
      <vt:variant>
        <vt:i4>57</vt:i4>
      </vt:variant>
      <vt:variant>
        <vt:i4>0</vt:i4>
      </vt:variant>
      <vt:variant>
        <vt:i4>5</vt:i4>
      </vt:variant>
      <vt:variant>
        <vt:lpwstr>https://commission.europa.eu/system/files/2021-11/ec_rtd_era-policy-agenda-2021.pdf</vt:lpwstr>
      </vt:variant>
      <vt:variant>
        <vt:lpwstr/>
      </vt:variant>
      <vt:variant>
        <vt:i4>4128872</vt:i4>
      </vt:variant>
      <vt:variant>
        <vt:i4>54</vt:i4>
      </vt:variant>
      <vt:variant>
        <vt:i4>0</vt:i4>
      </vt:variant>
      <vt:variant>
        <vt:i4>5</vt:i4>
      </vt:variant>
      <vt:variant>
        <vt:lpwstr>https://data.consilium.europa.eu/doc/document/ST-13567-2020-INIT/en/pdf</vt:lpwstr>
      </vt:variant>
      <vt:variant>
        <vt:lpwstr/>
      </vt:variant>
      <vt:variant>
        <vt:i4>6881336</vt:i4>
      </vt:variant>
      <vt:variant>
        <vt:i4>51</vt:i4>
      </vt:variant>
      <vt:variant>
        <vt:i4>0</vt:i4>
      </vt:variant>
      <vt:variant>
        <vt:i4>5</vt:i4>
      </vt:variant>
      <vt:variant>
        <vt:lpwstr>https://www.facingfacts.eu/</vt:lpwstr>
      </vt:variant>
      <vt:variant>
        <vt:lpwstr/>
      </vt:variant>
      <vt:variant>
        <vt:i4>7929889</vt:i4>
      </vt:variant>
      <vt:variant>
        <vt:i4>48</vt:i4>
      </vt:variant>
      <vt:variant>
        <vt:i4>0</vt:i4>
      </vt:variant>
      <vt:variant>
        <vt:i4>5</vt:i4>
      </vt:variant>
      <vt:variant>
        <vt:lpwstr>https://eur-lex.europa.eu/legal-content/EN/TXT/?uri=CELEX%3A52021DC0777</vt:lpwstr>
      </vt:variant>
      <vt:variant>
        <vt:lpwstr/>
      </vt:variant>
      <vt:variant>
        <vt:i4>4259860</vt:i4>
      </vt:variant>
      <vt:variant>
        <vt:i4>45</vt:i4>
      </vt:variant>
      <vt:variant>
        <vt:i4>0</vt:i4>
      </vt:variant>
      <vt:variant>
        <vt:i4>5</vt:i4>
      </vt:variant>
      <vt:variant>
        <vt:lpwstr>https://op.europa.eu/en/publication-detail/-/publication/08185780-57db-11ec-91ac-01aa75ed71a1/language-en</vt:lpwstr>
      </vt:variant>
      <vt:variant>
        <vt:lpwstr/>
      </vt:variant>
      <vt:variant>
        <vt:i4>2228341</vt:i4>
      </vt:variant>
      <vt:variant>
        <vt:i4>42</vt:i4>
      </vt:variant>
      <vt:variant>
        <vt:i4>0</vt:i4>
      </vt:variant>
      <vt:variant>
        <vt:i4>5</vt:i4>
      </vt:variant>
      <vt:variant>
        <vt:lpwstr>https://www.europarl.europa.eu/RegData/etudes/BRIE/2022/733521/EPRS_BRI(2022)733521_EN.pdf</vt:lpwstr>
      </vt:variant>
      <vt:variant>
        <vt:lpwstr/>
      </vt:variant>
      <vt:variant>
        <vt:i4>655377</vt:i4>
      </vt:variant>
      <vt:variant>
        <vt:i4>39</vt:i4>
      </vt:variant>
      <vt:variant>
        <vt:i4>0</vt:i4>
      </vt:variant>
      <vt:variant>
        <vt:i4>5</vt:i4>
      </vt:variant>
      <vt:variant>
        <vt:lpwstr>https://data.europa.eu/doi/10.2838/50202</vt:lpwstr>
      </vt:variant>
      <vt:variant>
        <vt:lpwstr/>
      </vt:variant>
      <vt:variant>
        <vt:i4>3276848</vt:i4>
      </vt:variant>
      <vt:variant>
        <vt:i4>36</vt:i4>
      </vt:variant>
      <vt:variant>
        <vt:i4>0</vt:i4>
      </vt:variant>
      <vt:variant>
        <vt:i4>5</vt:i4>
      </vt:variant>
      <vt:variant>
        <vt:lpwstr>https://rainbowmap.ilga-europe.org/categories/legal-gender-recognition/</vt:lpwstr>
      </vt:variant>
      <vt:variant>
        <vt:lpwstr/>
      </vt:variant>
      <vt:variant>
        <vt:i4>7012402</vt:i4>
      </vt:variant>
      <vt:variant>
        <vt:i4>33</vt:i4>
      </vt:variant>
      <vt:variant>
        <vt:i4>0</vt:i4>
      </vt:variant>
      <vt:variant>
        <vt:i4>5</vt:i4>
      </vt:variant>
      <vt:variant>
        <vt:lpwstr>https://www.ohchr.org/en/documents/thematic-reports/ahrc4453-practices-so-called-conversion-therapy-report-independent</vt:lpwstr>
      </vt:variant>
      <vt:variant>
        <vt:lpwstr/>
      </vt:variant>
      <vt:variant>
        <vt:i4>8192113</vt:i4>
      </vt:variant>
      <vt:variant>
        <vt:i4>30</vt:i4>
      </vt:variant>
      <vt:variant>
        <vt:i4>0</vt:i4>
      </vt:variant>
      <vt:variant>
        <vt:i4>5</vt:i4>
      </vt:variant>
      <vt:variant>
        <vt:lpwstr>https://commission.europa.eu/document/download/d6cc6024-6f90-4b6a-8216-fd940407e55f_en?filename=cafjl_antisemitism-strategy-doc-en.pdf</vt:lpwstr>
      </vt:variant>
      <vt:variant>
        <vt:lpwstr/>
      </vt:variant>
      <vt:variant>
        <vt:i4>7995431</vt:i4>
      </vt:variant>
      <vt:variant>
        <vt:i4>27</vt:i4>
      </vt:variant>
      <vt:variant>
        <vt:i4>0</vt:i4>
      </vt:variant>
      <vt:variant>
        <vt:i4>5</vt:i4>
      </vt:variant>
      <vt:variant>
        <vt:lpwstr>https://eur-lex.europa.eu/legal-content/en/TXT/?uri=CELEX%3A52021DC0142</vt:lpwstr>
      </vt:variant>
      <vt:variant>
        <vt:lpwstr/>
      </vt:variant>
      <vt:variant>
        <vt:i4>8257575</vt:i4>
      </vt:variant>
      <vt:variant>
        <vt:i4>24</vt:i4>
      </vt:variant>
      <vt:variant>
        <vt:i4>0</vt:i4>
      </vt:variant>
      <vt:variant>
        <vt:i4>5</vt:i4>
      </vt:variant>
      <vt:variant>
        <vt:lpwstr>https://eur-lex.europa.eu/legal-content/EN/TXT/?uri=celex%3A52021DC0101</vt:lpwstr>
      </vt:variant>
      <vt:variant>
        <vt:lpwstr/>
      </vt:variant>
      <vt:variant>
        <vt:i4>6291472</vt:i4>
      </vt:variant>
      <vt:variant>
        <vt:i4>21</vt:i4>
      </vt:variant>
      <vt:variant>
        <vt:i4>0</vt:i4>
      </vt:variant>
      <vt:variant>
        <vt:i4>5</vt:i4>
      </vt:variant>
      <vt:variant>
        <vt:lpwstr>https://ec.europa.eu/commission/sites/beta-political/files/social-summit-european-pillar-social-rights-booklet_en.pdf;</vt:lpwstr>
      </vt:variant>
      <vt:variant>
        <vt:lpwstr/>
      </vt:variant>
      <vt:variant>
        <vt:i4>3473473</vt:i4>
      </vt:variant>
      <vt:variant>
        <vt:i4>18</vt:i4>
      </vt:variant>
      <vt:variant>
        <vt:i4>0</vt:i4>
      </vt:variant>
      <vt:variant>
        <vt:i4>5</vt:i4>
      </vt:variant>
      <vt:variant>
        <vt:lpwstr>https://commission.europa.eu/document/download/99cc0720-68c2-4300-854f-592bf21dceaf_en?filename=eu_roma_strategic_framework_for_equality_inclusion_and_participation_for_2020_-_2030.pdf</vt:lpwstr>
      </vt:variant>
      <vt:variant>
        <vt:lpwstr/>
      </vt:variant>
      <vt:variant>
        <vt:i4>3473473</vt:i4>
      </vt:variant>
      <vt:variant>
        <vt:i4>15</vt:i4>
      </vt:variant>
      <vt:variant>
        <vt:i4>0</vt:i4>
      </vt:variant>
      <vt:variant>
        <vt:i4>5</vt:i4>
      </vt:variant>
      <vt:variant>
        <vt:lpwstr>https://commission.europa.eu/document/download/99cc0720-68c2-4300-854f-592bf21dceaf_en?filename=eu_roma_strategic_framework_for_equality_inclusion_and_participation_for_2020_-_2030.pdf</vt:lpwstr>
      </vt:variant>
      <vt:variant>
        <vt:lpwstr/>
      </vt:variant>
      <vt:variant>
        <vt:i4>39</vt:i4>
      </vt:variant>
      <vt:variant>
        <vt:i4>12</vt:i4>
      </vt:variant>
      <vt:variant>
        <vt:i4>0</vt:i4>
      </vt:variant>
      <vt:variant>
        <vt:i4>5</vt:i4>
      </vt:variant>
      <vt:variant>
        <vt:lpwstr>https://www.europarl.europa.eu/doceo/document/TA-9-2024-0076_EN.html</vt:lpwstr>
      </vt:variant>
      <vt:variant>
        <vt:lpwstr/>
      </vt:variant>
      <vt:variant>
        <vt:i4>2228278</vt:i4>
      </vt:variant>
      <vt:variant>
        <vt:i4>6</vt:i4>
      </vt:variant>
      <vt:variant>
        <vt:i4>0</vt:i4>
      </vt:variant>
      <vt:variant>
        <vt:i4>5</vt:i4>
      </vt:variant>
      <vt:variant>
        <vt:lpwstr>https://www.citiesreport.open-for-business.org/</vt:lpwstr>
      </vt:variant>
      <vt:variant>
        <vt:lpwstr/>
      </vt:variant>
      <vt:variant>
        <vt:i4>3276848</vt:i4>
      </vt:variant>
      <vt:variant>
        <vt:i4>3</vt:i4>
      </vt:variant>
      <vt:variant>
        <vt:i4>0</vt:i4>
      </vt:variant>
      <vt:variant>
        <vt:i4>5</vt:i4>
      </vt:variant>
      <vt:variant>
        <vt:lpwstr>https://rainbowmap.ilga-europe.org/categories/legal-gender-recognition/</vt:lpwstr>
      </vt:variant>
      <vt:variant>
        <vt:lpwstr/>
      </vt:variant>
      <vt:variant>
        <vt:i4>524380</vt:i4>
      </vt:variant>
      <vt:variant>
        <vt:i4>0</vt:i4>
      </vt:variant>
      <vt:variant>
        <vt:i4>0</vt:i4>
      </vt:variant>
      <vt:variant>
        <vt:i4>5</vt:i4>
      </vt:variant>
      <vt:variant>
        <vt:lpwstr>https://ec.europa.eu/commission/presscorner/detail/en/statement_25_1629</vt:lpwstr>
      </vt:variant>
      <vt:variant>
        <vt:lpwstr/>
      </vt:variant>
      <vt:variant>
        <vt:i4>2490381</vt:i4>
      </vt:variant>
      <vt:variant>
        <vt:i4>21</vt:i4>
      </vt:variant>
      <vt:variant>
        <vt:i4>0</vt:i4>
      </vt:variant>
      <vt:variant>
        <vt:i4>5</vt:i4>
      </vt:variant>
      <vt:variant>
        <vt:lpwstr>https://commission.europa.eu/document/download/4b958a25-a16a-4ac2-bda8-c14a18bd117c_en?filename=Working%20Methods%20of%20the%20European%20Commission.PDF</vt:lpwstr>
      </vt:variant>
      <vt:variant>
        <vt:lpwstr/>
      </vt:variant>
      <vt:variant>
        <vt:i4>3604500</vt:i4>
      </vt:variant>
      <vt:variant>
        <vt:i4>18</vt:i4>
      </vt:variant>
      <vt:variant>
        <vt:i4>0</vt:i4>
      </vt:variant>
      <vt:variant>
        <vt:i4>5</vt:i4>
      </vt:variant>
      <vt:variant>
        <vt:lpwstr>https://commission.europa.eu/document/download/e0f32937-9ce9-40d7-880c-416321d00dc9_en?filename=mission-letter-lahbib.pdf</vt:lpwstr>
      </vt:variant>
      <vt:variant>
        <vt:lpwstr/>
      </vt:variant>
      <vt:variant>
        <vt:i4>8126584</vt:i4>
      </vt:variant>
      <vt:variant>
        <vt:i4>15</vt:i4>
      </vt:variant>
      <vt:variant>
        <vt:i4>0</vt:i4>
      </vt:variant>
      <vt:variant>
        <vt:i4>5</vt:i4>
      </vt:variant>
      <vt:variant>
        <vt:lpwstr>https://fra.europa.eu/sites/default/files/fra_uploads/fra-2024-lgbtiq-equality_en.pdf</vt:lpwstr>
      </vt:variant>
      <vt:variant>
        <vt:lpwstr/>
      </vt:variant>
      <vt:variant>
        <vt:i4>2031705</vt:i4>
      </vt:variant>
      <vt:variant>
        <vt:i4>12</vt:i4>
      </vt:variant>
      <vt:variant>
        <vt:i4>0</vt:i4>
      </vt:variant>
      <vt:variant>
        <vt:i4>5</vt:i4>
      </vt:variant>
      <vt:variant>
        <vt:lpwstr>https://eur-lex.europa.eu/legal-content/EN/TXT/PDF/?uri=CELEX:52020DC0698</vt:lpwstr>
      </vt:variant>
      <vt:variant>
        <vt:lpwstr/>
      </vt:variant>
      <vt:variant>
        <vt:i4>2359386</vt:i4>
      </vt:variant>
      <vt:variant>
        <vt:i4>9</vt:i4>
      </vt:variant>
      <vt:variant>
        <vt:i4>0</vt:i4>
      </vt:variant>
      <vt:variant>
        <vt:i4>5</vt:i4>
      </vt:variant>
      <vt:variant>
        <vt:lpwstr>https://hearings.elections.europa.eu/documents/lahbib/lahbib_verbatimreporthearing-original.pdf</vt:lpwstr>
      </vt:variant>
      <vt:variant>
        <vt:lpwstr/>
      </vt:variant>
      <vt:variant>
        <vt:i4>7077921</vt:i4>
      </vt:variant>
      <vt:variant>
        <vt:i4>6</vt:i4>
      </vt:variant>
      <vt:variant>
        <vt:i4>0</vt:i4>
      </vt:variant>
      <vt:variant>
        <vt:i4>5</vt:i4>
      </vt:variant>
      <vt:variant>
        <vt:lpwstr>https://www.europarl.europa.eu/committees/en/public-hearing-an-eu-approach-on-banning/product-details/20230908CHE12141</vt:lpwstr>
      </vt:variant>
      <vt:variant>
        <vt:lpwstr>:~:text=Go%20back,)%20(DOCUMENT%20%2D%20246%20KB)</vt:lpwstr>
      </vt:variant>
      <vt:variant>
        <vt:i4>7798849</vt:i4>
      </vt:variant>
      <vt:variant>
        <vt:i4>3</vt:i4>
      </vt:variant>
      <vt:variant>
        <vt:i4>0</vt:i4>
      </vt:variant>
      <vt:variant>
        <vt:i4>5</vt:i4>
      </vt:variant>
      <vt:variant>
        <vt:lpwstr>https://www.europarl.europa.eu/meetdocs/2014_2019/plmrep/COMMITTEES/LIBE/DV/2023/07-17/Study_PolDepC_ConversionPracticesonLGBTPeople_752.385_EN.pdf</vt:lpwstr>
      </vt:variant>
      <vt:variant>
        <vt:lpwstr/>
      </vt:variant>
      <vt:variant>
        <vt:i4>6029320</vt:i4>
      </vt:variant>
      <vt:variant>
        <vt:i4>0</vt:i4>
      </vt:variant>
      <vt:variant>
        <vt:i4>0</vt:i4>
      </vt:variant>
      <vt:variant>
        <vt:i4>5</vt:i4>
      </vt:variant>
      <vt:variant>
        <vt:lpwstr>https://www.ohchr.org/sites/default/files/Documents/Issues/SexualOrientation/ConversionTherapyReport.pdf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2025-10-03T12:11:00Z</dcterms:created>
  <dcterms:modified xsi:type="dcterms:W3CDTF">2025-10-16T12:47:00Z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9.1, Build 20240808</vt:lpwstr>
  </property>
  <property fmtid="{D5CDD505-2E9C-101B-9397-08002B2CF9AE}" pid="4" name="MSIP_Label_6bd9ddd1-4d20-43f6-abfa-fc3c07406f94_Enabled">
    <vt:lpwstr>true</vt:lpwstr>
  </property>
  <property fmtid="{D5CDD505-2E9C-101B-9397-08002B2CF9AE}" pid="5" name="MSIP_Label_6bd9ddd1-4d20-43f6-abfa-fc3c07406f94_SetDate">
    <vt:lpwstr>2025-10-03T12:11:41Z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231da642-7334-4c1d-b645-cd80d5baa807</vt:lpwstr>
  </property>
  <property fmtid="{D5CDD505-2E9C-101B-9397-08002B2CF9AE}" pid="10" name="MSIP_Label_6bd9ddd1-4d20-43f6-abfa-fc3c07406f94_ContentBits">
    <vt:lpwstr>0</vt:lpwstr>
  </property>
  <property fmtid="{D5CDD505-2E9C-101B-9397-08002B2CF9AE}" pid="11" name="MSIP_Label_6bd9ddd1-4d20-43f6-abfa-fc3c07406f94_Tag">
    <vt:lpwstr>10, 3, 0, 1</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CP-014</vt:lpwstr>
  </property>
</Properties>
</file>