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5737B" w14:textId="55E78072" w:rsidR="00DA69B2" w:rsidRDefault="00E701CF" w:rsidP="00E701CF">
      <w:pPr>
        <w:pStyle w:val="Pagedecouverture"/>
        <w:rPr>
          <w:noProof/>
        </w:rPr>
      </w:pPr>
      <w:bookmarkStart w:id="0" w:name="LW_BM_COVERPAGE"/>
      <w:r>
        <w:rPr>
          <w:noProof/>
        </w:rPr>
        <w:pict w14:anchorId="6FA55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940D3A4-27D5-4736-8429-6D3371B55076" style="width:455.25pt;height:324pt">
            <v:imagedata r:id="rId8" o:title=""/>
          </v:shape>
        </w:pict>
      </w:r>
    </w:p>
    <w:bookmarkEnd w:id="0"/>
    <w:p w14:paraId="6429B7BE" w14:textId="1DE8F080" w:rsidR="003A7D35" w:rsidRPr="003A7D35" w:rsidRDefault="003A7D35" w:rsidP="003A7D35">
      <w:pPr>
        <w:pStyle w:val="Pagedecouverture"/>
        <w:rPr>
          <w:noProof/>
        </w:rPr>
        <w:sectPr w:rsidR="003A7D35" w:rsidRPr="003A7D35" w:rsidSect="00E701C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65C322C" w14:textId="77777777" w:rsidR="00302A36" w:rsidRDefault="00302A36" w:rsidP="00302A36">
      <w:pPr>
        <w:jc w:val="center"/>
        <w:rPr>
          <w:b/>
          <w:bCs/>
          <w:noProof/>
          <w:sz w:val="28"/>
          <w:szCs w:val="28"/>
        </w:rPr>
      </w:pPr>
      <w:bookmarkStart w:id="1" w:name="_GoBack"/>
      <w:bookmarkEnd w:id="1"/>
    </w:p>
    <w:p w14:paraId="4604D474" w14:textId="49C80B58" w:rsidR="00815D5A" w:rsidRPr="00B5601E" w:rsidRDefault="00F16137" w:rsidP="004076FD">
      <w:pPr>
        <w:pStyle w:val="Default"/>
        <w:numPr>
          <w:ilvl w:val="0"/>
          <w:numId w:val="37"/>
        </w:numPr>
        <w:spacing w:after="240"/>
        <w:jc w:val="both"/>
        <w:rPr>
          <w:b/>
          <w:bCs/>
          <w:noProof/>
          <w:color w:val="auto"/>
        </w:rPr>
      </w:pPr>
      <w:r>
        <w:rPr>
          <w:b/>
          <w:noProof/>
          <w:color w:val="auto"/>
        </w:rPr>
        <w:t xml:space="preserve">ВЪВЕДЕНИЕ </w:t>
      </w:r>
    </w:p>
    <w:p w14:paraId="3EF42708" w14:textId="418D2E74" w:rsidR="00AB1311" w:rsidRDefault="00DF0937" w:rsidP="009F1D45">
      <w:pPr>
        <w:pStyle w:val="Default"/>
        <w:spacing w:after="240"/>
        <w:jc w:val="both"/>
        <w:rPr>
          <w:noProof/>
          <w:color w:val="auto"/>
        </w:rPr>
      </w:pPr>
      <w:r>
        <w:rPr>
          <w:noProof/>
          <w:color w:val="000000" w:themeColor="text1"/>
        </w:rPr>
        <w:t xml:space="preserve">Автомобилната промишленост е основен двигател на европейския просперитет, иновации и растеж. Както се отбелязва в Плана за действие в областта на промишлеността за европейския автомобилен сектор, секторът е в разгара на преход и ще претърпи структурни промени с безпрецедентна скорост и мащаб през следващите години и десетилетия, под въздействието на набиращото скорост преминаване към мобилност с нулеви емисии и нарастващата интеграция на цифровите технологии. В бъдеще превозните средства ще бъдат все по-екологосъобразни, свързани и автоматизирани. </w:t>
      </w:r>
      <w:r>
        <w:rPr>
          <w:noProof/>
          <w:color w:val="auto"/>
        </w:rPr>
        <w:t xml:space="preserve">Корпоративните автомобилни паркове са главна част от този преход. </w:t>
      </w:r>
    </w:p>
    <w:p w14:paraId="59DCFDE6" w14:textId="13B8D844" w:rsidR="009F1D45" w:rsidRPr="00B5601E" w:rsidRDefault="004D75F9" w:rsidP="009F1D45">
      <w:pPr>
        <w:pStyle w:val="Default"/>
        <w:spacing w:after="240"/>
        <w:jc w:val="both"/>
        <w:rPr>
          <w:noProof/>
          <w:color w:val="auto"/>
        </w:rPr>
      </w:pPr>
      <w:r>
        <w:rPr>
          <w:noProof/>
          <w:color w:val="auto"/>
        </w:rPr>
        <w:t xml:space="preserve">В момента по европейските пътища има почти 290 милиона превозни средства. Едва 6 милиона от тях са превозни средства с нулеви емисии. Регистрациите на корпоративни превозни средства, т.е. превозни средства, закупени от юридически, а не от физически лица, съставляват около 60 % от регистрациите на автомобили в ЕС. При микробусите, градските и туристическите автобуси и камионите на практика целият пазар е корпоративен, тъй като почти няма такива превозни средства с регистрации на името на частни лица. Следователно мерките в корпоративния сегмент могат да имат положително въздействие върху цялостния пазар. </w:t>
      </w:r>
    </w:p>
    <w:p w14:paraId="37295A99" w14:textId="33AAA3A0" w:rsidR="00CB78CE" w:rsidRPr="00B5601E" w:rsidRDefault="00CB78CE" w:rsidP="49DE8097">
      <w:pPr>
        <w:pStyle w:val="Default"/>
        <w:spacing w:after="240"/>
        <w:jc w:val="both"/>
        <w:rPr>
          <w:noProof/>
          <w:color w:val="auto"/>
        </w:rPr>
      </w:pPr>
      <w:r>
        <w:rPr>
          <w:noProof/>
          <w:color w:val="auto"/>
        </w:rPr>
        <w:t>Регламентите за определяне на стандарти за емисиите на CO</w:t>
      </w:r>
      <w:r>
        <w:rPr>
          <w:noProof/>
          <w:color w:val="auto"/>
          <w:vertAlign w:val="subscript"/>
        </w:rPr>
        <w:t>2</w:t>
      </w:r>
      <w:r>
        <w:rPr>
          <w:noProof/>
          <w:color w:val="auto"/>
        </w:rPr>
        <w:t xml:space="preserve"> при леките автомобили и микробусите, както и при камионите представляват ефективна мярка от страната на предлагането, като с тях постепенно се определят по-високи цели за намаляване на емисиите за производителите. </w:t>
      </w:r>
    </w:p>
    <w:p w14:paraId="32771D75" w14:textId="00EC7F3E" w:rsidR="00CB78CE" w:rsidRDefault="5A3CC38F" w:rsidP="00422F28">
      <w:pPr>
        <w:pStyle w:val="Default"/>
        <w:spacing w:after="240"/>
        <w:jc w:val="both"/>
        <w:rPr>
          <w:noProof/>
          <w:color w:val="auto"/>
        </w:rPr>
      </w:pPr>
      <w:r>
        <w:rPr>
          <w:noProof/>
          <w:color w:val="auto"/>
        </w:rPr>
        <w:t>От 2035 г. нататък за нови леки автомобили и микробуси ще бъде давано разрешение за регистрация в ЕС само ако са с нулеви емисии</w:t>
      </w:r>
      <w:r w:rsidR="009566AA">
        <w:rPr>
          <w:rStyle w:val="FootnoteReference"/>
          <w:noProof/>
          <w:color w:val="auto"/>
          <w:lang w:val="en-IE"/>
        </w:rPr>
        <w:footnoteReference w:id="2"/>
      </w:r>
      <w:r>
        <w:rPr>
          <w:noProof/>
          <w:color w:val="auto"/>
        </w:rPr>
        <w:t>; при тежкотоварните превозни средства все по-строгите цели стигат до намаляване на емисиите на CO</w:t>
      </w:r>
      <w:r>
        <w:rPr>
          <w:noProof/>
          <w:color w:val="auto"/>
          <w:vertAlign w:val="subscript"/>
        </w:rPr>
        <w:t>2</w:t>
      </w:r>
      <w:r>
        <w:rPr>
          <w:noProof/>
          <w:color w:val="auto"/>
        </w:rPr>
        <w:t xml:space="preserve"> с 90 % от 2040 г. нататък, а всички нови градски автобуси ще трябва да бъдат с нулеви емисии от 2035 г. нататък</w:t>
      </w:r>
      <w:r w:rsidR="00AF3F42">
        <w:rPr>
          <w:rStyle w:val="FootnoteReference"/>
          <w:noProof/>
          <w:color w:val="auto"/>
          <w:lang w:val="en-IE"/>
        </w:rPr>
        <w:footnoteReference w:id="3"/>
      </w:r>
      <w:r>
        <w:rPr>
          <w:noProof/>
          <w:color w:val="auto"/>
        </w:rPr>
        <w:t xml:space="preserve">. Сега тези мерки следва да бъдат допълнени с подходящи стимули по отношение на търсенето на превозни средства с нулеви емисии, като ключова роля играе подкрепата за корпоративните превозни средства. </w:t>
      </w:r>
    </w:p>
    <w:p w14:paraId="457F4741" w14:textId="760B0B3F" w:rsidR="003A08B6" w:rsidRDefault="002A3321" w:rsidP="00980D57">
      <w:pPr>
        <w:pStyle w:val="Default"/>
        <w:spacing w:after="240"/>
        <w:jc w:val="both"/>
        <w:rPr>
          <w:noProof/>
          <w:color w:val="auto"/>
        </w:rPr>
      </w:pPr>
      <w:r>
        <w:rPr>
          <w:noProof/>
          <w:color w:val="auto"/>
        </w:rPr>
        <w:t>Ускореното навлизане на превозни средства с нулеви емисии в корпоративните автомобилни паркове може да бъде от полза за европейската автомобилна промишленост и да спомогне за повишаване на нейната конкурентоспособност и устойчивост в този ключов момент. Освен това то може да помогне за допълнително намаляване на емисиите от транспорта поради по-големия пробег на корпоративните превозни средства. Транспортът представлява една четвърт от общите емисии на парникови газове в ЕС и е една от основните причини за замърсяването на въздуха. В градските райони, където са въведени зони с все по-строги ограничения за емисиите, превозните средства с нулеви емисии доведоха до ясно изразено подобряване на качеството на въздуха. Следователно ускореното навлизане на превозни средства с нулеви емисии е от полза за намаляването на замърсяването и за здравето на нашите граждани.</w:t>
      </w:r>
    </w:p>
    <w:p w14:paraId="477E7293" w14:textId="59F1F6AA" w:rsidR="00137A75" w:rsidRPr="00B5601E" w:rsidRDefault="002A3321" w:rsidP="00980D57">
      <w:pPr>
        <w:pStyle w:val="Default"/>
        <w:spacing w:after="240"/>
        <w:jc w:val="both"/>
        <w:rPr>
          <w:noProof/>
          <w:color w:val="auto"/>
        </w:rPr>
      </w:pPr>
      <w:r>
        <w:rPr>
          <w:noProof/>
          <w:color w:val="auto"/>
        </w:rPr>
        <w:t xml:space="preserve">Производителите на превозни средства в ЕС обикновено имат по-високи пазарни дялове при корпоративните превозни средства, отколкото при частните. Засиленото търсене на превозни средства с нулеви емисии от страна на корпоративните автомобилни паркове може да спомогне за възвръщане на растежа и конкурентоспособността на европейския автомобилен сектор и за намаляване на общите разходи за експлоатация през целия жизнен цикъл на превозното средство за операторите на автомобилни паркове, както и да е от полза за потребителите чрез по-добрите пазарни предложения при употребяваните автомобили, което ще доведе до намаляване на разходите за превозни средства с нулеви емисии. </w:t>
      </w:r>
    </w:p>
    <w:p w14:paraId="4BF11DF1" w14:textId="3B502FF8" w:rsidR="006A5118" w:rsidRDefault="00CC1AAE" w:rsidP="00980D57">
      <w:pPr>
        <w:pStyle w:val="Default"/>
        <w:spacing w:after="240"/>
        <w:jc w:val="both"/>
        <w:rPr>
          <w:noProof/>
          <w:color w:val="auto"/>
        </w:rPr>
      </w:pPr>
      <w:r>
        <w:rPr>
          <w:noProof/>
          <w:color w:val="auto"/>
        </w:rPr>
        <w:t>Следователно тези действия могат да допринесат значително за изпълнението на плана за действие в областта на промишлеността за европейския автомобилен сектор и едновременно с това за постигане на целите на Пакта за чиста промишленост, Европейския зелен пакт и компаса за конкурентоспособността.</w:t>
      </w:r>
    </w:p>
    <w:p w14:paraId="594CD6D3" w14:textId="20BB6C7F" w:rsidR="006F6F0B" w:rsidRPr="006F6F0B" w:rsidRDefault="006F6F0B" w:rsidP="006F6F0B">
      <w:pPr>
        <w:pStyle w:val="Default"/>
        <w:spacing w:after="240"/>
        <w:jc w:val="both"/>
        <w:rPr>
          <w:noProof/>
        </w:rPr>
      </w:pPr>
      <w:r>
        <w:rPr>
          <w:noProof/>
        </w:rPr>
        <w:t xml:space="preserve">За всяка мярка ще трябва да се има предвид икономически ефективното и бързо намаляване на емисиите, както и териториалните измерения и предизвикателствата в по-слабо развитите региони, както и в междуградските, селските или отдалечените райони, включително изоставането в инфраструктурата (за зареждане). </w:t>
      </w:r>
    </w:p>
    <w:p w14:paraId="1CD07073" w14:textId="4B49EA28" w:rsidR="001611F5" w:rsidRPr="00B5601E" w:rsidRDefault="001611F5" w:rsidP="00980D57">
      <w:pPr>
        <w:pStyle w:val="Default"/>
        <w:spacing w:after="240"/>
        <w:jc w:val="both"/>
        <w:rPr>
          <w:noProof/>
          <w:color w:val="auto"/>
        </w:rPr>
      </w:pPr>
      <w:r>
        <w:rPr>
          <w:noProof/>
          <w:color w:val="auto"/>
        </w:rPr>
        <w:t xml:space="preserve"> </w:t>
      </w:r>
    </w:p>
    <w:p w14:paraId="25EEE117" w14:textId="11F7A7C6" w:rsidR="49DE8097" w:rsidRDefault="00C93189" w:rsidP="49DE8097">
      <w:pPr>
        <w:pStyle w:val="Default"/>
        <w:spacing w:after="240"/>
        <w:jc w:val="both"/>
        <w:rPr>
          <w:noProof/>
          <w:color w:val="auto"/>
        </w:rPr>
      </w:pPr>
      <w:r>
        <w:rPr>
          <w:noProof/>
          <w:color w:val="auto"/>
        </w:rPr>
        <w:t>В настоящото съобщение е представен преглед на пазара на дружествата и превозните средства, които се считат за корпоративни автомобилни паркове, както и на присъщите им предизвикателства, възможности и добри практики, които могат да спомогнат за ускор</w:t>
      </w:r>
      <w:r w:rsidR="00163372">
        <w:rPr>
          <w:noProof/>
          <w:color w:val="auto"/>
        </w:rPr>
        <w:t xml:space="preserve">еното преминаване към превозни средства с нулеви емисии от страна на </w:t>
      </w:r>
      <w:r>
        <w:rPr>
          <w:noProof/>
          <w:color w:val="auto"/>
        </w:rPr>
        <w:t>корпоративните автомобилни паркове с оглед на постигането на целта за нулеви емисии за 2035 г. В съобщението се посочват и действия, които държавите членки могат да предприемат още днес, за да се ускори навлизането на превозни средства с нулеви емисии преди законодателното предложение, по което работи Комисията и което следва да бъде прието до края на годината. Освен това съобщението може да послужи като пример за план и най-добри практики за съседните на ЕС държави и държавите партньори.</w:t>
      </w:r>
    </w:p>
    <w:p w14:paraId="4D9A4C19" w14:textId="0C87A875" w:rsidR="007C02BE" w:rsidRPr="00B5601E" w:rsidRDefault="00F16137" w:rsidP="000D49DE">
      <w:pPr>
        <w:pStyle w:val="Default"/>
        <w:numPr>
          <w:ilvl w:val="0"/>
          <w:numId w:val="37"/>
        </w:numPr>
        <w:spacing w:after="240"/>
        <w:jc w:val="both"/>
        <w:rPr>
          <w:b/>
          <w:bCs/>
          <w:noProof/>
          <w:color w:val="auto"/>
        </w:rPr>
      </w:pPr>
      <w:r>
        <w:rPr>
          <w:b/>
          <w:noProof/>
          <w:color w:val="auto"/>
        </w:rPr>
        <w:t>КАКВО ПРЕДСТАВЛЯВАТ КОРПОРАТИВНИТЕ АВТОМОБИЛНИ ПАРКОВЕ?</w:t>
      </w:r>
    </w:p>
    <w:p w14:paraId="511737D1" w14:textId="7FA32533" w:rsidR="00915C92" w:rsidRPr="00B5601E" w:rsidRDefault="00915C92" w:rsidP="00915C92">
      <w:pPr>
        <w:pStyle w:val="Default"/>
        <w:spacing w:after="240"/>
        <w:jc w:val="both"/>
        <w:rPr>
          <w:noProof/>
          <w:color w:val="auto"/>
        </w:rPr>
      </w:pPr>
      <w:r>
        <w:rPr>
          <w:noProof/>
          <w:color w:val="auto"/>
        </w:rPr>
        <w:t>Пазарите на корпоративните автомобилни паркове, техните участници и техните бизнес модели се различават значително. В зависимост от пазарния сегмент участниците на пазара могат да бъдат много големи, управляващи хиляди превозни средства, или много малки, работещи само с няколко превозни средства. Много от участниците са МСП. Същевременно няколко големи дружества контролират по-голямата част от лизинговите операции, на които се пада по-голямата част от регистрациите на корпоративни превозни средства.</w:t>
      </w:r>
    </w:p>
    <w:p w14:paraId="6C4BDEE7" w14:textId="4DC04D5B" w:rsidR="00C218C7" w:rsidRPr="00B5601E" w:rsidRDefault="00C0329B" w:rsidP="00B5601E">
      <w:pPr>
        <w:pStyle w:val="Default"/>
        <w:spacing w:after="240"/>
        <w:jc w:val="both"/>
        <w:rPr>
          <w:rStyle w:val="eop"/>
          <w:noProof/>
        </w:rPr>
      </w:pPr>
      <w:r>
        <w:rPr>
          <w:rStyle w:val="eop"/>
          <w:noProof/>
        </w:rPr>
        <w:t xml:space="preserve">Понастоящем в законодателството на ЕС няма определение за това какво означава корпоративен автомобилен парк. </w:t>
      </w:r>
      <w:r>
        <w:rPr>
          <w:rStyle w:val="normaltextrun"/>
          <w:noProof/>
        </w:rPr>
        <w:t>За целите на настоящото съобщение всички превозни средства, регистрирани от юридическо лице (за разлика от физическо лице), се считат за корпоративни превозни средства</w:t>
      </w:r>
      <w:r w:rsidR="00F176A2">
        <w:rPr>
          <w:rStyle w:val="FootnoteReference"/>
          <w:noProof/>
          <w:lang w:val="en-IE"/>
        </w:rPr>
        <w:footnoteReference w:id="4"/>
      </w:r>
      <w:r>
        <w:rPr>
          <w:rStyle w:val="normaltextrun"/>
          <w:noProof/>
        </w:rPr>
        <w:t>.</w:t>
      </w:r>
      <w:r>
        <w:rPr>
          <w:rStyle w:val="eop"/>
          <w:noProof/>
        </w:rPr>
        <w:t xml:space="preserve"> По този начин корпоративните автомобилни паркове могат да бъдат разделени на пет широки категории, обхващащи леките автомобили, микробусите и тежкотоварните превозни средства (камионите, градските автобуси и туристическите автобуси):  </w:t>
      </w:r>
    </w:p>
    <w:p w14:paraId="6EFBF3D3" w14:textId="62B717AB" w:rsidR="000B0FCD" w:rsidRPr="00B5601E" w:rsidRDefault="000B0FCD" w:rsidP="000B0FCD">
      <w:pPr>
        <w:pStyle w:val="paragraph"/>
        <w:numPr>
          <w:ilvl w:val="0"/>
          <w:numId w:val="40"/>
        </w:numPr>
        <w:spacing w:before="0" w:beforeAutospacing="0" w:after="240" w:afterAutospacing="0"/>
        <w:jc w:val="both"/>
        <w:textAlignment w:val="baseline"/>
        <w:rPr>
          <w:rStyle w:val="normaltextrun"/>
          <w:b/>
          <w:bCs/>
          <w:noProof/>
        </w:rPr>
      </w:pPr>
      <w:r>
        <w:rPr>
          <w:rStyle w:val="normaltextrun"/>
          <w:b/>
          <w:noProof/>
        </w:rPr>
        <w:t>Служебни леки автомобили</w:t>
      </w:r>
      <w:r>
        <w:rPr>
          <w:rStyle w:val="normaltextrun"/>
          <w:noProof/>
        </w:rPr>
        <w:t> — леки автомобили, предоставени от работодател на служител като непарично възнаграждение</w:t>
      </w:r>
      <w:r>
        <w:rPr>
          <w:noProof/>
        </w:rPr>
        <w:t>; техният дял в общия автомобилен парк варира значително в отделните държави членки поради разликите в тяхното данъчно третиране и общите правила и условия за наемане на работа. В много случаи автомобилите се набавят на лизинг.</w:t>
      </w:r>
    </w:p>
    <w:p w14:paraId="4BEE2BCD" w14:textId="180FE3FE" w:rsidR="00394568" w:rsidRPr="00B5601E" w:rsidRDefault="00394568" w:rsidP="00C218C7">
      <w:pPr>
        <w:pStyle w:val="paragraph"/>
        <w:numPr>
          <w:ilvl w:val="0"/>
          <w:numId w:val="40"/>
        </w:numPr>
        <w:spacing w:before="0" w:beforeAutospacing="0" w:after="240" w:afterAutospacing="0"/>
        <w:jc w:val="both"/>
        <w:textAlignment w:val="baseline"/>
        <w:rPr>
          <w:rStyle w:val="normaltextrun"/>
          <w:b/>
          <w:bCs/>
          <w:noProof/>
        </w:rPr>
      </w:pPr>
      <w:r>
        <w:rPr>
          <w:rStyle w:val="normaltextrun"/>
          <w:b/>
          <w:noProof/>
        </w:rPr>
        <w:t>Лизинг</w:t>
      </w:r>
      <w:r>
        <w:rPr>
          <w:rStyle w:val="normaltextrun"/>
          <w:noProof/>
        </w:rPr>
        <w:t> — дружества, които отдават на лизинг автомобили на други дружества (големи, но също и малки и средни предприятия) и на частни лица, както и микробуси на</w:t>
      </w:r>
      <w:r>
        <w:rPr>
          <w:rStyle w:val="normaltextrun"/>
          <w:b/>
          <w:noProof/>
        </w:rPr>
        <w:t xml:space="preserve"> </w:t>
      </w:r>
      <w:r>
        <w:rPr>
          <w:rStyle w:val="normaltextrun"/>
          <w:noProof/>
        </w:rPr>
        <w:t xml:space="preserve">други дружества. Тази категория се припокрива с някои от останалите категории, тъй като например служебните автомобили и превозните средства, използвани в професионалните автомобилни паркове, често се набавят на лизинг.  </w:t>
      </w:r>
    </w:p>
    <w:p w14:paraId="0B91098E" w14:textId="34AA4C22" w:rsidR="000B70B3" w:rsidRPr="00B5601E" w:rsidRDefault="00394568" w:rsidP="000B70B3">
      <w:pPr>
        <w:pStyle w:val="paragraph"/>
        <w:numPr>
          <w:ilvl w:val="0"/>
          <w:numId w:val="41"/>
        </w:numPr>
        <w:spacing w:before="0" w:beforeAutospacing="0" w:after="240" w:afterAutospacing="0"/>
        <w:jc w:val="both"/>
        <w:textAlignment w:val="baseline"/>
        <w:rPr>
          <w:rStyle w:val="normaltextrun"/>
          <w:noProof/>
        </w:rPr>
      </w:pPr>
      <w:r>
        <w:rPr>
          <w:rStyle w:val="normaltextrun"/>
          <w:b/>
          <w:noProof/>
        </w:rPr>
        <w:t>Отдаване под наем</w:t>
      </w:r>
      <w:r>
        <w:rPr>
          <w:rStyle w:val="normaltextrun"/>
          <w:noProof/>
        </w:rPr>
        <w:t> — дружества, отдаващи под наем автомобили на други дружества или частни лица. Докато леките автомобили се отдават под наем предимно за туристически или бизнес цели, то микробусите под наем обикновено представляват вариант за логистика и мобилност за дружествата.</w:t>
      </w:r>
    </w:p>
    <w:p w14:paraId="4B030A38" w14:textId="0646EDED" w:rsidR="00394568" w:rsidRPr="00B5601E" w:rsidRDefault="00394568" w:rsidP="00C218C7">
      <w:pPr>
        <w:pStyle w:val="paragraph"/>
        <w:numPr>
          <w:ilvl w:val="0"/>
          <w:numId w:val="40"/>
        </w:numPr>
        <w:spacing w:before="0" w:beforeAutospacing="0" w:after="240" w:afterAutospacing="0"/>
        <w:jc w:val="both"/>
        <w:textAlignment w:val="baseline"/>
        <w:rPr>
          <w:rStyle w:val="normaltextrun"/>
          <w:b/>
          <w:bCs/>
          <w:noProof/>
        </w:rPr>
      </w:pPr>
      <w:r>
        <w:rPr>
          <w:rStyle w:val="normaltextrun"/>
          <w:b/>
          <w:noProof/>
        </w:rPr>
        <w:t>Професионални автомобилни паркове</w:t>
      </w:r>
      <w:r>
        <w:rPr>
          <w:rStyle w:val="normaltextrun"/>
          <w:noProof/>
        </w:rPr>
        <w:t> — превозни средства, регистрирани от дружества и използвани за собствена търговска дейност, включващи различни видове превозни средства, субекти и бизнес казуси, като:</w:t>
      </w:r>
    </w:p>
    <w:p w14:paraId="3B700A58" w14:textId="549826C1" w:rsidR="00276E6D" w:rsidRPr="00B5601E" w:rsidRDefault="00276E6D" w:rsidP="00276E6D">
      <w:pPr>
        <w:pStyle w:val="paragraph"/>
        <w:numPr>
          <w:ilvl w:val="1"/>
          <w:numId w:val="40"/>
        </w:numPr>
        <w:spacing w:before="0" w:beforeAutospacing="0" w:after="240" w:afterAutospacing="0"/>
        <w:jc w:val="both"/>
        <w:textAlignment w:val="baseline"/>
        <w:rPr>
          <w:rStyle w:val="normaltextrun"/>
          <w:b/>
          <w:bCs/>
          <w:noProof/>
        </w:rPr>
      </w:pPr>
      <w:r>
        <w:rPr>
          <w:rStyle w:val="normaltextrun"/>
          <w:noProof/>
          <w:u w:val="single"/>
        </w:rPr>
        <w:t>aвтомобилни паркове за услуги за градска мобилност</w:t>
      </w:r>
      <w:r>
        <w:rPr>
          <w:rStyle w:val="normaltextrun"/>
          <w:b/>
          <w:noProof/>
        </w:rPr>
        <w:t> </w:t>
      </w:r>
      <w:r>
        <w:rPr>
          <w:rStyle w:val="normaltextrun"/>
          <w:noProof/>
        </w:rPr>
        <w:t xml:space="preserve">— таксита, наемане на автомобил с водач, съвместно ползване на автомобил, с изключение на редовния обществен транспорт; </w:t>
      </w:r>
    </w:p>
    <w:p w14:paraId="0851BE03" w14:textId="47D4B5A8" w:rsidR="00B75EAD" w:rsidRPr="00B5601E" w:rsidRDefault="00B75EAD" w:rsidP="00276E6D">
      <w:pPr>
        <w:pStyle w:val="paragraph"/>
        <w:numPr>
          <w:ilvl w:val="1"/>
          <w:numId w:val="40"/>
        </w:numPr>
        <w:spacing w:before="0" w:beforeAutospacing="0" w:after="240" w:afterAutospacing="0"/>
        <w:jc w:val="both"/>
        <w:textAlignment w:val="baseline"/>
        <w:rPr>
          <w:rStyle w:val="normaltextrun"/>
          <w:b/>
          <w:bCs/>
          <w:noProof/>
        </w:rPr>
      </w:pPr>
      <w:r>
        <w:rPr>
          <w:rStyle w:val="normaltextrun"/>
          <w:noProof/>
          <w:u w:val="single"/>
        </w:rPr>
        <w:t>големи автомобилни паркове от микробуси за логистика</w:t>
      </w:r>
      <w:r>
        <w:rPr>
          <w:rStyle w:val="normaltextrun"/>
          <w:b/>
          <w:noProof/>
        </w:rPr>
        <w:t> </w:t>
      </w:r>
      <w:r>
        <w:rPr>
          <w:rStyle w:val="normaltextrun"/>
          <w:noProof/>
        </w:rPr>
        <w:t>— автомобилни паркове за „последната миля“ и за градски доставки, управлявани от пощенски служби, дружества за електронна търговия, големи търговци на дребно и др.;</w:t>
      </w:r>
    </w:p>
    <w:p w14:paraId="5CC525C0" w14:textId="534B7814" w:rsidR="00006773" w:rsidRPr="00B5601E" w:rsidRDefault="00FF4FCB" w:rsidP="00006773">
      <w:pPr>
        <w:pStyle w:val="paragraph"/>
        <w:numPr>
          <w:ilvl w:val="1"/>
          <w:numId w:val="40"/>
        </w:numPr>
        <w:spacing w:before="0" w:beforeAutospacing="0" w:after="240" w:afterAutospacing="0"/>
        <w:jc w:val="both"/>
        <w:textAlignment w:val="baseline"/>
        <w:rPr>
          <w:rStyle w:val="normaltextrun"/>
          <w:b/>
          <w:bCs/>
          <w:noProof/>
        </w:rPr>
      </w:pPr>
      <w:r>
        <w:rPr>
          <w:rStyle w:val="normaltextrun"/>
          <w:noProof/>
          <w:u w:val="single"/>
        </w:rPr>
        <w:t>сервизни автомобили и микробуси</w:t>
      </w:r>
      <w:r>
        <w:rPr>
          <w:rStyle w:val="normaltextrun"/>
          <w:b/>
          <w:noProof/>
        </w:rPr>
        <w:t> </w:t>
      </w:r>
      <w:r>
        <w:rPr>
          <w:rStyle w:val="normaltextrun"/>
          <w:noProof/>
        </w:rPr>
        <w:t>— превозни средства, използвани за превоз на персонал и оборудване, както и за предоставяне на услуги, управлявани например от инженерни или телекомуникационни дружества за техните ремонтни дейности, или отделни превозни средства, регистрирани от доставчици на услуги;</w:t>
      </w:r>
    </w:p>
    <w:p w14:paraId="5EB7969A" w14:textId="724ECE8B" w:rsidR="00006773" w:rsidRPr="00B5601E" w:rsidRDefault="00006773" w:rsidP="00006773">
      <w:pPr>
        <w:pStyle w:val="paragraph"/>
        <w:numPr>
          <w:ilvl w:val="1"/>
          <w:numId w:val="40"/>
        </w:numPr>
        <w:spacing w:before="0" w:beforeAutospacing="0" w:after="240" w:afterAutospacing="0"/>
        <w:jc w:val="both"/>
        <w:textAlignment w:val="baseline"/>
        <w:rPr>
          <w:b/>
          <w:bCs/>
          <w:noProof/>
        </w:rPr>
      </w:pPr>
      <w:r>
        <w:rPr>
          <w:rStyle w:val="normaltextrun"/>
          <w:noProof/>
          <w:u w:val="single"/>
        </w:rPr>
        <w:t>градски и туристически автобуси</w:t>
      </w:r>
      <w:r>
        <w:rPr>
          <w:rStyle w:val="normaltextrun"/>
          <w:b/>
          <w:noProof/>
        </w:rPr>
        <w:t> </w:t>
      </w:r>
      <w:r>
        <w:rPr>
          <w:rStyle w:val="normaltextrun"/>
          <w:noProof/>
        </w:rPr>
        <w:t>— почти изключително регистрирани от юридически лица, в това число градски автобуси, използвани предимно от публични органи и субекти, за които се прилагат правилата за възлагане на обществени поръчки и задължителните цели за превозни средства с нулеви емисии съгласно Директивата за чистите превозни средства, както и туристически автобуси, управлявани от публични и от търговски субекти, тъй като те предлагат крайградски и междуградски редовен обществен транспорт, междуградски превоз на пътници на дълги разстояния и туристически услуги;  </w:t>
      </w:r>
      <w:r>
        <w:rPr>
          <w:rStyle w:val="eop"/>
          <w:noProof/>
        </w:rPr>
        <w:t> </w:t>
      </w:r>
    </w:p>
    <w:p w14:paraId="54AFF67C" w14:textId="02351A52" w:rsidR="00006773" w:rsidRPr="00B5601E" w:rsidRDefault="00006773" w:rsidP="008D08DF">
      <w:pPr>
        <w:pStyle w:val="paragraph"/>
        <w:numPr>
          <w:ilvl w:val="1"/>
          <w:numId w:val="40"/>
        </w:numPr>
        <w:spacing w:before="0" w:beforeAutospacing="0" w:after="240" w:afterAutospacing="0"/>
        <w:jc w:val="both"/>
        <w:textAlignment w:val="baseline"/>
        <w:rPr>
          <w:rStyle w:val="normaltextrun"/>
          <w:b/>
          <w:bCs/>
          <w:noProof/>
        </w:rPr>
      </w:pPr>
      <w:r>
        <w:rPr>
          <w:rStyle w:val="normaltextrun"/>
          <w:noProof/>
          <w:u w:val="single"/>
        </w:rPr>
        <w:t>камиони</w:t>
      </w:r>
      <w:r>
        <w:rPr>
          <w:rStyle w:val="normaltextrun"/>
          <w:b/>
          <w:noProof/>
        </w:rPr>
        <w:t> </w:t>
      </w:r>
      <w:r>
        <w:rPr>
          <w:rStyle w:val="normaltextrun"/>
          <w:noProof/>
        </w:rPr>
        <w:t>— почти изключително регистрирани от юридически лица, като това включва както големи логистични дружества, купувачи на товари и други, управляващи автомобилни паркове от стотици камиони, така и микро- и МСП, управляващи един камион. </w:t>
      </w:r>
      <w:r>
        <w:rPr>
          <w:rStyle w:val="eop"/>
          <w:noProof/>
        </w:rPr>
        <w:t> </w:t>
      </w:r>
    </w:p>
    <w:p w14:paraId="3BA85C0F" w14:textId="1E7D69FF" w:rsidR="008B2A3C" w:rsidRPr="00B5601E" w:rsidRDefault="00394568" w:rsidP="49DE8097">
      <w:pPr>
        <w:pStyle w:val="paragraph"/>
        <w:numPr>
          <w:ilvl w:val="0"/>
          <w:numId w:val="40"/>
        </w:numPr>
        <w:spacing w:before="0" w:beforeAutospacing="0" w:after="240" w:afterAutospacing="0"/>
        <w:jc w:val="both"/>
        <w:textAlignment w:val="baseline"/>
        <w:rPr>
          <w:b/>
          <w:bCs/>
          <w:noProof/>
        </w:rPr>
      </w:pPr>
      <w:r>
        <w:rPr>
          <w:rStyle w:val="normaltextrun"/>
          <w:b/>
          <w:noProof/>
        </w:rPr>
        <w:t>Превозни средства, регистрирани от самите производители</w:t>
      </w:r>
      <w:r>
        <w:rPr>
          <w:rStyle w:val="normaltextrun"/>
          <w:noProof/>
        </w:rPr>
        <w:t> — например салонни и тестови превозни средства; за разлика от други видове корпоративни автомобилни паркове тези превозни средства се влияят по-пряко от общите пазарни тенденции (включително при частните продажби), отколкото от други специфични фактори.</w:t>
      </w:r>
    </w:p>
    <w:p w14:paraId="72C89A83" w14:textId="143B3A5C" w:rsidR="49DE8097" w:rsidRDefault="49DE8097" w:rsidP="007653AC">
      <w:pPr>
        <w:pStyle w:val="paragraph"/>
        <w:spacing w:before="0" w:beforeAutospacing="0" w:after="240" w:afterAutospacing="0"/>
        <w:jc w:val="both"/>
        <w:rPr>
          <w:b/>
          <w:bCs/>
          <w:noProof/>
        </w:rPr>
      </w:pPr>
    </w:p>
    <w:p w14:paraId="0D3AC841" w14:textId="708FDB29" w:rsidR="00815D5A" w:rsidRPr="00B5601E" w:rsidRDefault="00F16137" w:rsidP="00FE3242">
      <w:pPr>
        <w:pStyle w:val="Default"/>
        <w:numPr>
          <w:ilvl w:val="0"/>
          <w:numId w:val="37"/>
        </w:numPr>
        <w:spacing w:after="240"/>
        <w:jc w:val="both"/>
        <w:rPr>
          <w:b/>
          <w:bCs/>
          <w:noProof/>
          <w:color w:val="auto"/>
        </w:rPr>
      </w:pPr>
      <w:r>
        <w:rPr>
          <w:b/>
          <w:noProof/>
          <w:color w:val="auto"/>
        </w:rPr>
        <w:t xml:space="preserve">ЗАЩО </w:t>
      </w:r>
      <w:r w:rsidR="00183F7C">
        <w:rPr>
          <w:b/>
          <w:noProof/>
          <w:color w:val="auto"/>
        </w:rPr>
        <w:t>СА</w:t>
      </w:r>
      <w:r>
        <w:rPr>
          <w:b/>
          <w:noProof/>
          <w:color w:val="auto"/>
        </w:rPr>
        <w:t xml:space="preserve"> НЕОБХОДИМ</w:t>
      </w:r>
      <w:r w:rsidR="00183F7C">
        <w:rPr>
          <w:b/>
          <w:noProof/>
          <w:color w:val="auto"/>
        </w:rPr>
        <w:t>И</w:t>
      </w:r>
      <w:r>
        <w:rPr>
          <w:b/>
          <w:noProof/>
          <w:color w:val="auto"/>
        </w:rPr>
        <w:t xml:space="preserve"> ДЕЙСТВИЯ</w:t>
      </w:r>
      <w:r w:rsidR="00183F7C">
        <w:rPr>
          <w:b/>
          <w:noProof/>
          <w:color w:val="auto"/>
        </w:rPr>
        <w:t>?</w:t>
      </w:r>
    </w:p>
    <w:p w14:paraId="5029F43E" w14:textId="171023D8" w:rsidR="00C2716D" w:rsidRPr="00B5601E" w:rsidRDefault="00505242" w:rsidP="002A04C9">
      <w:pPr>
        <w:pStyle w:val="Default"/>
        <w:spacing w:after="240"/>
        <w:jc w:val="both"/>
        <w:rPr>
          <w:noProof/>
          <w:color w:val="auto"/>
        </w:rPr>
      </w:pPr>
      <w:r>
        <w:rPr>
          <w:noProof/>
          <w:color w:val="auto"/>
        </w:rPr>
        <w:t>Стандартите за емисиите на CO</w:t>
      </w:r>
      <w:r>
        <w:rPr>
          <w:noProof/>
          <w:color w:val="auto"/>
          <w:vertAlign w:val="subscript"/>
        </w:rPr>
        <w:t>2</w:t>
      </w:r>
      <w:r>
        <w:rPr>
          <w:noProof/>
          <w:color w:val="auto"/>
        </w:rPr>
        <w:t xml:space="preserve"> за леки автомобили и микробуси, както и за тежкотоварни превозни средства, налагат постепенното увеличаване на регистрациите на превозни средства с нулеви емисии. Продажбите на задвижвани с акумулаторна батерия електрически превозни средства (BEV) в ЕС непрекъснато нарастват до началото на 2024 г. През 2023 г. делът на продажбите на нови такива автомобили достигна 14,6 %. Това се дължи на по-добрата осведоменост по въпросите на околната среда, по-голямото разнообразие модели и правителствените стимули. </w:t>
      </w:r>
    </w:p>
    <w:p w14:paraId="40F909AE" w14:textId="613BCA24" w:rsidR="005838ED" w:rsidRPr="00B5601E" w:rsidRDefault="005838ED" w:rsidP="002A04C9">
      <w:pPr>
        <w:pStyle w:val="Default"/>
        <w:spacing w:after="240"/>
        <w:jc w:val="both"/>
        <w:rPr>
          <w:noProof/>
          <w:color w:val="auto"/>
        </w:rPr>
      </w:pPr>
      <w:r>
        <w:rPr>
          <w:noProof/>
          <w:color w:val="auto"/>
        </w:rPr>
        <w:t>Необходим е обаче стабилно нарастване, за да се спазят стандартите за емисиите на CO</w:t>
      </w:r>
      <w:r>
        <w:rPr>
          <w:noProof/>
          <w:color w:val="auto"/>
          <w:vertAlign w:val="subscript"/>
        </w:rPr>
        <w:t>2</w:t>
      </w:r>
      <w:r>
        <w:rPr>
          <w:noProof/>
          <w:color w:val="auto"/>
        </w:rPr>
        <w:t xml:space="preserve"> до 2030 г.. През 2024 г. се наблюдава лек спад в продажбите, като делът на регистрациите на електрически автомобили на пазара на ЕС е намалял с един процентен пункт до 13,6 %. Други превозни средства с нулеви емисии, като например превозните средства с водородни горивни клетки, все още са на много ранен етап на пазарно развитие. </w:t>
      </w:r>
    </w:p>
    <w:p w14:paraId="688B71C1" w14:textId="7BD37572" w:rsidR="004760F3" w:rsidRDefault="005838ED" w:rsidP="005838ED">
      <w:pPr>
        <w:pStyle w:val="Default"/>
        <w:spacing w:after="240"/>
        <w:jc w:val="both"/>
        <w:rPr>
          <w:noProof/>
          <w:color w:val="auto"/>
        </w:rPr>
      </w:pPr>
      <w:r>
        <w:rPr>
          <w:noProof/>
          <w:color w:val="auto"/>
        </w:rPr>
        <w:t xml:space="preserve">Няколко фактора могат да послужат, за да се обясни развитието на пазара през 2024 г. Например в края на 2023 г. бяха прекратени субсидиите на някои основни пазари. Вероятно фактор представляват и общите трудности при продажбите на автомобили като цяло, които се дължат на трудните икономически условия в ЕС. </w:t>
      </w:r>
    </w:p>
    <w:p w14:paraId="0B4404C3" w14:textId="0102DA37" w:rsidR="00FC4CEE" w:rsidRPr="00B5601E" w:rsidRDefault="6151D28A" w:rsidP="005838ED">
      <w:pPr>
        <w:pStyle w:val="Default"/>
        <w:spacing w:after="240"/>
        <w:jc w:val="both"/>
        <w:rPr>
          <w:noProof/>
          <w:color w:val="auto"/>
        </w:rPr>
      </w:pPr>
      <w:r>
        <w:rPr>
          <w:noProof/>
          <w:color w:val="auto"/>
        </w:rPr>
        <w:t xml:space="preserve">В този контекст регистрациите на корпоративни превозни средства играят важна роля, тъй като съставляват около 60 % от всички регистрации на нови автомобили в ЕС. Операторите на автомобилни паркове, и особено на по-големите такива, често са в по-добра позиция да договарят цените за закупуване на превозни средства и освен това могат да се възползват от различни фискални стимули, като например благоприятни правила за данъчна амортизация, приспадане на ДДС или благоприятно третиране на непаричните възнаграждения. Такъв е случаят например с </w:t>
      </w:r>
      <w:r>
        <w:rPr>
          <w:rStyle w:val="normaltextrun"/>
          <w:noProof/>
        </w:rPr>
        <w:t>лизинга на автомобили, който представлява консолидиран пазар, доминиран от относително малък брой големи оператори, на които се падат около 3 милиона нови регистрации на превозни средства годишно (приблизително 30 % от продажбите на нови автомобили).</w:t>
      </w:r>
      <w:r w:rsidR="00035755" w:rsidRPr="00B5601E">
        <w:rPr>
          <w:rStyle w:val="FootnoteReference"/>
          <w:noProof/>
          <w:lang w:val="en-IE"/>
        </w:rPr>
        <w:footnoteReference w:id="5"/>
      </w:r>
      <w:r>
        <w:rPr>
          <w:rStyle w:val="normaltextrun"/>
          <w:noProof/>
        </w:rPr>
        <w:t xml:space="preserve"> </w:t>
      </w:r>
    </w:p>
    <w:p w14:paraId="5245242F" w14:textId="398577D6" w:rsidR="000D53C3" w:rsidRPr="00B5601E" w:rsidRDefault="006B5E63" w:rsidP="3942BF10">
      <w:pPr>
        <w:pStyle w:val="Default"/>
        <w:spacing w:after="240"/>
        <w:jc w:val="both"/>
        <w:rPr>
          <w:noProof/>
          <w:color w:val="auto"/>
        </w:rPr>
      </w:pPr>
      <w:r>
        <w:rPr>
          <w:noProof/>
          <w:color w:val="auto"/>
        </w:rPr>
        <w:t>Наличните данни</w:t>
      </w:r>
      <w:r w:rsidR="00FB0C92" w:rsidRPr="00B5601E">
        <w:rPr>
          <w:rStyle w:val="FootnoteReference"/>
          <w:noProof/>
          <w:color w:val="auto"/>
          <w:lang w:val="en-IE"/>
        </w:rPr>
        <w:footnoteReference w:id="6"/>
      </w:r>
      <w:r>
        <w:rPr>
          <w:noProof/>
          <w:color w:val="auto"/>
        </w:rPr>
        <w:t xml:space="preserve"> обаче </w:t>
      </w:r>
      <w:r w:rsidR="00163372">
        <w:rPr>
          <w:noProof/>
          <w:color w:val="auto"/>
        </w:rPr>
        <w:t>соч</w:t>
      </w:r>
      <w:r>
        <w:rPr>
          <w:noProof/>
          <w:color w:val="auto"/>
        </w:rPr>
        <w:t xml:space="preserve">ат, че </w:t>
      </w:r>
      <w:r w:rsidR="00163372">
        <w:rPr>
          <w:noProof/>
          <w:color w:val="auto"/>
        </w:rPr>
        <w:t xml:space="preserve">средно за ЕС, </w:t>
      </w:r>
      <w:r>
        <w:rPr>
          <w:noProof/>
          <w:color w:val="auto"/>
        </w:rPr>
        <w:t xml:space="preserve">този потенциал не е напълно задействан: делът на превозните средства с нулеви емисии в корпоративните автомобилни паркове изостава от дела на продажбите към частни лица през последните години. Съответните дялове за 2023 г. са били 12,3 % в корпоративния сектор спрямо 14,1 % в частния сектор, като разликата леко се стопява до 12,4 % спрямо 13,8 % през 2024 г. </w:t>
      </w:r>
    </w:p>
    <w:p w14:paraId="66D6E507" w14:textId="44645432" w:rsidR="00273DE3" w:rsidRPr="00B5601E" w:rsidRDefault="52016FEF" w:rsidP="3942BF10">
      <w:pPr>
        <w:pStyle w:val="Default"/>
        <w:spacing w:after="240"/>
        <w:jc w:val="both"/>
        <w:rPr>
          <w:noProof/>
          <w:color w:val="auto"/>
        </w:rPr>
      </w:pPr>
      <w:r>
        <w:rPr>
          <w:noProof/>
          <w:color w:val="auto"/>
        </w:rPr>
        <w:t xml:space="preserve">През 2024 г. броят на леките търговски превозни средства (микробусите), градските и туристическите автобуси и камионите с нулеви емисии в целия ЕС продължи да нараства стабилно спрямо 2023 г., но неравномерно. Продажбите на микробуси като цяло нараснаха, а микробусите с нулеви емисии съставляваха 6,1 % от новите регистрации. При сегмента на градските и туристическите автобуси възходящата си тенденция също продължи, като общите продажби нараснаха, а електрическите автобуси съставляваха 18,5 % от всички регистрации или над една трета от новите градски автобуси. Въпреки че като цяло продължава да бъде много малък пазар, новите продажби на камиони с нулеви емисии отбелязаха ръст от около 10 % спрямо равнището от 2023 г., като регистрациите достигнаха 2,3 % от продажбите на нови камиони. </w:t>
      </w:r>
    </w:p>
    <w:p w14:paraId="54F4A64C" w14:textId="30D4112F" w:rsidR="008C608A" w:rsidRPr="00B5601E" w:rsidRDefault="001C6AFD" w:rsidP="00A0080C">
      <w:pPr>
        <w:pStyle w:val="Default"/>
        <w:spacing w:after="240"/>
        <w:jc w:val="both"/>
        <w:rPr>
          <w:noProof/>
          <w:color w:val="auto"/>
        </w:rPr>
      </w:pPr>
      <w:r>
        <w:rPr>
          <w:noProof/>
          <w:color w:val="auto"/>
        </w:rPr>
        <w:t xml:space="preserve">Когато се разглеждат пазарите на отделните държави членки, се наблюдават големи разлики в дела на регистрациите на превозни средства с нулеви емисии, включително поради корпоративните автомобилни паркове: например в Германия продажбите на задвижвани с акумулаторна батерия електрически автомобили спаднаха с 27 % през 2024 г., а в Белгия се наблюдава увеличение от 37 %, като това увеличение до голяма степен се дължи на корпоративните автомобилни паркове след промените в националната схема за данъчно облагане. Това подчертава необходимостта да се разгледат всички фактори, които влияят върху решенията на управителите на корпоративни автомобилни паркове за закупуване на превозни средства с нулеви емисии, в това число наличността на модела, неговата цена, наличието на инфраструктура за зареждане с електроенергия, националното данъчно облагане, други фискални и нефискални стимули (напр. права за достъп до градските зони) и други регулаторни изисквания. Например </w:t>
      </w:r>
      <w:r>
        <w:rPr>
          <w:rStyle w:val="normaltextrun"/>
          <w:noProof/>
        </w:rPr>
        <w:t xml:space="preserve">в случая на професионални автомобилни паркове основните фактори, които определят кое превозно средство ще се използва са експлоатационните изисквания (като необходимостта от дълги часове на движение  и на дълги разстояния с ограничено време за презареждане), наличието на обособена инфраструктура за зареждане с електроенергия и специфични условия, като необходимостта от достъп до зони с ниски емисии или спазването на изисквания за получаване на лиценз. </w:t>
      </w:r>
      <w:r>
        <w:rPr>
          <w:noProof/>
          <w:color w:val="auto"/>
        </w:rPr>
        <w:t xml:space="preserve"> </w:t>
      </w:r>
    </w:p>
    <w:p w14:paraId="2B46EFA8" w14:textId="122D93A5" w:rsidR="49DE8097" w:rsidRPr="00183F7C" w:rsidRDefault="49DE8097" w:rsidP="49DE8097">
      <w:pPr>
        <w:pStyle w:val="Default"/>
        <w:spacing w:after="240"/>
        <w:jc w:val="both"/>
        <w:rPr>
          <w:noProof/>
          <w:color w:val="auto"/>
        </w:rPr>
      </w:pPr>
    </w:p>
    <w:p w14:paraId="25E08EBD" w14:textId="340F00BB" w:rsidR="008F72B6" w:rsidRPr="00100E62" w:rsidRDefault="00F16137" w:rsidP="00FE3242">
      <w:pPr>
        <w:pStyle w:val="Default"/>
        <w:numPr>
          <w:ilvl w:val="0"/>
          <w:numId w:val="37"/>
        </w:numPr>
        <w:spacing w:after="240"/>
        <w:jc w:val="both"/>
        <w:rPr>
          <w:b/>
          <w:caps/>
          <w:noProof/>
          <w:color w:val="auto"/>
        </w:rPr>
      </w:pPr>
      <w:r w:rsidRPr="00100E62">
        <w:rPr>
          <w:b/>
          <w:caps/>
          <w:noProof/>
          <w:color w:val="auto"/>
        </w:rPr>
        <w:t>Предизвикателства и възможности</w:t>
      </w:r>
    </w:p>
    <w:p w14:paraId="32D0C293" w14:textId="609EA734" w:rsidR="008F72B6" w:rsidRPr="00B5601E" w:rsidRDefault="644D9B24" w:rsidP="49DE8097">
      <w:pPr>
        <w:pStyle w:val="paragraph"/>
        <w:spacing w:before="0" w:beforeAutospacing="0" w:after="0" w:afterAutospacing="0"/>
        <w:jc w:val="both"/>
        <w:textAlignment w:val="baseline"/>
        <w:rPr>
          <w:rStyle w:val="eop"/>
          <w:noProof/>
        </w:rPr>
      </w:pPr>
      <w:r>
        <w:rPr>
          <w:rStyle w:val="normaltextrun"/>
          <w:noProof/>
        </w:rPr>
        <w:t xml:space="preserve">За да се пристъпи към подходящи действия за насърчаване на навлизането на превозни средства с нулеви емисии до 2035 г., е важно да се вземе предвид фактът, че </w:t>
      </w:r>
      <w:r>
        <w:rPr>
          <w:rStyle w:val="normaltextrun"/>
          <w:b/>
          <w:noProof/>
        </w:rPr>
        <w:t>предизвикателствата</w:t>
      </w:r>
      <w:r>
        <w:rPr>
          <w:rStyle w:val="normaltextrun"/>
          <w:noProof/>
        </w:rPr>
        <w:t xml:space="preserve"> пред декарбонизираните корпоративни автомобилни паркове варират в зависимост от случаите на употреба и техните характеристики.</w:t>
      </w:r>
    </w:p>
    <w:p w14:paraId="716908B4" w14:textId="77777777" w:rsidR="00A931CD" w:rsidRPr="00B5601E" w:rsidRDefault="00A931CD" w:rsidP="008F72B6">
      <w:pPr>
        <w:pStyle w:val="paragraph"/>
        <w:spacing w:before="0" w:beforeAutospacing="0" w:after="0" w:afterAutospacing="0"/>
        <w:jc w:val="both"/>
        <w:textAlignment w:val="baseline"/>
        <w:rPr>
          <w:rStyle w:val="eop"/>
          <w:noProof/>
        </w:rPr>
      </w:pPr>
    </w:p>
    <w:p w14:paraId="70392DA4" w14:textId="253D87E8" w:rsidR="00B901C3" w:rsidRPr="00B5601E" w:rsidRDefault="00EE5448" w:rsidP="008C608A">
      <w:pPr>
        <w:pStyle w:val="paragraph"/>
        <w:spacing w:before="0" w:beforeAutospacing="0" w:after="240" w:afterAutospacing="0"/>
        <w:jc w:val="both"/>
        <w:textAlignment w:val="baseline"/>
        <w:rPr>
          <w:rStyle w:val="normaltextrun"/>
          <w:noProof/>
        </w:rPr>
      </w:pPr>
      <w:r>
        <w:rPr>
          <w:rStyle w:val="normaltextrun"/>
          <w:b/>
          <w:noProof/>
        </w:rPr>
        <w:t>Операторите на лизингови автомобилни паркове</w:t>
      </w:r>
      <w:r>
        <w:rPr>
          <w:rStyle w:val="normaltextrun"/>
          <w:noProof/>
        </w:rPr>
        <w:t xml:space="preserve"> все повече включват автомобили с нулеви емисии в своите автомобилни паркове. Въпреки това съгласно информация от сектора бавно променящите се предпочитания на клиентите и опасенията по отношение на безпроблемното презареждане пречат на по-бързото преминаване към превозни средства с нулеви емисии. Операторите на лизингови автомобилни паркове посочват също така високите покупни цени и несигурността относно остатъчните стойности на превозните средства с нулеви емисии, както и търсенето на пазара на употребявани автомобили като фактори, които могат</w:t>
      </w:r>
      <w:r>
        <w:rPr>
          <w:noProof/>
        </w:rPr>
        <w:t xml:space="preserve"> да окажат влияние върху оценката на риска на дружествата</w:t>
      </w:r>
      <w:r>
        <w:rPr>
          <w:rStyle w:val="normaltextrun"/>
          <w:noProof/>
        </w:rPr>
        <w:t xml:space="preserve">. Освен това те подчертават стимулите, свързани с данъчното третиране на лизинговите превозни средства, които в много случаи все още благоприятстват закупуването на конвенционални превозни средства. </w:t>
      </w:r>
    </w:p>
    <w:p w14:paraId="2CBCB844" w14:textId="0028C1A6" w:rsidR="008C3016" w:rsidRPr="00B5601E" w:rsidRDefault="008C608A" w:rsidP="008C608A">
      <w:pPr>
        <w:pStyle w:val="paragraph"/>
        <w:spacing w:before="0" w:beforeAutospacing="0" w:after="240" w:afterAutospacing="0"/>
        <w:jc w:val="both"/>
        <w:textAlignment w:val="baseline"/>
        <w:rPr>
          <w:rStyle w:val="normaltextrun"/>
          <w:noProof/>
        </w:rPr>
      </w:pPr>
      <w:r>
        <w:rPr>
          <w:rStyle w:val="normaltextrun"/>
          <w:b/>
          <w:noProof/>
        </w:rPr>
        <w:t>Операторите на автомобилни паркове под наем</w:t>
      </w:r>
      <w:r>
        <w:rPr>
          <w:rStyle w:val="normaltextrun"/>
          <w:noProof/>
        </w:rPr>
        <w:t xml:space="preserve"> отбелязват нерешените проблеми при масовото предлагане под наем на автомобили с нулеви емисии. Те посочват, че това се дължи на липсата на интерес от страна на клиентите, особено по отношение на много краткосрочното отдаване под наем, несигурността относно остатъчната стойност и клиентското търсене на употребявани превозни средства с нулеви емисии, както и общата липса на подходяща инфраструктура за бързо зареждане с електроенергия в центровете за отдаване под наем на автомобили, например на летищата и други центрове за мобилност. </w:t>
      </w:r>
    </w:p>
    <w:p w14:paraId="07CC74EB" w14:textId="3095BB00" w:rsidR="008C3016" w:rsidRPr="00B5601E" w:rsidRDefault="008C3016" w:rsidP="008C3016">
      <w:pPr>
        <w:pStyle w:val="paragraph"/>
        <w:spacing w:before="0" w:beforeAutospacing="0" w:after="240" w:afterAutospacing="0"/>
        <w:jc w:val="both"/>
        <w:textAlignment w:val="baseline"/>
        <w:rPr>
          <w:rStyle w:val="normaltextrun"/>
          <w:noProof/>
        </w:rPr>
      </w:pPr>
      <w:r>
        <w:rPr>
          <w:rStyle w:val="normaltextrun"/>
          <w:noProof/>
        </w:rPr>
        <w:t xml:space="preserve">Предпочитанията на клиентите, наличността и цената на моделите, опасенията относно инфраструктурата за зареждане с електроенергия и данъчното третиране на превозните средства, както и несигурността относно търсенето на пазара на употребявани превозни средства са сред основните фактори, влияещи върху избора на превозни средства и при </w:t>
      </w:r>
      <w:r>
        <w:rPr>
          <w:rStyle w:val="normaltextrun"/>
          <w:b/>
          <w:noProof/>
        </w:rPr>
        <w:t>наемането и лизинга на микробуси</w:t>
      </w:r>
      <w:r>
        <w:rPr>
          <w:rStyle w:val="normaltextrun"/>
          <w:noProof/>
        </w:rPr>
        <w:t xml:space="preserve">. </w:t>
      </w:r>
    </w:p>
    <w:p w14:paraId="061039D0" w14:textId="1F8AA951" w:rsidR="00196165" w:rsidRPr="00B5601E" w:rsidRDefault="007916FE" w:rsidP="006C2E63">
      <w:pPr>
        <w:pStyle w:val="paragraph"/>
        <w:spacing w:before="0" w:beforeAutospacing="0" w:after="240" w:afterAutospacing="0"/>
        <w:jc w:val="both"/>
        <w:textAlignment w:val="baseline"/>
        <w:rPr>
          <w:rStyle w:val="normaltextrun"/>
          <w:noProof/>
        </w:rPr>
      </w:pPr>
      <w:r>
        <w:rPr>
          <w:rStyle w:val="normaltextrun"/>
          <w:noProof/>
        </w:rPr>
        <w:t xml:space="preserve">При </w:t>
      </w:r>
      <w:r>
        <w:rPr>
          <w:rStyle w:val="normaltextrun"/>
          <w:b/>
          <w:noProof/>
        </w:rPr>
        <w:t>камионите</w:t>
      </w:r>
      <w:r>
        <w:rPr>
          <w:rStyle w:val="normaltextrun"/>
          <w:noProof/>
        </w:rPr>
        <w:t xml:space="preserve"> с нулеви емисии има значително по-високи разходи за покупка в сравнение с конвенционалните камиони; наличието на инфраструктура за бързо зареждане с електроенергия все повече нараства, но често операторите продължават да се колебаят да преминат към електрически варианти, особено за операции на дълги разстояния. Операторите на камиони трябва да могат да инсталират инфраструктура за зареждане с електроенергия в своите депа, за да имат достъп до инфраструктура, даваща възможност за зареждане в степен, съвместима с оперативните нужди на камиона, по време на задължителните почивки. Средната възраст на камионите в ЕС е около 14 години, а първият собственик обикновено управлява камиона в продължение на 5 години. Пазарът на употребявани камиони е около два пъти по-голям от пазара на нови такива, като динамиката ясно сочи първа употреба в Северна и Западна Европа, докато втората или третата употреба е от потребители в Южна и Източна Европа.</w:t>
      </w:r>
    </w:p>
    <w:p w14:paraId="4DCF107B" w14:textId="7F6B0E99" w:rsidR="006C2E63" w:rsidRPr="00B5601E" w:rsidRDefault="00196165" w:rsidP="006C2E63">
      <w:pPr>
        <w:pStyle w:val="paragraph"/>
        <w:spacing w:before="0" w:beforeAutospacing="0" w:after="240" w:afterAutospacing="0"/>
        <w:jc w:val="both"/>
        <w:textAlignment w:val="baseline"/>
        <w:rPr>
          <w:noProof/>
        </w:rPr>
      </w:pPr>
      <w:r>
        <w:rPr>
          <w:rStyle w:val="normaltextrun"/>
          <w:noProof/>
        </w:rPr>
        <w:t xml:space="preserve">Благодарение на консолидираната структура на участниците в </w:t>
      </w:r>
      <w:r>
        <w:rPr>
          <w:rStyle w:val="normaltextrun"/>
          <w:b/>
          <w:noProof/>
        </w:rPr>
        <w:t>сектора на лизинга на автомобили</w:t>
      </w:r>
      <w:r>
        <w:rPr>
          <w:rStyle w:val="normaltextrun"/>
          <w:noProof/>
        </w:rPr>
        <w:t xml:space="preserve"> и значителното му припокриване с други видове корпоративни автомобилни паркове инициативите, насочени към лизингови автомобили с нулеви емисии, биха били относително лесни за прилагане и потенциално много ефективни. Освен това лизингът може да представлява значителна възможност да се преодолее бариерата на високите разходи за закупуване, възпрепятстващи достъпа до тези превозни средства за потребители с по-ниски доходи, и да се подкрепи разрастването на пазара на употребявани автомобили.  </w:t>
      </w:r>
      <w:r>
        <w:rPr>
          <w:rStyle w:val="eop"/>
          <w:noProof/>
        </w:rPr>
        <w:t> </w:t>
      </w:r>
    </w:p>
    <w:p w14:paraId="48121027" w14:textId="545AD2E2" w:rsidR="008C608A" w:rsidRPr="00B5601E" w:rsidRDefault="008C608A" w:rsidP="008C608A">
      <w:pPr>
        <w:pStyle w:val="paragraph"/>
        <w:spacing w:before="0" w:beforeAutospacing="0" w:after="240" w:afterAutospacing="0"/>
        <w:jc w:val="both"/>
        <w:textAlignment w:val="baseline"/>
        <w:rPr>
          <w:noProof/>
        </w:rPr>
      </w:pPr>
      <w:r>
        <w:rPr>
          <w:rStyle w:val="normaltextrun"/>
          <w:b/>
          <w:noProof/>
        </w:rPr>
        <w:t>Автомобилите за краткосрочно отдаване под наем</w:t>
      </w:r>
      <w:r>
        <w:rPr>
          <w:rStyle w:val="normaltextrun"/>
          <w:noProof/>
        </w:rPr>
        <w:t xml:space="preserve"> обикновено са сред превозните средства, които най-бързо достигат до пазара на употребявани автомобили — често в рамките на една или две години. Това позволява бързо да се увеличи наличността на превозни средства с нулеви емисии на пазара на употребявани автомобили чрез инициативи, насочени към този тип корпоративни автомобилни паркове, особено ако са придружени от мерки в подкрепа на закупуването на употребявани превозни средства с нулеви емисии. По-голямото разнообразие при предлагането на автомобили под наем с нулеви емисии ще доведе до значителни ползи по отношение на намаляването на емисиите, като се има предвид техният голям годишен пробег. </w:t>
      </w:r>
    </w:p>
    <w:p w14:paraId="78028D3E" w14:textId="755D0DC7" w:rsidR="008C608A" w:rsidRPr="00B5601E" w:rsidRDefault="008C608A" w:rsidP="008C608A">
      <w:pPr>
        <w:pStyle w:val="paragraph"/>
        <w:spacing w:before="0" w:beforeAutospacing="0" w:after="240" w:afterAutospacing="0"/>
        <w:jc w:val="both"/>
        <w:textAlignment w:val="baseline"/>
        <w:rPr>
          <w:noProof/>
        </w:rPr>
      </w:pPr>
      <w:r>
        <w:rPr>
          <w:rStyle w:val="normaltextrun"/>
          <w:noProof/>
        </w:rPr>
        <w:t xml:space="preserve">С по-бързото преминаване към </w:t>
      </w:r>
      <w:r>
        <w:rPr>
          <w:rStyle w:val="normaltextrun"/>
          <w:b/>
          <w:noProof/>
        </w:rPr>
        <w:t>микробуси под наем и на лизинг</w:t>
      </w:r>
      <w:r>
        <w:rPr>
          <w:rStyle w:val="normaltextrun"/>
          <w:noProof/>
        </w:rPr>
        <w:t xml:space="preserve"> с нулеви емисии ще има възможност да се преодолеят първоначалните високи разходи за закупуване на електрически микробуси и да се декарбонизират транспортните операции на много малки и средни предприятия. Като се има предвид относително големият годишен пробег на този тип превозни средства, по-бързото преминаване към варианти с нулеви емисии ще донесе значителни ползи и по отношение на намаляването на емисиите.</w:t>
      </w:r>
    </w:p>
    <w:p w14:paraId="235E5F57" w14:textId="5522F42C" w:rsidR="00A70FB6" w:rsidRPr="00B5601E" w:rsidRDefault="00A02107" w:rsidP="49DE8097">
      <w:pPr>
        <w:pStyle w:val="paragraph"/>
        <w:spacing w:before="0" w:beforeAutospacing="0" w:after="240" w:afterAutospacing="0"/>
        <w:jc w:val="both"/>
        <w:textAlignment w:val="baseline"/>
        <w:rPr>
          <w:noProof/>
        </w:rPr>
      </w:pPr>
      <w:r>
        <w:rPr>
          <w:rStyle w:val="normaltextrun"/>
          <w:noProof/>
        </w:rPr>
        <w:t xml:space="preserve">Като цяло за </w:t>
      </w:r>
      <w:r>
        <w:rPr>
          <w:rStyle w:val="normaltextrun"/>
          <w:b/>
          <w:noProof/>
        </w:rPr>
        <w:t>служебните автомобили</w:t>
      </w:r>
      <w:r>
        <w:rPr>
          <w:rStyle w:val="normaltextrun"/>
          <w:noProof/>
        </w:rPr>
        <w:t xml:space="preserve"> данъчното третиране е основният фактор</w:t>
      </w:r>
      <w:r>
        <w:rPr>
          <w:rStyle w:val="eop"/>
          <w:noProof/>
        </w:rPr>
        <w:t xml:space="preserve">, определящ избора на превозни средства, което представлява значителна възможност да се ускори преходът към превозни средства с нулеви емисии чрез данъчни интервенции. </w:t>
      </w:r>
    </w:p>
    <w:p w14:paraId="36F204F6" w14:textId="77777777" w:rsidR="00127616" w:rsidRPr="00B5601E" w:rsidRDefault="00127616" w:rsidP="00127616">
      <w:pPr>
        <w:pStyle w:val="paragraph"/>
        <w:spacing w:before="0" w:beforeAutospacing="0" w:after="240" w:afterAutospacing="0"/>
        <w:jc w:val="both"/>
        <w:textAlignment w:val="baseline"/>
        <w:rPr>
          <w:noProof/>
        </w:rPr>
      </w:pPr>
      <w:r>
        <w:rPr>
          <w:noProof/>
        </w:rPr>
        <w:t xml:space="preserve">Тъй като при корпоративните автомобилни паркове е възможно групиране и като цяло при зареждането те следват предвидими модели, тези паркове са от голямо значение за функциите за двупосочно зареждане. Чрез връщането на електроенергия в мрежата свързването на превозни средства към електрическата мрежа (V2G) ще доведе до генериране на приходи от тези услуги за гъвкавост. </w:t>
      </w:r>
    </w:p>
    <w:p w14:paraId="10253918" w14:textId="0F82455F" w:rsidR="49DE8097" w:rsidRDefault="49DE8097" w:rsidP="49DE8097">
      <w:pPr>
        <w:pStyle w:val="paragraph"/>
        <w:spacing w:before="0" w:beforeAutospacing="0" w:after="240" w:afterAutospacing="0"/>
        <w:jc w:val="both"/>
        <w:rPr>
          <w:rStyle w:val="eop"/>
          <w:noProof/>
        </w:rPr>
      </w:pPr>
    </w:p>
    <w:p w14:paraId="523E8E31" w14:textId="5089D440" w:rsidR="00815D5A" w:rsidRPr="00B5601E" w:rsidRDefault="00F16137" w:rsidP="00187B84">
      <w:pPr>
        <w:pStyle w:val="Default"/>
        <w:numPr>
          <w:ilvl w:val="0"/>
          <w:numId w:val="37"/>
        </w:numPr>
        <w:spacing w:after="240"/>
        <w:jc w:val="both"/>
        <w:rPr>
          <w:b/>
          <w:bCs/>
          <w:noProof/>
          <w:color w:val="auto"/>
        </w:rPr>
      </w:pPr>
      <w:r>
        <w:rPr>
          <w:b/>
          <w:noProof/>
          <w:color w:val="auto"/>
        </w:rPr>
        <w:t xml:space="preserve">ДОБРИ ПРАКТИКИ И ПРИОРИТЕТИ ЗА ДЕЙСТВИЕ </w:t>
      </w:r>
    </w:p>
    <w:p w14:paraId="1E5BB9B7" w14:textId="6E368E2A" w:rsidR="00343336" w:rsidRPr="00B5601E" w:rsidRDefault="00EB7415" w:rsidP="00DD85FF">
      <w:pPr>
        <w:pStyle w:val="Default"/>
        <w:spacing w:after="240"/>
        <w:jc w:val="both"/>
        <w:rPr>
          <w:noProof/>
          <w:color w:val="auto"/>
        </w:rPr>
      </w:pPr>
      <w:r>
        <w:rPr>
          <w:noProof/>
          <w:color w:val="auto"/>
        </w:rPr>
        <w:t xml:space="preserve">През 2024 г. Комисията проведе </w:t>
      </w:r>
      <w:r>
        <w:rPr>
          <w:rStyle w:val="normaltextrun"/>
          <w:noProof/>
          <w:color w:val="auto"/>
        </w:rPr>
        <w:t>открита обществена консултация относно екологизирането на корпоративните автомобилни паркове</w:t>
      </w:r>
      <w:r>
        <w:rPr>
          <w:noProof/>
          <w:color w:val="auto"/>
        </w:rPr>
        <w:t>.</w:t>
      </w:r>
      <w:r w:rsidR="00444040" w:rsidRPr="00B5601E">
        <w:rPr>
          <w:rStyle w:val="FootnoteReference"/>
          <w:noProof/>
          <w:color w:val="auto"/>
          <w:lang w:val="en-IE"/>
        </w:rPr>
        <w:footnoteReference w:id="7"/>
      </w:r>
      <w:r>
        <w:rPr>
          <w:rStyle w:val="normaltextrun"/>
          <w:noProof/>
          <w:color w:val="auto"/>
        </w:rPr>
        <w:t xml:space="preserve"> </w:t>
      </w:r>
      <w:r>
        <w:rPr>
          <w:noProof/>
          <w:color w:val="auto"/>
        </w:rPr>
        <w:t xml:space="preserve">Консултацията обхвана леките автомобили, микробусите, камионите и туристическите автобуси. Бяха получени 267 отговора от различни заинтересовани страни — предимно предприятия и бизнес асоциации (72 % от отговорите), следвани от НПО (11 %), граждани (9 %) и публични органи (3 %). Консултацията показа, че има ясен консенсус относно желанието за по-бързо навлизане на превозни средства с нулеви емисии в корпоративните автомобилни паркове. Освен това чрез </w:t>
      </w:r>
      <w:r>
        <w:rPr>
          <w:rStyle w:val="normaltextrun"/>
          <w:noProof/>
          <w:color w:val="auto"/>
        </w:rPr>
        <w:t>откритата обществена консултация</w:t>
      </w:r>
      <w:r>
        <w:rPr>
          <w:noProof/>
          <w:color w:val="auto"/>
        </w:rPr>
        <w:t xml:space="preserve"> беше потвърдено мнението, че по-високият дял на превозните средства с нулеви емисии в корпоративните автомобилни паркове ще бъде от полза за намаляването на емисиите на парникови газове и за изграждането на пазари на употребявани автомобили чрез поевтиняването на превозните средства с нулеви емисии. Същевременно обаче бяха отбелязани някои съществуващи проблеми и предизвикателства, в това число по-високите разходи за покупка, рисковете, свързани с остатъчните стойности, и липсата на наличност на такива превозни средства (предимно тежкотоварни).  </w:t>
      </w:r>
    </w:p>
    <w:p w14:paraId="72D485FF" w14:textId="10B4949E" w:rsidR="00343336" w:rsidRDefault="006958EE" w:rsidP="00343336">
      <w:pPr>
        <w:pStyle w:val="Default"/>
        <w:spacing w:after="240"/>
        <w:jc w:val="both"/>
        <w:rPr>
          <w:rStyle w:val="normaltextrun"/>
          <w:noProof/>
          <w:color w:val="auto"/>
        </w:rPr>
      </w:pPr>
      <w:r>
        <w:rPr>
          <w:noProof/>
          <w:color w:val="auto"/>
        </w:rPr>
        <w:t xml:space="preserve">Консултацията ясно показа, че разходите </w:t>
      </w:r>
      <w:r>
        <w:rPr>
          <w:rStyle w:val="normaltextrun"/>
          <w:noProof/>
          <w:color w:val="auto"/>
        </w:rPr>
        <w:t>(за покупка, оперативните разходи и общите разходи за притежание) са решаващи при вземането на решения за покупка от страна на операторите на корпоративни автомобилни паркове. Данъчното третиране (при данъка върху доходите, корпоративния данък и данъка върху регистрацията на превозни средства, годишния данък върху движението на превозните средства и данъчното третиране на конкретни превозни средства, като служебните автомобили, например чрез непарични възнаграждения) се счита за ключов фактор при всички видове автомобилни паркове.</w:t>
      </w:r>
      <w:r>
        <w:rPr>
          <w:rStyle w:val="eop"/>
          <w:noProof/>
          <w:color w:val="auto"/>
        </w:rPr>
        <w:t xml:space="preserve"> </w:t>
      </w:r>
      <w:r>
        <w:rPr>
          <w:rStyle w:val="normaltextrun"/>
          <w:noProof/>
          <w:color w:val="auto"/>
        </w:rPr>
        <w:t xml:space="preserve">Фискалните мерки последователно бяха посочени като най-ефективния начин за постигане на такава по-бърза промяна във всички видове корпоративни автомобилни паркове. </w:t>
      </w:r>
    </w:p>
    <w:p w14:paraId="02CED1DB" w14:textId="77777777" w:rsidR="00DA69B2" w:rsidRPr="00183F7C" w:rsidRDefault="00DA69B2" w:rsidP="00343336">
      <w:pPr>
        <w:pStyle w:val="Default"/>
        <w:spacing w:after="240"/>
        <w:jc w:val="both"/>
        <w:rPr>
          <w:rStyle w:val="normaltextrun"/>
          <w:noProof/>
          <w:color w:val="auto"/>
        </w:rPr>
      </w:pPr>
    </w:p>
    <w:tbl>
      <w:tblPr>
        <w:tblStyle w:val="TableGrid"/>
        <w:tblW w:w="0" w:type="auto"/>
        <w:tblInd w:w="0" w:type="dxa"/>
        <w:tblLook w:val="04A0" w:firstRow="1" w:lastRow="0" w:firstColumn="1" w:lastColumn="0" w:noHBand="0" w:noVBand="1"/>
      </w:tblPr>
      <w:tblGrid>
        <w:gridCol w:w="9242"/>
      </w:tblGrid>
      <w:tr w:rsidR="00343336" w:rsidRPr="00B5601E" w14:paraId="1B233DC2" w14:textId="77777777" w:rsidTr="49DE8097">
        <w:tc>
          <w:tcPr>
            <w:tcW w:w="9242" w:type="dxa"/>
          </w:tcPr>
          <w:p w14:paraId="6C620D69" w14:textId="7B4FF3D7" w:rsidR="00B673E4" w:rsidRPr="001E534E" w:rsidRDefault="004820B3" w:rsidP="00343336">
            <w:pPr>
              <w:pStyle w:val="Default"/>
              <w:spacing w:after="240"/>
              <w:jc w:val="both"/>
              <w:rPr>
                <w:bCs/>
                <w:noProof/>
                <w:color w:val="auto"/>
              </w:rPr>
            </w:pPr>
            <w:r>
              <w:rPr>
                <w:b/>
                <w:noProof/>
                <w:color w:val="auto"/>
              </w:rPr>
              <w:t>Пример за добра практика — адаптиране на данъчната система</w:t>
            </w:r>
          </w:p>
          <w:p w14:paraId="33CCE9AF" w14:textId="7AB63AFA" w:rsidR="007A3E1F" w:rsidRPr="00B5601E" w:rsidRDefault="00134942" w:rsidP="00343336">
            <w:pPr>
              <w:pStyle w:val="Default"/>
              <w:spacing w:after="240"/>
              <w:jc w:val="both"/>
              <w:rPr>
                <w:bCs/>
                <w:noProof/>
                <w:color w:val="auto"/>
              </w:rPr>
            </w:pPr>
            <w:r>
              <w:rPr>
                <w:noProof/>
                <w:color w:val="auto"/>
              </w:rPr>
              <w:t>Пример за това как данъчната система може да бъде адаптирана, за да се увеличи делът на корпоративните превозни средства с нулеви емисии, е Белгия, която реформира схемата си за служебни автомобили от 2021 г., за да насърчи внедряването на превозни средства с нулеви емисии и да намали данъчните предимства за традиционните превозни средства с двигатели с вътрешно горене (ДВГ) и хибридните превозни средства с възможност за свързване към електрическата мрежа (PHEV)</w:t>
            </w:r>
            <w:r w:rsidRPr="00B5601E">
              <w:rPr>
                <w:rStyle w:val="FootnoteReference"/>
                <w:noProof/>
                <w:color w:val="auto"/>
                <w:lang w:val="en-IE"/>
              </w:rPr>
              <w:footnoteReference w:id="8"/>
            </w:r>
            <w:r w:rsidRPr="00183F7C">
              <w:rPr>
                <w:rStyle w:val="FootnoteReference"/>
                <w:noProof/>
                <w:color w:val="auto"/>
              </w:rPr>
              <w:t>.</w:t>
            </w:r>
            <w:r>
              <w:rPr>
                <w:noProof/>
                <w:color w:val="auto"/>
              </w:rPr>
              <w:t>. Основните фактори за това бяха:</w:t>
            </w:r>
          </w:p>
          <w:p w14:paraId="5064B9B2" w14:textId="3CFA53BB" w:rsidR="007A3E1F" w:rsidRPr="00B5601E" w:rsidRDefault="1B0057CD" w:rsidP="007A3E1F">
            <w:pPr>
              <w:pStyle w:val="Default"/>
              <w:numPr>
                <w:ilvl w:val="1"/>
                <w:numId w:val="35"/>
              </w:numPr>
              <w:spacing w:after="240"/>
              <w:jc w:val="both"/>
              <w:rPr>
                <w:noProof/>
                <w:color w:val="auto"/>
              </w:rPr>
            </w:pPr>
            <w:r>
              <w:rPr>
                <w:noProof/>
                <w:color w:val="auto"/>
              </w:rPr>
              <w:t xml:space="preserve">промени в данъчното приспадане на разходите за превозни средства — постепенно  ограничаване на възможността за приспадане на всички разходи за превозни средства без нулеви емисии, придобити между 1 юли 2023 г.. и 31 декември 2025 г., до пълното премахване на тази възможност през 2028 г., и ограничаване на възможността за приспадане на разходите за горива (бензин или дизелово гориво), използвани в придобити от 2023 г. нататък хибридни превозни средства с възможност за свързване към електрическата мрежа до 50 %, като приспадането в размер на 100 % остава за превозните средства с нулеви емисии и за потреблението на електроенергия;  </w:t>
            </w:r>
          </w:p>
          <w:p w14:paraId="0A81912B" w14:textId="42C76108" w:rsidR="007A3E1F" w:rsidRPr="00B5601E" w:rsidRDefault="00134942" w:rsidP="007A3E1F">
            <w:pPr>
              <w:pStyle w:val="Default"/>
              <w:numPr>
                <w:ilvl w:val="1"/>
                <w:numId w:val="35"/>
              </w:numPr>
              <w:spacing w:after="240"/>
              <w:jc w:val="both"/>
              <w:rPr>
                <w:noProof/>
                <w:color w:val="auto"/>
              </w:rPr>
            </w:pPr>
            <w:r>
              <w:rPr>
                <w:noProof/>
                <w:color w:val="auto"/>
              </w:rPr>
              <w:t xml:space="preserve">изменение на референтните стойности на емисиите на CO₂, използвани за изчисляване на облагаемите непарични възнаграждения при ползването на служебни автомобили за лични цели, за да бъде отразено намаляването на средните емисии от новорегистрирани автомобили в Белгия. </w:t>
            </w:r>
          </w:p>
          <w:p w14:paraId="4C0C9E57" w14:textId="330023EF" w:rsidR="00343336" w:rsidRPr="00B5601E" w:rsidRDefault="1B0057CD" w:rsidP="007A3E1F">
            <w:pPr>
              <w:pStyle w:val="Default"/>
              <w:spacing w:after="240"/>
              <w:jc w:val="both"/>
              <w:rPr>
                <w:rStyle w:val="normaltextrun"/>
                <w:noProof/>
                <w:color w:val="auto"/>
              </w:rPr>
            </w:pPr>
            <w:r>
              <w:rPr>
                <w:noProof/>
                <w:color w:val="auto"/>
              </w:rPr>
              <w:t xml:space="preserve">Едновременно с постепенното въвеждане на реформата от 2024 г. насам продажбите на превозни средства с нулеви емисии в Белгия са се увеличили драстично, като за две години почти са се утроили, поради което Белгия се превърна в третия по големина пазар в Европа за превозни средства с нулеви емисии по общия обем на продажбите. </w:t>
            </w:r>
            <w:r>
              <w:rPr>
                <w:noProof/>
              </w:rPr>
              <w:t>Инфраструктурата за зареждане с електроенергия значително се разрасна в Белгия през последните три години, дори по-бързо от продажбите на автомобили, като възможностите за бързо зареждане са се увеличили почти 10 пъти.</w:t>
            </w:r>
            <w:r>
              <w:rPr>
                <w:noProof/>
                <w:color w:val="auto"/>
              </w:rPr>
              <w:t xml:space="preserve"> </w:t>
            </w:r>
            <w:r>
              <w:rPr>
                <w:b/>
                <w:noProof/>
              </w:rPr>
              <w:t>Примерът на Белгия показва, че целенасоченото изменение на съществуващите данъчни мерки може да окаже значително въздействие върху целия пазар.</w:t>
            </w:r>
          </w:p>
        </w:tc>
      </w:tr>
    </w:tbl>
    <w:p w14:paraId="3937DD0A" w14:textId="77777777" w:rsidR="00823C25" w:rsidRPr="00183F7C" w:rsidRDefault="00823C25" w:rsidP="00343336">
      <w:pPr>
        <w:pStyle w:val="Default"/>
        <w:spacing w:after="240"/>
        <w:jc w:val="both"/>
        <w:rPr>
          <w:rStyle w:val="normaltextrun"/>
          <w:noProof/>
          <w:color w:val="auto"/>
        </w:rPr>
      </w:pPr>
    </w:p>
    <w:p w14:paraId="59FC00FA" w14:textId="4919D920" w:rsidR="00691046" w:rsidRDefault="00691046" w:rsidP="00691046">
      <w:pPr>
        <w:pStyle w:val="Default"/>
        <w:spacing w:after="240"/>
        <w:jc w:val="both"/>
        <w:rPr>
          <w:rStyle w:val="normaltextrun"/>
          <w:noProof/>
          <w:color w:val="auto"/>
        </w:rPr>
      </w:pPr>
      <w:r>
        <w:rPr>
          <w:rStyle w:val="normaltextrun"/>
          <w:noProof/>
          <w:color w:val="auto"/>
        </w:rPr>
        <w:t>Някои държави членки въведоха мерки за ускорена амортизация като стимул за придобиването на електрически превозни средства. Един от добрите примери е Испания, където новопридобитите екологосъобразни превозни средства и зарядните станции за такива превозни средства може да бъдат амортизирани свободно</w:t>
      </w:r>
      <w:r>
        <w:rPr>
          <w:rStyle w:val="FootnoteReference"/>
          <w:noProof/>
          <w:color w:val="auto"/>
          <w:lang w:val="en-IE"/>
        </w:rPr>
        <w:footnoteReference w:id="9"/>
      </w:r>
      <w:r>
        <w:rPr>
          <w:rStyle w:val="normaltextrun"/>
          <w:noProof/>
          <w:color w:val="auto"/>
        </w:rPr>
        <w:t>, ако се използват за стопански дейности. Свободната амортизация е достъпна за данъчни периоди, започващи на или след 1 януари 2024 г., и се прилага за нови инвестиции с начало през данъчните периоди, започващи през 2024 г. и 2025 г.</w:t>
      </w:r>
      <w:r>
        <w:rPr>
          <w:rStyle w:val="FootnoteReference"/>
          <w:noProof/>
          <w:color w:val="auto"/>
          <w:lang w:val="en-IE"/>
        </w:rPr>
        <w:footnoteReference w:id="10"/>
      </w:r>
    </w:p>
    <w:p w14:paraId="6C5B650D" w14:textId="39435972" w:rsidR="00691046" w:rsidRDefault="00691046" w:rsidP="00691046">
      <w:pPr>
        <w:pStyle w:val="Default"/>
        <w:spacing w:after="240"/>
        <w:jc w:val="both"/>
        <w:rPr>
          <w:rStyle w:val="normaltextrun"/>
          <w:noProof/>
          <w:color w:val="auto"/>
        </w:rPr>
      </w:pPr>
      <w:r>
        <w:rPr>
          <w:rStyle w:val="normaltextrun"/>
          <w:noProof/>
          <w:color w:val="auto"/>
        </w:rPr>
        <w:t xml:space="preserve">Друг пример е Чехия, където </w:t>
      </w:r>
      <w:r>
        <w:rPr>
          <w:noProof/>
        </w:rPr>
        <w:t>екологосъобразните превозни средства, придобити и пуснати в експлоатация в периода от 1 януари 2024 г. до 31 декември 2028 г., могат да бъдат амортизирани за 2 години. Амортизацията е ограничена до 60 % от цената на закупуване през първите 12 месеца и до 40 % за следващите 12 месеца</w:t>
      </w:r>
      <w:r>
        <w:rPr>
          <w:rStyle w:val="FootnoteReference"/>
          <w:noProof/>
          <w:lang w:val="en-IE"/>
        </w:rPr>
        <w:footnoteReference w:id="11"/>
      </w:r>
      <w:r>
        <w:rPr>
          <w:noProof/>
        </w:rPr>
        <w:t>.</w:t>
      </w:r>
    </w:p>
    <w:p w14:paraId="2FF2D7F0" w14:textId="0A0C1725" w:rsidR="002044EB" w:rsidRPr="00B5601E" w:rsidRDefault="00CF6B2F" w:rsidP="00343336">
      <w:pPr>
        <w:pStyle w:val="Default"/>
        <w:spacing w:after="240"/>
        <w:jc w:val="both"/>
        <w:rPr>
          <w:rStyle w:val="normaltextrun"/>
          <w:noProof/>
          <w:color w:val="auto"/>
        </w:rPr>
      </w:pPr>
      <w:r>
        <w:rPr>
          <w:rStyle w:val="normaltextrun"/>
          <w:noProof/>
          <w:color w:val="auto"/>
        </w:rPr>
        <w:t xml:space="preserve">Резултатите от откритата обществена консултация са в съответствие с наличните информация и анализ на пазара, които показват, че режимите за данъчно облагане на корпоративните превозни средства оказват сериозно влияние. Опитът показва, че преразглеждането на данъчната рамка, за да се гарантира по-равнопоставена или благоприятна основа за превозните средства с нулеви емисии в корпоративните автомобилни паркове, или въвеждането на други стимули, като например схеми за удържане или за бонуси/удържане, чрез които се гарантира по-благоприятно третиране на превозните средства с по-ниски емисии отколкото на превозните средства с по-високи емисии, може да доведе до рязко увеличаване на броя на новите регистрации на корпоративни превозни средства с нулеви емисии. </w:t>
      </w:r>
    </w:p>
    <w:p w14:paraId="4D6B945D" w14:textId="6963C7E0" w:rsidR="00343336" w:rsidRDefault="00343336" w:rsidP="00343336">
      <w:pPr>
        <w:pStyle w:val="Default"/>
        <w:spacing w:after="240"/>
        <w:jc w:val="both"/>
        <w:rPr>
          <w:rStyle w:val="normaltextrun"/>
          <w:noProof/>
          <w:color w:val="auto"/>
        </w:rPr>
      </w:pPr>
      <w:r>
        <w:rPr>
          <w:rStyle w:val="normaltextrun"/>
          <w:noProof/>
          <w:color w:val="auto"/>
        </w:rPr>
        <w:t xml:space="preserve">Освен това в рамките на консултацията бяха посочени специалните схеми за подпомагане и оперативните стимули (освобождаване от ограничения на достъпа, пътно таксуване, условия за таксуване на изминат участък или паркиране, както и схеми за социален лизинг, в това число Ecoscore и др.) като ефективни, по-специално за автомобилни паркове под наем и на лизинг, големи логистични автомобилни паркове, автомобилни паркове за градска мобилност и служебни автомобили. </w:t>
      </w:r>
    </w:p>
    <w:p w14:paraId="2951B398" w14:textId="77777777" w:rsidR="009F1752" w:rsidRPr="00183F7C" w:rsidRDefault="009F1752" w:rsidP="00343336">
      <w:pPr>
        <w:pStyle w:val="Default"/>
        <w:spacing w:after="240"/>
        <w:jc w:val="both"/>
        <w:rPr>
          <w:rStyle w:val="normaltextrun"/>
          <w:noProof/>
          <w:color w:val="auto"/>
        </w:rPr>
      </w:pPr>
    </w:p>
    <w:tbl>
      <w:tblPr>
        <w:tblStyle w:val="TableGrid"/>
        <w:tblW w:w="0" w:type="auto"/>
        <w:tblInd w:w="0" w:type="dxa"/>
        <w:tblLook w:val="04A0" w:firstRow="1" w:lastRow="0" w:firstColumn="1" w:lastColumn="0" w:noHBand="0" w:noVBand="1"/>
      </w:tblPr>
      <w:tblGrid>
        <w:gridCol w:w="9242"/>
      </w:tblGrid>
      <w:tr w:rsidR="00343336" w:rsidRPr="00B5601E" w14:paraId="706285F1" w14:textId="77777777" w:rsidTr="00DD85FF">
        <w:tc>
          <w:tcPr>
            <w:tcW w:w="9242" w:type="dxa"/>
          </w:tcPr>
          <w:p w14:paraId="14A64940" w14:textId="255C3AFF" w:rsidR="00967F1E" w:rsidRPr="00B5601E" w:rsidRDefault="004820B3" w:rsidP="00343336">
            <w:pPr>
              <w:pStyle w:val="Default"/>
              <w:spacing w:after="240"/>
              <w:jc w:val="both"/>
              <w:rPr>
                <w:b/>
                <w:noProof/>
                <w:color w:val="auto"/>
              </w:rPr>
            </w:pPr>
            <w:r>
              <w:rPr>
                <w:b/>
                <w:noProof/>
                <w:color w:val="auto"/>
              </w:rPr>
              <w:t>Примери за добри практики — разпоредби за таксиметровите операции във връзка с превозните средства с нулеви емисии</w:t>
            </w:r>
          </w:p>
          <w:p w14:paraId="5EC5E2A8" w14:textId="012A9940" w:rsidR="0088150D" w:rsidRPr="00B5601E" w:rsidRDefault="00967F1E" w:rsidP="00343336">
            <w:pPr>
              <w:pStyle w:val="Default"/>
              <w:spacing w:after="240"/>
              <w:jc w:val="both"/>
              <w:rPr>
                <w:noProof/>
                <w:color w:val="auto"/>
              </w:rPr>
            </w:pPr>
            <w:r>
              <w:rPr>
                <w:noProof/>
                <w:color w:val="auto"/>
              </w:rPr>
              <w:t>Има няколко примера в Европа, при които градските или регионалните власти са приели специални разпоредби, изискващи от таксиметровите паркове техните дейности да бъдат с нулеви емисии, за да съответстват на плановете на властите по отношение на климата и качеството на въздуха.</w:t>
            </w:r>
          </w:p>
          <w:p w14:paraId="5405A53C" w14:textId="77777777" w:rsidR="0056764E" w:rsidRPr="00B5601E" w:rsidRDefault="00602215" w:rsidP="00343336">
            <w:pPr>
              <w:pStyle w:val="Default"/>
              <w:spacing w:after="240"/>
              <w:jc w:val="both"/>
              <w:rPr>
                <w:noProof/>
                <w:color w:val="auto"/>
              </w:rPr>
            </w:pPr>
            <w:r>
              <w:rPr>
                <w:noProof/>
                <w:color w:val="auto"/>
              </w:rPr>
              <w:t xml:space="preserve">В Хамбург има поставена конкретна цел за таксиметровите дейности: броят на новорегистрираните таксита с нулеви емисии следва да нараства, така че до 2030 г. целият таксиметров парк с дейност в Хамбург да последва този пример. Това ще бъде постигнато предимно чрез процеса на лицензиране, при който таксиметровите оператори трябва да докажат съответствие, преди да получат или подновят своите оперативни лицензи. Освен това Хамбург предоставя финансова подкрепа, като субсидии за закупуване на превозни средства с нулеви емисии и инсталиране на подходяща инфраструктура за зареждане с електроенергия или с водород. </w:t>
            </w:r>
          </w:p>
          <w:p w14:paraId="0D577CFC" w14:textId="1B58CB33" w:rsidR="00343336" w:rsidRPr="00B5601E" w:rsidRDefault="00EF126C" w:rsidP="00823C25">
            <w:pPr>
              <w:pStyle w:val="Default"/>
              <w:spacing w:after="240"/>
              <w:jc w:val="both"/>
              <w:rPr>
                <w:rStyle w:val="normaltextrun"/>
                <w:noProof/>
                <w:color w:val="auto"/>
              </w:rPr>
            </w:pPr>
            <w:r>
              <w:rPr>
                <w:rStyle w:val="normaltextrun"/>
                <w:noProof/>
                <w:color w:val="auto"/>
              </w:rPr>
              <w:t xml:space="preserve">В Амстердам </w:t>
            </w:r>
            <w:r>
              <w:rPr>
                <w:noProof/>
                <w:color w:val="auto"/>
              </w:rPr>
              <w:t>се очаква всички таксита, работещи в забранените зони на центъра на града, да бъдат с нулеви емисии до 2025 г., а след тази дата нови разрешителни за таксита ще се издават само на превозни средства с нулеви емисии. До 2030 г. градът възнамерява да разшири това изискване, за да обхване всички таксита, работещи в цялата община. За да помогне на таксиметровите оператори да извършат този преход, местните власти предлагат субсидии и други форми на подкрепа, като същевременно работят за създаване на стабилна инфраструктура за зареждане с електроенергия и с гориво, с ударение върху умножаването на точките за бързо зареждане с електроенергия на места с голямо търсене като централната гара на Амстердам и летище Schiphol.</w:t>
            </w:r>
            <w:r>
              <w:rPr>
                <w:rStyle w:val="normaltextrun"/>
                <w:noProof/>
                <w:color w:val="auto"/>
              </w:rPr>
              <w:t xml:space="preserve"> </w:t>
            </w:r>
          </w:p>
        </w:tc>
      </w:tr>
    </w:tbl>
    <w:p w14:paraId="38BFA261" w14:textId="77777777" w:rsidR="00823C25" w:rsidRPr="00183F7C" w:rsidRDefault="00823C25" w:rsidP="5A3CC38F">
      <w:pPr>
        <w:pStyle w:val="Default"/>
        <w:spacing w:after="240"/>
        <w:jc w:val="both"/>
        <w:rPr>
          <w:rStyle w:val="normaltextrun"/>
          <w:noProof/>
          <w:color w:val="auto"/>
        </w:rPr>
      </w:pPr>
    </w:p>
    <w:p w14:paraId="68CE5119" w14:textId="065EC6C4" w:rsidR="006E68E4" w:rsidRDefault="00343336" w:rsidP="5A3CC38F">
      <w:pPr>
        <w:pStyle w:val="Default"/>
        <w:spacing w:after="240"/>
        <w:jc w:val="both"/>
        <w:rPr>
          <w:rStyle w:val="normaltextrun"/>
          <w:noProof/>
          <w:color w:val="auto"/>
        </w:rPr>
      </w:pPr>
      <w:r>
        <w:rPr>
          <w:rStyle w:val="normaltextrun"/>
          <w:noProof/>
          <w:color w:val="auto"/>
        </w:rPr>
        <w:t>Консултацията изведе на преден план наличието на инфраструктура за зареждане с електроенергия и презареждане с гориво като основен фактор, който оказва влияние. Задължителните цели, определени в Регламента за инфраструктурата за алтернативни горива</w:t>
      </w:r>
      <w:r w:rsidRPr="49DE8097">
        <w:rPr>
          <w:rStyle w:val="FootnoteReference"/>
          <w:noProof/>
          <w:color w:val="auto"/>
          <w:lang w:val="en-IE"/>
        </w:rPr>
        <w:footnoteReference w:id="12"/>
      </w:r>
      <w:r>
        <w:rPr>
          <w:rStyle w:val="normaltextrun"/>
          <w:noProof/>
          <w:color w:val="auto"/>
        </w:rPr>
        <w:t xml:space="preserve">, ще осигурят достатъчно покритие в държавите членки, и по-специално по протежение на трансевропейската транспортна мрежа, но точното местоположение, броят и мощността на отделните зарядни точки на конкретни места ще бъдат определени на местно равнище. </w:t>
      </w:r>
    </w:p>
    <w:p w14:paraId="74DDE772" w14:textId="668AF073" w:rsidR="006D438C" w:rsidRPr="00B5601E" w:rsidRDefault="00C672B1" w:rsidP="5A3CC38F">
      <w:pPr>
        <w:pStyle w:val="Default"/>
        <w:spacing w:after="240"/>
        <w:jc w:val="both"/>
        <w:rPr>
          <w:rStyle w:val="normaltextrun"/>
          <w:noProof/>
          <w:color w:val="auto"/>
        </w:rPr>
      </w:pPr>
      <w:r>
        <w:rPr>
          <w:rStyle w:val="normaltextrun"/>
          <w:noProof/>
          <w:color w:val="auto"/>
        </w:rPr>
        <w:t>Наличието на правилния брой и тип зарядни точки на някои от тези места ще бъде от решаващо значение за покриване на специфичните изисквания на определени видове корпоративни автомобилни паркове; например таксиметровите паркове зависят от публично достъпни зарядни точки в градските райони, където работят, а парковете от автомобили под наем на летищата често изискват обособена инфраструктура за зареждане с електроенергия, но в това отношение зависят от летищните власти. От друга страна някои автомобилни паркове, например автобусните паркове на обществения транспорт, често разчитат изключително на собствената си обособена инфраструктура или в депата, или на автобусните спирки при междинно зареждане. </w:t>
      </w:r>
    </w:p>
    <w:p w14:paraId="61C6DCB4" w14:textId="02295F95" w:rsidR="006D438C" w:rsidRDefault="00A77310" w:rsidP="00C672B1">
      <w:pPr>
        <w:pStyle w:val="Default"/>
        <w:spacing w:after="240"/>
        <w:jc w:val="both"/>
        <w:rPr>
          <w:rStyle w:val="normaltextrun"/>
          <w:noProof/>
          <w:color w:val="auto"/>
        </w:rPr>
      </w:pPr>
      <w:r>
        <w:rPr>
          <w:rStyle w:val="normaltextrun"/>
          <w:noProof/>
          <w:color w:val="auto"/>
        </w:rPr>
        <w:t xml:space="preserve">Камионите използват инфраструктура за зареждане в депото като основен вариант, но особено за превози на дълги разстояния те се нуждаят от достъп до инфраструктура за достатъчно бързо  зареждане, за да посрещнат оперативните си нужди чрез презареждане по време на задължителните почивки. Както бе обявено в Плана за действие в областта на промишлеността за европейския автомобилен сектор, Комисията ще работи по инициатива за Европейски коридори за чист транспорт за ускорено разгръщане на възли за зареждане с електроенергия на тежкотоварни превозни средства по ключови логистични коридори в трансевропейската транспортна мрежа като критична инфраструктура чрез рационализиране на издаването на разрешения и привличане на финансиране за намаляване на риска при инвестициите. Това ще се обвърже с разпоредбите за конкретни приоритетни </w:t>
      </w:r>
      <w:r w:rsidR="00163372">
        <w:rPr>
          <w:rStyle w:val="normaltextrun"/>
          <w:noProof/>
          <w:color w:val="auto"/>
        </w:rPr>
        <w:t>зони</w:t>
      </w:r>
      <w:r>
        <w:rPr>
          <w:rStyle w:val="normaltextrun"/>
          <w:noProof/>
          <w:color w:val="auto"/>
        </w:rPr>
        <w:t xml:space="preserve"> на електроенергийната мрежа съгласно Директивата за енергията от възобновяеми източници. С инициативата ще бъдат обединени операторите на автомобилни паркове, на зарядни точки, на електроенергийни мрежи и публичните органи, когато е целесъобразно, в контекста на съответния коридор на трансевропейската транспортна мрежа и по този начин тя ще послужи като полезна платформа както за повишаване на осведомеността относно нуждите на всички участници, така и за изграждане на доверие сред операторите на корпоративни автомобилни паркове по отношение на осъществимостта на безпроблемни операции на по-дълги разстояния. </w:t>
      </w:r>
    </w:p>
    <w:p w14:paraId="6C688249" w14:textId="77777777" w:rsidR="00740462" w:rsidRPr="00183F7C" w:rsidRDefault="00740462" w:rsidP="00C672B1">
      <w:pPr>
        <w:pStyle w:val="Default"/>
        <w:spacing w:after="240"/>
        <w:jc w:val="both"/>
        <w:rPr>
          <w:rStyle w:val="normaltextrun"/>
          <w:noProof/>
          <w:color w:val="auto"/>
        </w:rPr>
      </w:pPr>
    </w:p>
    <w:p w14:paraId="18C82C99" w14:textId="49CAA51C" w:rsidR="008A6F3D" w:rsidRPr="0056531C" w:rsidRDefault="008A6F3D" w:rsidP="00DD85FF">
      <w:pPr>
        <w:pStyle w:val="Default"/>
        <w:pBdr>
          <w:top w:val="single" w:sz="4" w:space="1" w:color="auto"/>
          <w:left w:val="single" w:sz="4" w:space="4" w:color="auto"/>
          <w:bottom w:val="single" w:sz="4" w:space="1" w:color="auto"/>
          <w:right w:val="single" w:sz="4" w:space="4" w:color="auto"/>
        </w:pBdr>
        <w:spacing w:after="240"/>
        <w:jc w:val="both"/>
        <w:rPr>
          <w:b/>
          <w:bCs/>
          <w:noProof/>
          <w:color w:val="auto"/>
        </w:rPr>
      </w:pPr>
      <w:r>
        <w:rPr>
          <w:b/>
          <w:noProof/>
          <w:color w:val="auto"/>
        </w:rPr>
        <w:t>Примери за добри практики — зарядни точки на летищата</w:t>
      </w:r>
    </w:p>
    <w:p w14:paraId="52170773" w14:textId="79450B54" w:rsidR="0078502D" w:rsidRPr="00B5601E" w:rsidRDefault="00D30124" w:rsidP="00DD85FF">
      <w:pPr>
        <w:pStyle w:val="Default"/>
        <w:pBdr>
          <w:top w:val="single" w:sz="4" w:space="1" w:color="auto"/>
          <w:left w:val="single" w:sz="4" w:space="4" w:color="auto"/>
          <w:bottom w:val="single" w:sz="4" w:space="1" w:color="auto"/>
          <w:right w:val="single" w:sz="4" w:space="4" w:color="auto"/>
        </w:pBdr>
        <w:spacing w:after="240"/>
        <w:jc w:val="both"/>
        <w:rPr>
          <w:noProof/>
          <w:color w:val="auto"/>
        </w:rPr>
      </w:pPr>
      <w:r>
        <w:rPr>
          <w:noProof/>
          <w:color w:val="auto"/>
        </w:rPr>
        <w:t xml:space="preserve">На летище Zaventem в Брюксел са разположени 750 зарядни точки за пътниците и персонала в зоните за паркиране. До края на 2025 г. е обявено разполагането на няколкостотин допълнителни зарядни точки на летищата в Париж (Orly и Charles de Gaulle), сред които над 600 точки за бавно зареждане на обществените паркинги, точки за бързо зареждане за посрещане на изискванията на дружествата за автомобили под наем и на таксиметровите шофьори, както и ултрабързи зарядни устройства, достъпни за различни потребители. </w:t>
      </w:r>
      <w:r>
        <w:rPr>
          <w:noProof/>
          <w:color w:val="auto"/>
        </w:rPr>
        <w:br/>
        <w:t>За да се позволи на автопарковете от автомобили под наем и на такситата да преминат към използването на електрически превозни средства, от решаващо значение е да им бъдат осигурени достатъчно възможности за бързо зареждане с електроенергия на места като летища или други центрове за мобилност; това от своя страна може да допринесе за една по-екологична цялостна експлоатация на летището.</w:t>
      </w:r>
    </w:p>
    <w:p w14:paraId="4860F58A" w14:textId="77777777" w:rsidR="006534EA" w:rsidRPr="00B5601E" w:rsidRDefault="006534EA" w:rsidP="006534EA">
      <w:pPr>
        <w:pStyle w:val="Default"/>
        <w:pBdr>
          <w:top w:val="single" w:sz="4" w:space="1" w:color="auto"/>
          <w:left w:val="single" w:sz="4" w:space="4" w:color="auto"/>
          <w:bottom w:val="single" w:sz="4" w:space="1" w:color="auto"/>
          <w:right w:val="single" w:sz="4" w:space="4" w:color="auto"/>
        </w:pBdr>
        <w:spacing w:after="240"/>
        <w:jc w:val="both"/>
        <w:rPr>
          <w:b/>
          <w:bCs/>
          <w:noProof/>
          <w:color w:val="auto"/>
        </w:rPr>
      </w:pPr>
      <w:r>
        <w:rPr>
          <w:b/>
          <w:noProof/>
          <w:color w:val="auto"/>
        </w:rPr>
        <w:t>Примери за добри практики — електрификация на острови в Гърция</w:t>
      </w:r>
    </w:p>
    <w:p w14:paraId="26526B3B" w14:textId="2B1B93FD" w:rsidR="006534EA" w:rsidRPr="00B5601E" w:rsidRDefault="006534EA" w:rsidP="00DD85FF">
      <w:pPr>
        <w:pStyle w:val="Default"/>
        <w:pBdr>
          <w:top w:val="single" w:sz="4" w:space="1" w:color="auto"/>
          <w:left w:val="single" w:sz="4" w:space="4" w:color="auto"/>
          <w:bottom w:val="single" w:sz="4" w:space="1" w:color="auto"/>
          <w:right w:val="single" w:sz="4" w:space="4" w:color="auto"/>
        </w:pBdr>
        <w:spacing w:after="240"/>
        <w:jc w:val="both"/>
        <w:rPr>
          <w:noProof/>
          <w:color w:val="auto"/>
        </w:rPr>
      </w:pPr>
      <w:r>
        <w:rPr>
          <w:noProof/>
          <w:color w:val="auto"/>
        </w:rPr>
        <w:t>Астипалея, гръцки остров в Южно Егейско море, в момента преминава през новаторска трансформация, за да се превърне в „интелигентен и устойчив остров“ при амбициозното сътрудничество между гръцкото правителство и Volkswagen Group. Пилотният проект, стартиран през 2020 г. и изпълняван от началото на 2021 г., има за цел да се замени конвенционалният автомобилен парк на острова с електрически превозни средства, наред с внедряването на електрически скутери, електрически велосипеди и нова услуга за споделено пътуване при поискване, използваща електрически превозни средства. Инфраструктурата за зареждане с електроенергия, която в миналото е била оскъдна, е значително разширена, като при това са изградени паркове за слънчева енергия, които да снабдяват нарастващия брой електрически превозни средства с чиста енергия. Инициативата привлече значително внимание, като показа как по-малките, зависими от дизеловото гориво острови могат да преминат към енергия от възобновяеми източници и въглеродно неутрална мобилност. Текущите инициативи на остров Астипалея служат да покажат как се преминава към устойчив туризъм, като с тях се дава реален пример за това как чрез електромобилност, възобновяема енергия и модернизиран обществен транспорт може да се изгради ориентирана към бъдещето туристическа дестинация със слабо въздействие върху околната среда.</w:t>
      </w:r>
    </w:p>
    <w:p w14:paraId="608A9014" w14:textId="77777777" w:rsidR="00FB560C" w:rsidRPr="00B5601E" w:rsidRDefault="00FB560C" w:rsidP="00FB560C">
      <w:pPr>
        <w:pStyle w:val="paragraph"/>
        <w:spacing w:before="0" w:beforeAutospacing="0" w:after="0" w:afterAutospacing="0"/>
        <w:jc w:val="both"/>
        <w:textAlignment w:val="baseline"/>
        <w:rPr>
          <w:noProof/>
        </w:rPr>
      </w:pPr>
    </w:p>
    <w:p w14:paraId="4C5EE693" w14:textId="2B4C2207" w:rsidR="009575BA" w:rsidRPr="00B5601E" w:rsidRDefault="00F16137" w:rsidP="00187B84">
      <w:pPr>
        <w:pStyle w:val="Default"/>
        <w:numPr>
          <w:ilvl w:val="0"/>
          <w:numId w:val="37"/>
        </w:numPr>
        <w:spacing w:after="240"/>
        <w:jc w:val="both"/>
        <w:rPr>
          <w:b/>
          <w:bCs/>
          <w:noProof/>
          <w:color w:val="auto"/>
        </w:rPr>
      </w:pPr>
      <w:r>
        <w:rPr>
          <w:b/>
          <w:noProof/>
          <w:color w:val="auto"/>
        </w:rPr>
        <w:t xml:space="preserve">КАКВО МОЖЕ ДА СЕ НАПРАВИ </w:t>
      </w:r>
      <w:r w:rsidR="00183F7C">
        <w:rPr>
          <w:b/>
          <w:noProof/>
          <w:color w:val="auto"/>
        </w:rPr>
        <w:t>ОЩЕ СЕГА?</w:t>
      </w:r>
    </w:p>
    <w:p w14:paraId="7A2F88E9" w14:textId="77FF7D0C" w:rsidR="00431750" w:rsidRDefault="00431750" w:rsidP="00431750">
      <w:pPr>
        <w:pStyle w:val="Default"/>
        <w:spacing w:after="240"/>
        <w:jc w:val="both"/>
        <w:rPr>
          <w:b/>
          <w:bCs/>
          <w:noProof/>
          <w:color w:val="auto"/>
        </w:rPr>
      </w:pPr>
      <w:r>
        <w:rPr>
          <w:noProof/>
        </w:rPr>
        <w:t xml:space="preserve">На автомобилния пазар е необходимо незабавно да бъде подсилено търсенето. </w:t>
      </w:r>
      <w:r>
        <w:rPr>
          <w:rStyle w:val="normaltextrun"/>
          <w:noProof/>
        </w:rPr>
        <w:t xml:space="preserve">Има няколко действия, които могат да бъдат предприети още сега от различни участници на европейско, национално, регионално и местно равнище за ускоряване на прехода към превозни средства с нулеви емисии в корпоративните автомобилни паркове. Тези действия ще допълнят и допринесат за законодателното предложение, което Комисията подготвя да представи в края на 2025 г., в което ще бъдат разгледани всички варианти на политиката за ускорено внедряване на превозни средства с нулеви емисии в корпоративните автомобилните паркове. </w:t>
      </w:r>
    </w:p>
    <w:p w14:paraId="5403E165" w14:textId="3A0202BB" w:rsidR="00E278E8" w:rsidRPr="00E278E8" w:rsidRDefault="00E278E8" w:rsidP="00F64F4D">
      <w:pPr>
        <w:pStyle w:val="Default"/>
        <w:numPr>
          <w:ilvl w:val="1"/>
          <w:numId w:val="45"/>
        </w:numPr>
        <w:spacing w:after="240"/>
        <w:jc w:val="both"/>
        <w:rPr>
          <w:b/>
          <w:bCs/>
          <w:noProof/>
          <w:color w:val="auto"/>
        </w:rPr>
      </w:pPr>
      <w:r>
        <w:rPr>
          <w:b/>
          <w:noProof/>
          <w:color w:val="auto"/>
        </w:rPr>
        <w:t xml:space="preserve">По-атрактивни превозни средства с нулеви емисии чрез данъчна политика </w:t>
      </w:r>
    </w:p>
    <w:p w14:paraId="49F15F30" w14:textId="03BD27F0" w:rsidR="0071066C" w:rsidRPr="00B5601E" w:rsidRDefault="5269EEFD" w:rsidP="00E32325">
      <w:pPr>
        <w:pStyle w:val="Default"/>
        <w:spacing w:after="240"/>
        <w:jc w:val="both"/>
        <w:rPr>
          <w:noProof/>
          <w:color w:val="auto"/>
        </w:rPr>
      </w:pPr>
      <w:r>
        <w:rPr>
          <w:noProof/>
          <w:color w:val="auto"/>
        </w:rPr>
        <w:t>Понастоящем държавите членки подкрепят пазара на служебните автомобили с над 40 милиарда евро годишно чрез субсидии или данъчно третиране (намаления или освобождаване от регистрационен данък, годишен данък върху превозните средства и др.), като по-голямата част от тази сума се използва за конвенционални превозни средства</w:t>
      </w:r>
      <w:r w:rsidR="00B456C1" w:rsidRPr="00B5601E">
        <w:rPr>
          <w:rStyle w:val="FootnoteReference"/>
          <w:noProof/>
          <w:color w:val="auto"/>
          <w:lang w:val="en-IE"/>
        </w:rPr>
        <w:footnoteReference w:id="13"/>
      </w:r>
      <w:r>
        <w:rPr>
          <w:noProof/>
          <w:color w:val="auto"/>
        </w:rPr>
        <w:t xml:space="preserve">. Ситуацията се различава в отделните държави членки, като държавната подкрепа достига на места значителни суми, например 16 милиарда евро годишно в Италия, но някои елементи на подкрепа са широко разпространени в повечето държави членки. </w:t>
      </w:r>
    </w:p>
    <w:p w14:paraId="0668DD79" w14:textId="1A6D797D" w:rsidR="00E32325" w:rsidRPr="00B5601E" w:rsidRDefault="00054922" w:rsidP="00E32325">
      <w:pPr>
        <w:pStyle w:val="Default"/>
        <w:spacing w:after="240"/>
        <w:jc w:val="both"/>
        <w:rPr>
          <w:noProof/>
          <w:color w:val="auto"/>
        </w:rPr>
      </w:pPr>
      <w:r>
        <w:rPr>
          <w:noProof/>
          <w:color w:val="auto"/>
        </w:rPr>
        <w:t xml:space="preserve">Понастоящем в доста държави членки съществуват субсидии и данъчни режими, които не подкрепят преминаването на корпоративните автомобилни паркове към превозни средства с нулеви емисии — в някои държави данъците или данъчните облекчения са сходни, така че по-високата цена на закупуване разколебава потенциалните купувачи на превозни средства с нулеви емисии, а в други държави се прилагат по-високи данъчни облекчения за закупуване и експлоатация на конвенционални превозни средства. </w:t>
      </w:r>
    </w:p>
    <w:p w14:paraId="16390973" w14:textId="1F6D23BB" w:rsidR="00AA2144" w:rsidRPr="00B5601E" w:rsidRDefault="00BC1314" w:rsidP="00355A8B">
      <w:pPr>
        <w:pStyle w:val="Default"/>
        <w:spacing w:after="240"/>
        <w:jc w:val="both"/>
        <w:rPr>
          <w:noProof/>
          <w:color w:val="auto"/>
        </w:rPr>
      </w:pPr>
      <w:r>
        <w:rPr>
          <w:noProof/>
          <w:color w:val="auto"/>
        </w:rPr>
        <w:t xml:space="preserve">Промяната на тези данъчни режими може да бързо и решаващо да наклони везните в полза на прехода към превозни средства с нулеви емисии в корпоративните автомобилни паркове, тъй като данъчното третиране на различните превозни средства е един от основните фактори, които влияят на избора на операторите. Като предимство тази промяна потенциално може да има по-ограничено отражение върху публичния бюджет в сравнение с преките субсидии за закупуване, тъй като това може да доведе до по-целенасочено използване на съществуващите данъчни разпоредби в полза на превозните средства с нулеви емисии. </w:t>
      </w:r>
    </w:p>
    <w:p w14:paraId="78CEDBD9" w14:textId="641B58D4" w:rsidR="00446B26" w:rsidRDefault="008B398B" w:rsidP="00355A8B">
      <w:pPr>
        <w:pStyle w:val="Default"/>
        <w:spacing w:after="240"/>
        <w:jc w:val="both"/>
        <w:rPr>
          <w:noProof/>
          <w:color w:val="auto"/>
        </w:rPr>
      </w:pPr>
      <w:r>
        <w:rPr>
          <w:noProof/>
          <w:color w:val="auto"/>
        </w:rPr>
        <w:t xml:space="preserve">Следва да се предприемат действия за това системите да отдават предимство на вариантите с нулеви емисии чрез намаляване на относителните предимства за конвенционалните превозни средства или чрез по-добро третиране на превозните средства с нулеви емисии. Ползите от целенасочените промени в данъчното третиране на конвенционалните корпоративни превозни средства са много видими в Белгия, както разкрива описания по-горе пример. Това може да се постигне и в областта на ДДС чрез изменение на Директивата за ДДС, за да се ограничи правото на приспадане на ДДС за конвенционалните превозни средства. При преразглеждането на тези мерки е важно да се включат критерии за запазване на устойчивостта на веригите на доставки, например правилата за произход и критериите за кръговост и устойчивост, както е описано в Плана за действие в областта на промишлеността за европейския автомобилен сектор. </w:t>
      </w:r>
    </w:p>
    <w:p w14:paraId="14E4072D" w14:textId="2B480CFB" w:rsidR="00571470" w:rsidRPr="00B5601E" w:rsidRDefault="00AA0D72" w:rsidP="00355A8B">
      <w:pPr>
        <w:pStyle w:val="Default"/>
        <w:spacing w:after="240"/>
        <w:jc w:val="both"/>
        <w:rPr>
          <w:bCs/>
          <w:i/>
          <w:iCs/>
          <w:noProof/>
          <w:color w:val="auto"/>
        </w:rPr>
      </w:pPr>
      <w:r>
        <w:rPr>
          <w:noProof/>
        </w:rPr>
        <w:t>В този контекст Комисията също припомня, че с правилата на ЕС за държавната помощ на държавите членки се дават широки и гъвкави възможности да подкрепят дейности, допринасящи за внедряването на превозни средства с нулеви емисии, включително чрез намаляване на данъците за закупуване или лизинг на такива превозни средства, както и чрез подпомагане за изграждане на необходимата инфраструктура за зареждане с електроенергия и презареждане с гориво. Съответно Комисията насърчава държавите членки да се възползват от тези възможности.</w:t>
      </w:r>
    </w:p>
    <w:p w14:paraId="42FB0F0A" w14:textId="06FB2DEA" w:rsidR="0087378C" w:rsidRPr="00B5601E" w:rsidRDefault="00923179" w:rsidP="49DE8097">
      <w:pPr>
        <w:pStyle w:val="Default"/>
        <w:spacing w:after="240"/>
        <w:jc w:val="both"/>
        <w:rPr>
          <w:noProof/>
          <w:color w:val="auto"/>
        </w:rPr>
      </w:pPr>
      <w:r>
        <w:rPr>
          <w:noProof/>
          <w:color w:val="auto"/>
        </w:rPr>
        <w:t xml:space="preserve">Тези данъчни мерки могат да бъдат допълнени с разширено използване на наличните възможности съгласно Директивата за евровинетките и превозните средства с нулеви емисии да бъдат освободени от такси за ползване на пътната мрежа, а приходите, например от таксите за изминато разстояние или пътното таксуване, могат да бъдат използвани за подпомагане на декарбонизацията на сектора на автомобилния транспорт, включително чрез инвестиране в инфраструктура за зареждане с електроенергия. Това е допълнително описано в Плана за действие в областта на промишлеността за европейския автомобилен сектор. </w:t>
      </w:r>
    </w:p>
    <w:p w14:paraId="347CC8CD" w14:textId="67EDE174" w:rsidR="0087378C" w:rsidRPr="00B5601E" w:rsidRDefault="00D46D56" w:rsidP="0087378C">
      <w:pPr>
        <w:pStyle w:val="Default"/>
        <w:pBdr>
          <w:top w:val="single" w:sz="4" w:space="1" w:color="auto"/>
          <w:left w:val="single" w:sz="4" w:space="4" w:color="auto"/>
          <w:bottom w:val="single" w:sz="4" w:space="1" w:color="auto"/>
          <w:right w:val="single" w:sz="4" w:space="4" w:color="auto"/>
        </w:pBdr>
        <w:spacing w:after="240"/>
        <w:jc w:val="both"/>
        <w:rPr>
          <w:bCs/>
          <w:i/>
          <w:iCs/>
          <w:noProof/>
          <w:color w:val="auto"/>
        </w:rPr>
      </w:pPr>
      <w:r>
        <w:rPr>
          <w:i/>
          <w:noProof/>
          <w:color w:val="auto"/>
        </w:rPr>
        <w:t>Когато публичните органи са въвели мерки, благоприятстващи предоставянето на служебни автомобили (напр. в данъчното облагане), Комисията ги приканва да гарантират, че тези мерки са формулирани така, че да се стимулира изборът на превозни средства с нулеви емисии пред конвенционалните превозни средства, и че са включени критерии, с които се гарантира устойчивостта на европейските вериги на доставки в съответствие с Плана за действие в областта на промишлеността за европейския автомобилен сектор. Освен това Комисията насърчава публичните органи да обмислят въвеждането на подобни мерки и за други видове корпоративни автомобилни паркове и да използват част от приходите от такси за ползване на пътната мрежа за публично подпомагане на инфраструктурата за зареждане с електроенергия и презареждане с гориво. Освен това, като част от инициативата си „Зелен ДДС“, планирана за 2026 г., Комисията ще обмисли възможността за постепенно премахване на приспадането на ДДС, свързано с конвенционалните превозни средства.</w:t>
      </w:r>
    </w:p>
    <w:p w14:paraId="4DD51536" w14:textId="6959171F" w:rsidR="00571470" w:rsidRPr="00B5601E" w:rsidRDefault="772626E6" w:rsidP="00F64F4D">
      <w:pPr>
        <w:pStyle w:val="Default"/>
        <w:numPr>
          <w:ilvl w:val="1"/>
          <w:numId w:val="45"/>
        </w:numPr>
        <w:spacing w:after="240"/>
        <w:jc w:val="both"/>
        <w:rPr>
          <w:b/>
          <w:bCs/>
          <w:noProof/>
          <w:color w:val="auto"/>
        </w:rPr>
      </w:pPr>
      <w:r>
        <w:rPr>
          <w:b/>
          <w:noProof/>
          <w:color w:val="auto"/>
        </w:rPr>
        <w:t xml:space="preserve"> Възможности на местно равнище по отношение на автомобилните паркове за услуги за градска мобилност</w:t>
      </w:r>
    </w:p>
    <w:p w14:paraId="27347710" w14:textId="38706FAE" w:rsidR="0091631A" w:rsidRPr="00B5601E" w:rsidRDefault="33FC57C9" w:rsidP="49DE8097">
      <w:pPr>
        <w:pStyle w:val="Default"/>
        <w:spacing w:after="240"/>
        <w:jc w:val="both"/>
        <w:rPr>
          <w:i/>
          <w:iCs/>
          <w:noProof/>
          <w:color w:val="auto"/>
        </w:rPr>
      </w:pPr>
      <w:r>
        <w:rPr>
          <w:noProof/>
          <w:color w:val="auto"/>
        </w:rPr>
        <w:t xml:space="preserve">Автомобилните паркове за услуги за градска мобилност, например таксита, наемане на автомобил с водач и съвместно ползване на автомобил, представляват друг вид корпоративен автомобилен парк, който е силно свързан с местната и градската мобилност. Тези автомобилни паркове обикновено работят въз основа на лицензи, предоставяни на местно равнище, с които се определят условията за тяхната дейност. Много оператори на този тип автомобилни паркове изразиха намерението си да играят положителна роля в декарбонизацията на автомобилния транспорт. Поради техните бизнес модели, област на дейност и експлоатационни изисквания изборът дали да се премине към превозни средства с нулеви емисии зависи до голяма степен от условията, определяни пряко или косвено от местните органи. </w:t>
      </w:r>
    </w:p>
    <w:p w14:paraId="22C87974" w14:textId="45CDE003" w:rsidR="0091631A" w:rsidRPr="00B5601E" w:rsidRDefault="0091631A" w:rsidP="0091631A">
      <w:pPr>
        <w:pStyle w:val="Default"/>
        <w:spacing w:after="240"/>
        <w:jc w:val="both"/>
        <w:rPr>
          <w:bCs/>
          <w:noProof/>
          <w:color w:val="auto"/>
        </w:rPr>
      </w:pPr>
      <w:r>
        <w:rPr>
          <w:noProof/>
          <w:color w:val="auto"/>
        </w:rPr>
        <w:t xml:space="preserve">По-специално често като основен фактор се определя достъпът до инфраструктура за зареждане с електроенергия, отговаряща на експлоатационните изисквания на автомобилния парк за градска мобилност. Това може да бъде под формата както на публично достъпни зарядни точки за бавно зареждане през нощта за шофьори, които не разполагат с гараж и разчитат на паркиране на улицата, така и на зарядни точки за бързо зареждане, даващи възможност за бързо зареждане по време на кратки почивки в рамките на ежедневната работа. Друг основен елемент е предоставянето на оперативни стимули, като например разрешение за автомобилните паркове за градска мобилност с нулеви емисии да използват специални ленти или осигуряване на по-лесен достъп до паркиране. Съществуването на зони с нулеви и ниски емисии може да представлява основен фактор за ускоряването на този преход, тъй като поради необходимостта от достъп до тези зони изборът на превозно средство с нулеви емисии ще стане значително по-привлекателен. </w:t>
      </w:r>
    </w:p>
    <w:p w14:paraId="7FE82C68" w14:textId="5E084061" w:rsidR="0091631A" w:rsidRDefault="0091631A" w:rsidP="0091631A">
      <w:pPr>
        <w:pStyle w:val="Default"/>
        <w:spacing w:after="240"/>
        <w:jc w:val="both"/>
        <w:rPr>
          <w:bCs/>
          <w:noProof/>
          <w:color w:val="auto"/>
        </w:rPr>
      </w:pPr>
      <w:r>
        <w:rPr>
          <w:noProof/>
          <w:color w:val="auto"/>
        </w:rPr>
        <w:t xml:space="preserve">В допълнение към създаването на по-благоприятни условия за превозните средства с нулеви емисии в автомобилните паркове за градска мобилност местните и регионалните власти могат да играят по-пряка роля за ускоряване на прехода, като определят изисквания за дела на превозните средства с нулеви емисии, включително критерии за устойчивост на веригите на доставки, като условие за предоставяне на лицензи и концесия за тяхната експлоатация. </w:t>
      </w:r>
    </w:p>
    <w:p w14:paraId="16A85FFD" w14:textId="46CDF15D" w:rsidR="00B80DDF" w:rsidRPr="00B5601E" w:rsidRDefault="00207F3D" w:rsidP="0091631A">
      <w:pPr>
        <w:pStyle w:val="Default"/>
        <w:spacing w:after="240"/>
        <w:jc w:val="both"/>
        <w:rPr>
          <w:bCs/>
          <w:noProof/>
          <w:color w:val="auto"/>
        </w:rPr>
      </w:pPr>
      <w:r>
        <w:rPr>
          <w:noProof/>
          <w:color w:val="auto"/>
        </w:rPr>
        <w:t>Органите и операторите на обществения транспорт стоят начело на прехода към автомобилни паркове с нулеви емисии. През 2024 г. всеки трети нов градски автобус, регистриран в ЕС, е бил задвижван с акумулаторна батерия електрически автобус, което представлява най-високият дял на нови превозни средства с нулеви емисии в корпоративните автомобилни паркове, макар че публичните органи са изправени пред бюджетни ограничения при закупуването на допълнителни автобуси с нулеви емисии; ще бъде от решаващо значение да се гарантира, че са налице подходящи условия, с които да им се даде възможност да продължат да инвестират в това решение през следващите години.</w:t>
      </w:r>
    </w:p>
    <w:p w14:paraId="6E61AA4F" w14:textId="7D9AA47F" w:rsidR="00903D06" w:rsidRPr="00B5601E" w:rsidRDefault="00903D06" w:rsidP="49DE8097">
      <w:pPr>
        <w:pStyle w:val="Default"/>
        <w:pBdr>
          <w:top w:val="single" w:sz="4" w:space="1" w:color="auto"/>
          <w:left w:val="single" w:sz="4" w:space="4" w:color="auto"/>
          <w:bottom w:val="single" w:sz="4" w:space="1" w:color="auto"/>
          <w:right w:val="single" w:sz="4" w:space="4" w:color="auto"/>
        </w:pBdr>
        <w:spacing w:after="240"/>
        <w:jc w:val="both"/>
        <w:rPr>
          <w:i/>
          <w:iCs/>
          <w:noProof/>
          <w:color w:val="auto"/>
        </w:rPr>
      </w:pPr>
      <w:r>
        <w:rPr>
          <w:i/>
          <w:noProof/>
          <w:color w:val="auto"/>
        </w:rPr>
        <w:t xml:space="preserve">Комисията приканва местните и регионалните власти да включат изисквания относно дела на превозните средства с нулеви емисии в процеса на лицензиране на местни частни автомобилни паркове, например при такситата, наемането на автомобили с водач и съвместното ползване на автомобил, в това число и критерии за гарантиране на устойчивостта на веригите на доставки в съответствие с Плана за действие в областта на промишлеността за европейския автомобилен сектор, за да се осигурят благоприятни условия и да се гарантира подходящо предлагане на инфраструктура за зареждане с електроенергия, както и за да се предвидят местни стимули, например привилегии при достъпа до паркоместа или използване на специални ленти, за да може услугите, предлагани чрез превозни средства с нулеви емисии, да бъдат по-привлекателни. Освен това Комисията насърчава националните органи да подкрепят това усилие, като определят по-благоприятни данъчни условия за корпоративните превозни средства с нулеви емисии в сравнение с конвенционалните корпоративни превозни средства и като предоставят финансова подкрепа и стимули за органите и операторите на обществения транспорт, които преминават към автобуси с нулеви емисии. </w:t>
      </w:r>
    </w:p>
    <w:p w14:paraId="301CEFAA" w14:textId="3C7E774D" w:rsidR="00210D04" w:rsidRPr="00B5601E" w:rsidRDefault="00210D04" w:rsidP="00F64F4D">
      <w:pPr>
        <w:pStyle w:val="Default"/>
        <w:numPr>
          <w:ilvl w:val="1"/>
          <w:numId w:val="45"/>
        </w:numPr>
        <w:spacing w:after="240"/>
        <w:jc w:val="both"/>
        <w:rPr>
          <w:b/>
          <w:noProof/>
          <w:color w:val="auto"/>
        </w:rPr>
      </w:pPr>
      <w:r>
        <w:rPr>
          <w:b/>
          <w:noProof/>
          <w:color w:val="auto"/>
        </w:rPr>
        <w:t>Дружества за отдаване под наем: летища пионери</w:t>
      </w:r>
    </w:p>
    <w:p w14:paraId="39B5B37D" w14:textId="2AC12097" w:rsidR="00B31AF6" w:rsidRPr="00B5601E" w:rsidRDefault="00B31AF6" w:rsidP="00B31AF6">
      <w:pPr>
        <w:pStyle w:val="Default"/>
        <w:spacing w:after="240"/>
        <w:jc w:val="both"/>
        <w:rPr>
          <w:noProof/>
          <w:color w:val="auto"/>
        </w:rPr>
      </w:pPr>
      <w:r>
        <w:rPr>
          <w:noProof/>
          <w:color w:val="auto"/>
        </w:rPr>
        <w:t xml:space="preserve">Превозните средства, отдавани под наем за краткосрочно ползване (от няколко дни до няколко седмици), като тези от парковете с автомобили под наем при центрове като летища и железопътни гари, могат да бъдат особено ефективни, за да се достигне до голям брой частни водачи, да станат решенията с нулеви емисии по-видими в обществото, да се даде възможност да се изпробват нови начини на силово задвижване и да се преодолеят съществуващите опасения на потребителите, например безпокойството във връзка с пробега на тези превозни средства.  </w:t>
      </w:r>
    </w:p>
    <w:p w14:paraId="1969CF85" w14:textId="239369E9" w:rsidR="00DD0C6D" w:rsidRPr="00B5601E" w:rsidRDefault="00DD0C6D" w:rsidP="00DD0C6D">
      <w:pPr>
        <w:pStyle w:val="Default"/>
        <w:spacing w:after="240"/>
        <w:jc w:val="both"/>
        <w:rPr>
          <w:noProof/>
          <w:color w:val="auto"/>
        </w:rPr>
      </w:pPr>
      <w:r>
        <w:rPr>
          <w:noProof/>
          <w:color w:val="auto"/>
        </w:rPr>
        <w:t xml:space="preserve">Освен това наличието на автомобилни паркове от електрически превозни средства под наем на летища или други центрове за мобилност ще насърчи по-бързото разполагане на публична и частна инфраструктура за зареждане с електроенергия (напр. в хотели, конферентни центрове, туристически зони) в района, обслужван от това летище, което от своя страна ще донесе допълнителна популярност и по-бързо навлизане на превозните средства с нулеви емисии, като същевременно ще се насърчи устойчивият туризъм. </w:t>
      </w:r>
    </w:p>
    <w:p w14:paraId="0B4AE056" w14:textId="0AACFD08" w:rsidR="00DD0C6D" w:rsidRPr="00B5601E" w:rsidRDefault="00DD0C6D" w:rsidP="00DD0C6D">
      <w:pPr>
        <w:pStyle w:val="Default"/>
        <w:spacing w:after="240"/>
        <w:jc w:val="both"/>
        <w:rPr>
          <w:noProof/>
          <w:color w:val="auto"/>
        </w:rPr>
      </w:pPr>
      <w:r>
        <w:rPr>
          <w:noProof/>
          <w:color w:val="auto"/>
        </w:rPr>
        <w:t>От друга страна капацитетът на летищните автомобилни паркове за преход към превозни средства с нулеви емисии може да бъде ограничен от местни фактори, като например наличната инфраструктура за зареждане с електроенергия.</w:t>
      </w:r>
    </w:p>
    <w:p w14:paraId="528CED80" w14:textId="7151F9FC" w:rsidR="00DD0C6D" w:rsidRPr="00B5601E" w:rsidRDefault="00DD0C6D" w:rsidP="00DD0C6D">
      <w:pPr>
        <w:pStyle w:val="Default"/>
        <w:spacing w:after="240"/>
        <w:jc w:val="both"/>
        <w:rPr>
          <w:noProof/>
          <w:color w:val="auto"/>
        </w:rPr>
      </w:pPr>
      <w:r>
        <w:rPr>
          <w:noProof/>
          <w:color w:val="auto"/>
        </w:rPr>
        <w:t>Когато се преминава към електрически превозни средства, изпълнението на някои от тези оперативни изисквания ще изисква допълнителни усилия в краткосрочен план. Настоящата бърза последователност на наемане при автомобилите под наем не може да се гарантира само с бавно зареждане; за да се избегнат дългите чакания за получаване на автомобил под наем, ще е необходимо да се използват устройства за бързо зареждане. Освен това е вероятно повече превозни средства да бъдат връщани без изцяло заредена батерия поради настоящата сравнително ограничена инфраструктура за зареждане с електроенергия в близост до летището; съответно повече превозни средства ще трябва да бъдат зареждани в самите центрове за автомобили под наем.</w:t>
      </w:r>
    </w:p>
    <w:p w14:paraId="0380326D" w14:textId="482BAD30" w:rsidR="00DD0C6D" w:rsidRPr="00B5601E" w:rsidRDefault="00DD0C6D" w:rsidP="00DD0C6D">
      <w:pPr>
        <w:pStyle w:val="Default"/>
        <w:spacing w:after="240"/>
        <w:jc w:val="both"/>
        <w:rPr>
          <w:noProof/>
          <w:color w:val="auto"/>
        </w:rPr>
      </w:pPr>
      <w:r>
        <w:rPr>
          <w:noProof/>
          <w:color w:val="auto"/>
        </w:rPr>
        <w:t>Следователно дружествата, експлоатиращи големи автомобилни паркове с автомобили под наем на летищата, ще се нуждаят от множество зарядни точки за бързо или свръхбързо зареждане, както и от модернизиране на свързването към електроенергийната мрежа, за да се гарантира необходимата мощност; необходимостта от модернизиране на свързването към електроенергийната мрежа ще стане още по-належаща, когато множество дружества за отдаване на автомобили под наем работят в рамките на едни и същи съоръжения — какъвто е случаят на повечето летища. Разполагането на инфраструктура за зареждане с електроенергия в летищните центрове за отдаване на автомобили под наем обикновено не е под прекия контрол на тези дружества, а трябва да се гарантира от летището.</w:t>
      </w:r>
    </w:p>
    <w:p w14:paraId="1B08D9E4" w14:textId="2E16E7B8" w:rsidR="00B31AF6" w:rsidRPr="00B5601E" w:rsidRDefault="00B31AF6" w:rsidP="00B31AF6">
      <w:pPr>
        <w:pStyle w:val="Default"/>
        <w:spacing w:after="240"/>
        <w:jc w:val="both"/>
        <w:rPr>
          <w:noProof/>
          <w:color w:val="auto"/>
        </w:rPr>
      </w:pPr>
      <w:r>
        <w:rPr>
          <w:noProof/>
          <w:color w:val="auto"/>
        </w:rPr>
        <w:t>Следователно ускореното разполагане на инфраструктура за зареждане с електроенергия и внедряването на превозни средства с нулеви емисии в автомобилните паркове от автомобили под наем зависи от съгласуваните действия на летището и различните дружества за отдаване на автомобили под наем, работещи в зоната на летището.</w:t>
      </w:r>
    </w:p>
    <w:p w14:paraId="68F8E485" w14:textId="2973C8A4" w:rsidR="00203DC5" w:rsidRPr="00B5601E" w:rsidRDefault="00F81313" w:rsidP="49DE8097">
      <w:pPr>
        <w:pStyle w:val="Default"/>
        <w:pBdr>
          <w:top w:val="single" w:sz="4" w:space="1" w:color="auto"/>
          <w:left w:val="single" w:sz="4" w:space="4" w:color="auto"/>
          <w:bottom w:val="single" w:sz="4" w:space="1" w:color="auto"/>
          <w:right w:val="single" w:sz="4" w:space="4" w:color="auto"/>
        </w:pBdr>
        <w:spacing w:after="240"/>
        <w:jc w:val="both"/>
        <w:rPr>
          <w:noProof/>
          <w:color w:val="auto"/>
        </w:rPr>
      </w:pPr>
      <w:r>
        <w:rPr>
          <w:i/>
          <w:noProof/>
          <w:color w:val="auto"/>
        </w:rPr>
        <w:t>До третото тримесечие на 2025 г. Комисията ще стартира инициатива, насочена към ускореното внедряване на превозни средства с нулеви емисии в избрани летищни автомобилни паркове от автомобили под наем въз основа на доброволни ангажименти от участващите летища и дружества за отдаване на автомобили под наем за осигуряване на модернизирано свързване към електроенергийната мрежа и за улесняване на разгръщането на инфраструктура за зареждане с електроенергия, използвана от дружествата за отдаване на автомобили под наем на летищата. Като втора стъпка може да се обмисли възможността за включване на други центрове за мобилност, като например железопътни гари.</w:t>
      </w:r>
    </w:p>
    <w:p w14:paraId="3D0B0A3D" w14:textId="77777777" w:rsidR="00253428" w:rsidRPr="00183F7C" w:rsidRDefault="00253428" w:rsidP="00253428">
      <w:pPr>
        <w:pStyle w:val="Default"/>
        <w:spacing w:after="240"/>
        <w:ind w:left="360"/>
        <w:jc w:val="both"/>
        <w:rPr>
          <w:b/>
          <w:bCs/>
          <w:noProof/>
          <w:color w:val="auto"/>
        </w:rPr>
      </w:pPr>
    </w:p>
    <w:p w14:paraId="11F23C5F" w14:textId="24C88E62" w:rsidR="007574C7" w:rsidRPr="00B5601E" w:rsidRDefault="00F16137" w:rsidP="00187B84">
      <w:pPr>
        <w:pStyle w:val="Default"/>
        <w:numPr>
          <w:ilvl w:val="0"/>
          <w:numId w:val="37"/>
        </w:numPr>
        <w:spacing w:after="240"/>
        <w:jc w:val="both"/>
        <w:rPr>
          <w:b/>
          <w:bCs/>
          <w:noProof/>
          <w:color w:val="auto"/>
        </w:rPr>
      </w:pPr>
      <w:r>
        <w:rPr>
          <w:b/>
          <w:noProof/>
          <w:color w:val="auto"/>
        </w:rPr>
        <w:t>СЛЕДВАЩИ СТЪПКИ</w:t>
      </w:r>
    </w:p>
    <w:p w14:paraId="4CA5110B" w14:textId="1C2C2095" w:rsidR="0052569D" w:rsidRPr="00B5601E" w:rsidRDefault="003D2C40" w:rsidP="007B59D0">
      <w:pPr>
        <w:pStyle w:val="Default"/>
        <w:spacing w:after="240"/>
        <w:jc w:val="both"/>
        <w:rPr>
          <w:noProof/>
          <w:color w:val="auto"/>
        </w:rPr>
      </w:pPr>
      <w:r>
        <w:rPr>
          <w:noProof/>
          <w:color w:val="auto"/>
        </w:rPr>
        <w:t>По-големият дял на превозните средства с нулеви емисии в корпоративните автомобилни паркове може значително да спомогне за намаляването на емисиите, да направи по-конкурентоспособни европейските производители на оригинално оборудване и, ако това нарастване е придружено от подходящи политики</w:t>
      </w:r>
      <w:r w:rsidR="00EE45A3">
        <w:rPr>
          <w:rStyle w:val="FootnoteReference"/>
          <w:noProof/>
          <w:color w:val="auto"/>
          <w:lang w:val="en-IE"/>
        </w:rPr>
        <w:footnoteReference w:id="14"/>
      </w:r>
      <w:r>
        <w:rPr>
          <w:noProof/>
          <w:color w:val="auto"/>
        </w:rPr>
        <w:t xml:space="preserve">, то може също да бъде от полза и за справедливия преход към климатична неутралност. Вече са налице действия, които могат да бъдат предприети на национално, регионално и местно равнище по отношение на различни видове корпоративни автомобилни паркове и да донесат непосредствени ползи, но законодателната инициатива може да осигури необходимата правна рамка в дългосрочен план за целия автомобилен сектор. </w:t>
      </w:r>
    </w:p>
    <w:p w14:paraId="294456B8" w14:textId="709F44F7" w:rsidR="00C13C86" w:rsidRPr="00B5601E" w:rsidRDefault="00C13C86" w:rsidP="00C13C86">
      <w:pPr>
        <w:pStyle w:val="Default"/>
        <w:spacing w:after="240"/>
        <w:jc w:val="both"/>
        <w:rPr>
          <w:noProof/>
          <w:color w:val="auto"/>
        </w:rPr>
      </w:pPr>
      <w:r>
        <w:rPr>
          <w:noProof/>
          <w:color w:val="auto"/>
        </w:rPr>
        <w:t xml:space="preserve">В подготвителната работа за законодателната инициатива, която ще бъде представена до края на 2025 г., Комисията ще се основава на резултатите от откритата обществена консултация относно общите проблеми и целесъобразността на възможните мерки, която Комисията проведе още през 2024 г. </w:t>
      </w:r>
    </w:p>
    <w:p w14:paraId="37ECF885" w14:textId="7C393EF4" w:rsidR="00A3175D" w:rsidRPr="00B5601E" w:rsidRDefault="00572C65" w:rsidP="00AE0380">
      <w:pPr>
        <w:pStyle w:val="Default"/>
        <w:spacing w:after="240"/>
        <w:jc w:val="both"/>
        <w:rPr>
          <w:noProof/>
          <w:color w:val="auto"/>
        </w:rPr>
      </w:pPr>
      <w:r>
        <w:rPr>
          <w:noProof/>
          <w:color w:val="auto"/>
        </w:rPr>
        <w:t xml:space="preserve">По време на консултацията не беше постигнат ясен консенсус по отношение на обхвата и вида на мярката за евентуална европейска инициатива. Резултатите от откритата обществена консултация, както и от диалозите в областта на автомобилната промишленост, проведени през последния месец, подчертават целесъобразността на текущия диалог със съответните заинтересовани страни. Ето защо в допълнение към процедурата за оценка на въздействието на предложението Комисията ще започне </w:t>
      </w:r>
      <w:r>
        <w:rPr>
          <w:b/>
          <w:noProof/>
          <w:color w:val="auto"/>
        </w:rPr>
        <w:t>диалог на високо равнище</w:t>
      </w:r>
      <w:r>
        <w:rPr>
          <w:noProof/>
          <w:color w:val="auto"/>
        </w:rPr>
        <w:t xml:space="preserve"> със съответните заинтересовани страни, считано от второто тримесечие на 2025 г., за да обсъди съответните мерки и варианти за действие по отношение на корпоративните автомобилни паркове, както и динамиката и нуждите на пазара. Така ще се предостави възможност за допълнителен обмен и сътрудничество за задействане на всички съответни участници на национално и европейско равнище с оглед ускореното внедряване на превозни средства с нулеви емисии в корпоративните автомобилни паркове. </w:t>
      </w:r>
    </w:p>
    <w:p w14:paraId="5CBB0C05" w14:textId="413A80A9" w:rsidR="00245953" w:rsidRPr="00B5601E" w:rsidRDefault="00A3175D" w:rsidP="00A3175D">
      <w:pPr>
        <w:pStyle w:val="Default"/>
        <w:spacing w:after="240"/>
        <w:jc w:val="both"/>
        <w:rPr>
          <w:noProof/>
          <w:color w:val="auto"/>
        </w:rPr>
      </w:pPr>
      <w:r>
        <w:rPr>
          <w:noProof/>
          <w:color w:val="auto"/>
        </w:rPr>
        <w:t xml:space="preserve">При подготовката на </w:t>
      </w:r>
      <w:r>
        <w:rPr>
          <w:b/>
          <w:noProof/>
          <w:color w:val="auto"/>
        </w:rPr>
        <w:t>законодателната инициатива</w:t>
      </w:r>
      <w:r>
        <w:rPr>
          <w:noProof/>
          <w:color w:val="auto"/>
        </w:rPr>
        <w:t xml:space="preserve"> Комисията ще разгледа различни аспекти, включително вида на субектите, превозните средства и автомобилните паркове, които ще бъдат приоритетни, равнището на амбиция, въздействието върху замърсяването на въздуха, териториалното измерение, оценката на технологиите и въздействието на масата и обемите върху емисиите, както и необходимостта от гарантиране на конкурентоспособността, като същевременно се ограничи докладването и административната тежест за предприятията и особено за МСП, които представляват по-голямата част от участниците при някои видове корпоративни превозни средства — в съответствие с приоритетите на компаса за конкурентоспособността. </w:t>
      </w:r>
    </w:p>
    <w:p w14:paraId="2A500B97" w14:textId="020D1579" w:rsidR="00BA68BF" w:rsidRPr="00B5601E" w:rsidRDefault="00BA68BF" w:rsidP="007B59D0">
      <w:pPr>
        <w:pStyle w:val="Default"/>
        <w:spacing w:after="240"/>
        <w:jc w:val="both"/>
        <w:rPr>
          <w:noProof/>
          <w:color w:val="auto"/>
        </w:rPr>
      </w:pPr>
      <w:r>
        <w:rPr>
          <w:noProof/>
          <w:color w:val="auto"/>
        </w:rPr>
        <w:t xml:space="preserve">Важно е при вариантите надлежно да се отчитат регионалните и други особености и да се признае, че всички мерки трябва да вървят паралелно с подходящи стимули и да бъдат съобразени с общия финансов капацитет за разгръщане на подходяща инфраструктура за зареждане с електроенергия. </w:t>
      </w:r>
    </w:p>
    <w:p w14:paraId="6E9159F9" w14:textId="01E198D7" w:rsidR="000E34E8" w:rsidRPr="00B5601E" w:rsidRDefault="000E34E8" w:rsidP="007B59D0">
      <w:pPr>
        <w:pStyle w:val="Default"/>
        <w:spacing w:after="240"/>
        <w:jc w:val="both"/>
        <w:rPr>
          <w:noProof/>
          <w:color w:val="000000" w:themeColor="text1"/>
        </w:rPr>
      </w:pPr>
      <w:r>
        <w:rPr>
          <w:noProof/>
          <w:color w:val="auto"/>
        </w:rPr>
        <w:t>Внедряването на превозни средства с нулеви емисии в корпоративните автомобилни паркове ще бъде подпомогнато от други действия, насочени към най-ефективното използване на подкрепата за закупуване на национално равнище. В съответствие с действията, обявени в нейния План за действие в областта на промишлеността за европейския автомобилен сектор, Комисията възнамерява да работи в тясно сътрудничество с държавите членки по данъчните режими и стимулите за служебните автомобили, включително за съгласуване на възможните подходи и изготвяне на общи критерии (напр. устойчивост и издръжливост) във връзка с националните стимули за корпоративните автомобилни паркове.</w:t>
      </w:r>
      <w:r>
        <w:rPr>
          <w:noProof/>
          <w:color w:val="000000" w:themeColor="text1"/>
        </w:rPr>
        <w:t xml:space="preserve"> От съществено значение е държавите членки да започнат, когато е уместно, бързи действия за изготвяне на благоприятни данъчни условия за превозните средства с нулеви емисии. </w:t>
      </w:r>
    </w:p>
    <w:p w14:paraId="333D46F9" w14:textId="4AE87424" w:rsidR="007B59D0" w:rsidRPr="00183F7C" w:rsidRDefault="007B59D0" w:rsidP="00F74B3C">
      <w:pPr>
        <w:spacing w:after="160" w:line="259" w:lineRule="auto"/>
        <w:rPr>
          <w:rFonts w:ascii="Times New Roman" w:hAnsi="Times New Roman" w:cs="Times New Roman"/>
          <w:noProof/>
          <w:sz w:val="24"/>
          <w:szCs w:val="24"/>
        </w:rPr>
      </w:pPr>
    </w:p>
    <w:sectPr w:rsidR="007B59D0" w:rsidRPr="00183F7C" w:rsidSect="00DA69B2">
      <w:headerReference w:type="even" r:id="rId15"/>
      <w:headerReference w:type="default" r:id="rId16"/>
      <w:footerReference w:type="even" r:id="rId17"/>
      <w:footerReference w:type="default" r:id="rId18"/>
      <w:headerReference w:type="first" r:id="rId19"/>
      <w:footerReference w:type="first" r:id="rId20"/>
      <w:pgSz w:w="11906" w:h="16838"/>
      <w:pgMar w:top="993" w:right="1274"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5B00A" w14:textId="77777777" w:rsidR="00065D51" w:rsidRDefault="00065D51" w:rsidP="00E41092">
      <w:r>
        <w:separator/>
      </w:r>
    </w:p>
  </w:endnote>
  <w:endnote w:type="continuationSeparator" w:id="0">
    <w:p w14:paraId="638FE9A0" w14:textId="77777777" w:rsidR="00065D51" w:rsidRDefault="00065D51" w:rsidP="00E41092">
      <w:r>
        <w:continuationSeparator/>
      </w:r>
    </w:p>
  </w:endnote>
  <w:endnote w:type="continuationNotice" w:id="1">
    <w:p w14:paraId="33EF8A7C" w14:textId="77777777" w:rsidR="00065D51" w:rsidRDefault="00065D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A6987" w14:textId="2261FB79" w:rsidR="00E701CF" w:rsidRPr="00E701CF" w:rsidRDefault="00E701CF" w:rsidP="00E701CF">
    <w:pPr>
      <w:pStyle w:val="FooterCoverPage"/>
      <w:rPr>
        <w:rFonts w:ascii="Arial" w:hAnsi="Arial" w:cs="Arial"/>
        <w:b/>
        <w:sz w:val="48"/>
      </w:rPr>
    </w:pPr>
    <w:r w:rsidRPr="00E701CF">
      <w:rPr>
        <w:rFonts w:ascii="Arial" w:hAnsi="Arial" w:cs="Arial"/>
        <w:b/>
        <w:sz w:val="48"/>
      </w:rPr>
      <w:t>BG</w:t>
    </w:r>
    <w:r w:rsidRPr="00E701CF">
      <w:rPr>
        <w:rFonts w:ascii="Arial" w:hAnsi="Arial" w:cs="Arial"/>
        <w:b/>
        <w:sz w:val="48"/>
      </w:rPr>
      <w:tab/>
    </w:r>
    <w:r w:rsidRPr="00E701CF">
      <w:rPr>
        <w:rFonts w:ascii="Arial" w:hAnsi="Arial" w:cs="Arial"/>
        <w:b/>
        <w:sz w:val="48"/>
      </w:rPr>
      <w:tab/>
    </w:r>
    <w:r w:rsidRPr="00E701CF">
      <w:tab/>
    </w:r>
    <w:r w:rsidRPr="00E701CF">
      <w:rPr>
        <w:rFonts w:ascii="Arial" w:hAnsi="Arial" w:cs="Arial"/>
        <w:b/>
        <w:sz w:val="48"/>
      </w:rPr>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33E62" w14:textId="529B7366" w:rsidR="00E701CF" w:rsidRPr="00E701CF" w:rsidRDefault="00E701CF" w:rsidP="00E701CF">
    <w:pPr>
      <w:pStyle w:val="FooterCoverPage"/>
      <w:rPr>
        <w:rFonts w:ascii="Arial" w:hAnsi="Arial" w:cs="Arial"/>
        <w:b/>
        <w:sz w:val="48"/>
      </w:rPr>
    </w:pPr>
    <w:r w:rsidRPr="00E701CF">
      <w:rPr>
        <w:rFonts w:ascii="Arial" w:hAnsi="Arial" w:cs="Arial"/>
        <w:b/>
        <w:sz w:val="48"/>
      </w:rPr>
      <w:t>BG</w:t>
    </w:r>
    <w:r w:rsidRPr="00E701CF">
      <w:rPr>
        <w:rFonts w:ascii="Arial" w:hAnsi="Arial" w:cs="Arial"/>
        <w:b/>
        <w:sz w:val="48"/>
      </w:rPr>
      <w:tab/>
    </w:r>
    <w:r w:rsidRPr="00E701CF">
      <w:rPr>
        <w:rFonts w:ascii="Arial" w:hAnsi="Arial" w:cs="Arial"/>
        <w:b/>
        <w:sz w:val="48"/>
      </w:rPr>
      <w:tab/>
    </w:r>
    <w:r w:rsidRPr="00E701CF">
      <w:tab/>
    </w:r>
    <w:r w:rsidRPr="00E701CF">
      <w:rPr>
        <w:rFonts w:ascii="Arial" w:hAnsi="Arial" w:cs="Arial"/>
        <w:b/>
        <w:sz w:val="48"/>
      </w:rPr>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08393" w14:textId="77777777" w:rsidR="00E701CF" w:rsidRPr="00E701CF" w:rsidRDefault="00E701CF" w:rsidP="00E701C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8B16D" w14:textId="77777777" w:rsidR="00DA69B2" w:rsidRDefault="00DA69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606392"/>
      <w:docPartObj>
        <w:docPartGallery w:val="Page Numbers (Bottom of Page)"/>
        <w:docPartUnique/>
      </w:docPartObj>
    </w:sdtPr>
    <w:sdtEndPr>
      <w:rPr>
        <w:noProof/>
      </w:rPr>
    </w:sdtEndPr>
    <w:sdtContent>
      <w:p w14:paraId="6511AC06" w14:textId="1FDEB913" w:rsidR="00DA69B2" w:rsidRDefault="00DA69B2">
        <w:pPr>
          <w:pStyle w:val="Footer"/>
          <w:jc w:val="center"/>
        </w:pPr>
        <w:r>
          <w:fldChar w:fldCharType="begin"/>
        </w:r>
        <w:r>
          <w:instrText xml:space="preserve"> PAGE   \* MERGEFORMAT </w:instrText>
        </w:r>
        <w:r>
          <w:fldChar w:fldCharType="separate"/>
        </w:r>
        <w:r w:rsidR="00E701CF">
          <w:rPr>
            <w:noProof/>
          </w:rPr>
          <w:t>8</w:t>
        </w:r>
        <w:r>
          <w:fldChar w:fldCharType="end"/>
        </w:r>
      </w:p>
    </w:sdtContent>
  </w:sdt>
  <w:p w14:paraId="7201556B" w14:textId="77777777" w:rsidR="00DA69B2" w:rsidRDefault="00DA69B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7A649" w14:textId="77777777" w:rsidR="00DA69B2" w:rsidRDefault="00DA69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31CB4" w14:textId="77777777" w:rsidR="00065D51" w:rsidRDefault="00065D51" w:rsidP="00E41092">
      <w:r>
        <w:separator/>
      </w:r>
    </w:p>
  </w:footnote>
  <w:footnote w:type="continuationSeparator" w:id="0">
    <w:p w14:paraId="25AD9BE3" w14:textId="77777777" w:rsidR="00065D51" w:rsidRDefault="00065D51" w:rsidP="00E41092">
      <w:r>
        <w:continuationSeparator/>
      </w:r>
    </w:p>
  </w:footnote>
  <w:footnote w:type="continuationNotice" w:id="1">
    <w:p w14:paraId="509B1704" w14:textId="77777777" w:rsidR="00065D51" w:rsidRDefault="00065D51"/>
  </w:footnote>
  <w:footnote w:id="2">
    <w:p w14:paraId="02D05BFF" w14:textId="495E7094" w:rsidR="009566AA" w:rsidRPr="00636009" w:rsidRDefault="009566A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Регламент (ЕС) 2019/631 </w:t>
      </w:r>
    </w:p>
  </w:footnote>
  <w:footnote w:id="3">
    <w:p w14:paraId="322F7EC1" w14:textId="15D8B913" w:rsidR="00AF3F42" w:rsidRPr="00AF3F42" w:rsidRDefault="00AF3F42">
      <w:pPr>
        <w:pStyle w:val="FootnoteText"/>
      </w:pPr>
      <w:r>
        <w:rPr>
          <w:rStyle w:val="FootnoteReference"/>
          <w:rFonts w:ascii="Times New Roman" w:hAnsi="Times New Roman" w:cs="Times New Roman"/>
        </w:rPr>
        <w:footnoteRef/>
      </w:r>
      <w:r>
        <w:rPr>
          <w:rFonts w:ascii="Times New Roman" w:hAnsi="Times New Roman"/>
        </w:rPr>
        <w:t xml:space="preserve"> Регламент (ЕС) 2019/1242</w:t>
      </w:r>
    </w:p>
  </w:footnote>
  <w:footnote w:id="4">
    <w:p w14:paraId="65646DE1" w14:textId="33E5FEB8" w:rsidR="00F176A2" w:rsidRPr="00636009" w:rsidRDefault="00F176A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С изключение на </w:t>
      </w:r>
      <w:r>
        <w:rPr>
          <w:rFonts w:ascii="Times New Roman" w:hAnsi="Times New Roman"/>
          <w:i/>
        </w:rPr>
        <w:t>inter alia</w:t>
      </w:r>
      <w:r>
        <w:rPr>
          <w:rFonts w:ascii="Times New Roman" w:hAnsi="Times New Roman"/>
        </w:rPr>
        <w:t xml:space="preserve"> линейки, пожарни коли и др.</w:t>
      </w:r>
    </w:p>
  </w:footnote>
  <w:footnote w:id="5">
    <w:p w14:paraId="703EB26B" w14:textId="77777777" w:rsidR="00035755" w:rsidRPr="00636009" w:rsidRDefault="00035755" w:rsidP="0003575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rPr>
        <w:t>Съществува известно припокриване между тази и други категории корпоративни автомобилни паркове, тъй като например служебните автомобили или професионалните автомобилни паркове често се набавят на лизинг.</w:t>
      </w:r>
    </w:p>
  </w:footnote>
  <w:footnote w:id="6">
    <w:p w14:paraId="7E931460" w14:textId="646117EC" w:rsidR="00FB0C92" w:rsidRPr="00FB0C92" w:rsidRDefault="00FB0C92">
      <w:pPr>
        <w:pStyle w:val="FootnoteText"/>
      </w:pPr>
      <w:r>
        <w:rPr>
          <w:rStyle w:val="FootnoteReference"/>
          <w:rFonts w:ascii="Times New Roman" w:hAnsi="Times New Roman" w:cs="Times New Roman"/>
        </w:rPr>
        <w:footnoteRef/>
      </w:r>
      <w:r>
        <w:rPr>
          <w:rFonts w:ascii="Times New Roman" w:hAnsi="Times New Roman"/>
        </w:rPr>
        <w:t xml:space="preserve"> Dataforce (2024 г.)</w:t>
      </w:r>
    </w:p>
  </w:footnote>
  <w:footnote w:id="7">
    <w:p w14:paraId="2DEA1506" w14:textId="05574526" w:rsidR="00444040" w:rsidRPr="00636009" w:rsidRDefault="0044404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Fonts w:ascii="Times New Roman" w:hAnsi="Times New Roman"/>
            <w:color w:val="0000FF"/>
            <w:u w:val="single"/>
          </w:rPr>
          <w:t>ООК — Екологизиране на корпоративните автомобилни паркове</w:t>
        </w:r>
      </w:hyperlink>
      <w:r>
        <w:rPr>
          <w:rFonts w:ascii="Aptos" w:hAnsi="Aptos"/>
          <w:sz w:val="22"/>
        </w:rPr>
        <w:t xml:space="preserve"> </w:t>
      </w:r>
    </w:p>
  </w:footnote>
  <w:footnote w:id="8">
    <w:p w14:paraId="6A33E4E5" w14:textId="77777777" w:rsidR="00134942" w:rsidRPr="00D94485" w:rsidRDefault="00134942" w:rsidP="00134942">
      <w:pPr>
        <w:pStyle w:val="FootnoteText"/>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color w:val="auto"/>
          </w:rPr>
          <w:t>Loi du 25 novembre 2021 organisant le verdissement fiscal et social de la mobilité, официално в сила от януари 2023 г.</w:t>
        </w:r>
      </w:hyperlink>
    </w:p>
  </w:footnote>
  <w:footnote w:id="9">
    <w:p w14:paraId="270F563B" w14:textId="77777777" w:rsidR="00691046" w:rsidRPr="00636009" w:rsidRDefault="00691046" w:rsidP="0069104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През 2023 г. собствениците на новопридобити електрически превозни средства са могли да се възползват от ускорената амортизация с удвоена стандартна ставка. </w:t>
      </w:r>
    </w:p>
  </w:footnote>
  <w:footnote w:id="10">
    <w:p w14:paraId="126BED8D" w14:textId="77777777" w:rsidR="00691046" w:rsidRPr="00636009" w:rsidRDefault="00691046" w:rsidP="0069104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Испания, Кралски указ 4/2024 </w:t>
      </w:r>
    </w:p>
  </w:footnote>
  <w:footnote w:id="11">
    <w:p w14:paraId="51850513" w14:textId="77777777" w:rsidR="00691046" w:rsidRPr="0087710A" w:rsidRDefault="00691046" w:rsidP="00691046">
      <w:pPr>
        <w:pStyle w:val="FootnoteText"/>
      </w:pPr>
      <w:r>
        <w:rPr>
          <w:rStyle w:val="FootnoteReference"/>
          <w:rFonts w:ascii="Times New Roman" w:hAnsi="Times New Roman" w:cs="Times New Roman"/>
        </w:rPr>
        <w:footnoteRef/>
      </w:r>
      <w:r>
        <w:rPr>
          <w:rFonts w:ascii="Times New Roman" w:hAnsi="Times New Roman"/>
        </w:rPr>
        <w:t>Раздел 30а, чл. 1 от Акт. 1 на Закон № 586/1992 Coll. относно данъците върху доходите, с измененията.</w:t>
      </w:r>
    </w:p>
  </w:footnote>
  <w:footnote w:id="12">
    <w:p w14:paraId="2A8246A6" w14:textId="03C2E5F3" w:rsidR="49DE8097" w:rsidRPr="00636009" w:rsidRDefault="49DE8097" w:rsidP="00FC355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Регламент (ЕС) 2023/1804</w:t>
      </w:r>
    </w:p>
  </w:footnote>
  <w:footnote w:id="13">
    <w:p w14:paraId="18FD5E29" w14:textId="389562D5" w:rsidR="00B456C1" w:rsidRPr="00937204" w:rsidRDefault="00B456C1">
      <w:pPr>
        <w:pStyle w:val="FootnoteText"/>
        <w:rPr>
          <w:rFonts w:ascii="Times New Roman" w:hAnsi="Times New Roman" w:cs="Times New Roman"/>
        </w:rPr>
      </w:pPr>
      <w:r>
        <w:rPr>
          <w:rStyle w:val="FootnoteReference"/>
        </w:rPr>
        <w:footnoteRef/>
      </w:r>
      <w:r>
        <w:t xml:space="preserve"> </w:t>
      </w:r>
      <w:hyperlink r:id="rId3" w:history="1">
        <w:r>
          <w:rPr>
            <w:rStyle w:val="Hyperlink"/>
            <w:rFonts w:ascii="Times New Roman" w:hAnsi="Times New Roman"/>
          </w:rPr>
          <w:t>Company car fossil fuel subsidies in Europe [„Субсидии за изкопаеми горива за служебни автомобили в Европа“]</w:t>
        </w:r>
      </w:hyperlink>
      <w:r>
        <w:rPr>
          <w:rFonts w:ascii="Times New Roman" w:hAnsi="Times New Roman"/>
        </w:rPr>
        <w:t>, T&amp;E 2024 г.</w:t>
      </w:r>
    </w:p>
  </w:footnote>
  <w:footnote w:id="14">
    <w:p w14:paraId="2AF34BB2" w14:textId="3C4B749B" w:rsidR="00EE45A3" w:rsidRPr="00636009" w:rsidRDefault="00EE45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Включително данъчни и социални политики в съответствие с Препоръката на Съвета от 16 юни 2022 г. относно гарантирането на справедлив преход към неутралност по отношение на климата.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68618" w14:textId="77777777" w:rsidR="00E701CF" w:rsidRPr="00E701CF" w:rsidRDefault="00E701CF" w:rsidP="00E701C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C7C13" w14:textId="77777777" w:rsidR="00E701CF" w:rsidRPr="00E701CF" w:rsidRDefault="00E701CF" w:rsidP="00E701C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1E4DD" w14:textId="77777777" w:rsidR="00E701CF" w:rsidRPr="00E701CF" w:rsidRDefault="00E701CF" w:rsidP="00E701C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AD24" w14:textId="77777777" w:rsidR="00DA69B2" w:rsidRDefault="00DA69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B1559" w14:textId="77777777" w:rsidR="00DA69B2" w:rsidRDefault="00DA69B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0C40D" w14:textId="77777777" w:rsidR="00DA69B2" w:rsidRDefault="00DA6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16C24"/>
    <w:multiLevelType w:val="multilevel"/>
    <w:tmpl w:val="1ADCCBFE"/>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094E1E"/>
    <w:multiLevelType w:val="hybridMultilevel"/>
    <w:tmpl w:val="2A009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527D7"/>
    <w:multiLevelType w:val="hybridMultilevel"/>
    <w:tmpl w:val="673A8F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0D7130"/>
    <w:multiLevelType w:val="hybridMultilevel"/>
    <w:tmpl w:val="3D684D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2E6CD5"/>
    <w:multiLevelType w:val="hybridMultilevel"/>
    <w:tmpl w:val="0A4411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17BCF"/>
    <w:multiLevelType w:val="hybridMultilevel"/>
    <w:tmpl w:val="A5A42850"/>
    <w:lvl w:ilvl="0" w:tplc="ABA69626">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0B5A2C15"/>
    <w:multiLevelType w:val="hybridMultilevel"/>
    <w:tmpl w:val="8B7217DC"/>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8E6F43"/>
    <w:multiLevelType w:val="multilevel"/>
    <w:tmpl w:val="B30AFA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A8C2039"/>
    <w:multiLevelType w:val="multilevel"/>
    <w:tmpl w:val="F31651BC"/>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Theme="minorHAnsi" w:hAnsi="Times New Roman" w:cs="Times New Roman"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33B7F"/>
    <w:multiLevelType w:val="hybridMultilevel"/>
    <w:tmpl w:val="62E45C8E"/>
    <w:lvl w:ilvl="0" w:tplc="18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BCA4D33"/>
    <w:multiLevelType w:val="hybridMultilevel"/>
    <w:tmpl w:val="CCE8738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FF41260"/>
    <w:multiLevelType w:val="hybridMultilevel"/>
    <w:tmpl w:val="20A0069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4A80982"/>
    <w:multiLevelType w:val="hybridMultilevel"/>
    <w:tmpl w:val="EE608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5A435D6"/>
    <w:multiLevelType w:val="hybridMultilevel"/>
    <w:tmpl w:val="1316A8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5C958FA"/>
    <w:multiLevelType w:val="multilevel"/>
    <w:tmpl w:val="79A8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BF360D"/>
    <w:multiLevelType w:val="hybridMultilevel"/>
    <w:tmpl w:val="7B9EC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E71132"/>
    <w:multiLevelType w:val="multilevel"/>
    <w:tmpl w:val="DF2E829A"/>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8BA1B02"/>
    <w:multiLevelType w:val="hybridMultilevel"/>
    <w:tmpl w:val="C6C2728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A941B01"/>
    <w:multiLevelType w:val="hybridMultilevel"/>
    <w:tmpl w:val="69CE6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001CF"/>
    <w:multiLevelType w:val="hybridMultilevel"/>
    <w:tmpl w:val="7A0EDB1A"/>
    <w:lvl w:ilvl="0" w:tplc="0C1E547A">
      <w:start w:val="16"/>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B8A0C26"/>
    <w:multiLevelType w:val="multilevel"/>
    <w:tmpl w:val="64FA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C1C4391"/>
    <w:multiLevelType w:val="hybridMultilevel"/>
    <w:tmpl w:val="1FC2DF1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1B62035"/>
    <w:multiLevelType w:val="hybridMultilevel"/>
    <w:tmpl w:val="E110CD6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2627EB1"/>
    <w:multiLevelType w:val="hybridMultilevel"/>
    <w:tmpl w:val="27B0FC4E"/>
    <w:lvl w:ilvl="0" w:tplc="18090001">
      <w:start w:val="1"/>
      <w:numFmt w:val="bullet"/>
      <w:lvlText w:val=""/>
      <w:lvlJc w:val="left"/>
      <w:pPr>
        <w:ind w:left="840" w:hanging="360"/>
      </w:pPr>
      <w:rPr>
        <w:rFonts w:ascii="Symbol" w:hAnsi="Symbol" w:hint="default"/>
      </w:rPr>
    </w:lvl>
    <w:lvl w:ilvl="1" w:tplc="18090003" w:tentative="1">
      <w:start w:val="1"/>
      <w:numFmt w:val="bullet"/>
      <w:lvlText w:val="o"/>
      <w:lvlJc w:val="left"/>
      <w:pPr>
        <w:ind w:left="1560" w:hanging="360"/>
      </w:pPr>
      <w:rPr>
        <w:rFonts w:ascii="Courier New" w:hAnsi="Courier New" w:cs="Courier New" w:hint="default"/>
      </w:rPr>
    </w:lvl>
    <w:lvl w:ilvl="2" w:tplc="18090005" w:tentative="1">
      <w:start w:val="1"/>
      <w:numFmt w:val="bullet"/>
      <w:lvlText w:val=""/>
      <w:lvlJc w:val="left"/>
      <w:pPr>
        <w:ind w:left="2280" w:hanging="360"/>
      </w:pPr>
      <w:rPr>
        <w:rFonts w:ascii="Wingdings" w:hAnsi="Wingdings" w:hint="default"/>
      </w:rPr>
    </w:lvl>
    <w:lvl w:ilvl="3" w:tplc="18090001" w:tentative="1">
      <w:start w:val="1"/>
      <w:numFmt w:val="bullet"/>
      <w:lvlText w:val=""/>
      <w:lvlJc w:val="left"/>
      <w:pPr>
        <w:ind w:left="3000" w:hanging="360"/>
      </w:pPr>
      <w:rPr>
        <w:rFonts w:ascii="Symbol" w:hAnsi="Symbol" w:hint="default"/>
      </w:rPr>
    </w:lvl>
    <w:lvl w:ilvl="4" w:tplc="18090003" w:tentative="1">
      <w:start w:val="1"/>
      <w:numFmt w:val="bullet"/>
      <w:lvlText w:val="o"/>
      <w:lvlJc w:val="left"/>
      <w:pPr>
        <w:ind w:left="3720" w:hanging="360"/>
      </w:pPr>
      <w:rPr>
        <w:rFonts w:ascii="Courier New" w:hAnsi="Courier New" w:cs="Courier New" w:hint="default"/>
      </w:rPr>
    </w:lvl>
    <w:lvl w:ilvl="5" w:tplc="18090005" w:tentative="1">
      <w:start w:val="1"/>
      <w:numFmt w:val="bullet"/>
      <w:lvlText w:val=""/>
      <w:lvlJc w:val="left"/>
      <w:pPr>
        <w:ind w:left="4440" w:hanging="360"/>
      </w:pPr>
      <w:rPr>
        <w:rFonts w:ascii="Wingdings" w:hAnsi="Wingdings" w:hint="default"/>
      </w:rPr>
    </w:lvl>
    <w:lvl w:ilvl="6" w:tplc="18090001" w:tentative="1">
      <w:start w:val="1"/>
      <w:numFmt w:val="bullet"/>
      <w:lvlText w:val=""/>
      <w:lvlJc w:val="left"/>
      <w:pPr>
        <w:ind w:left="5160" w:hanging="360"/>
      </w:pPr>
      <w:rPr>
        <w:rFonts w:ascii="Symbol" w:hAnsi="Symbol" w:hint="default"/>
      </w:rPr>
    </w:lvl>
    <w:lvl w:ilvl="7" w:tplc="18090003" w:tentative="1">
      <w:start w:val="1"/>
      <w:numFmt w:val="bullet"/>
      <w:lvlText w:val="o"/>
      <w:lvlJc w:val="left"/>
      <w:pPr>
        <w:ind w:left="5880" w:hanging="360"/>
      </w:pPr>
      <w:rPr>
        <w:rFonts w:ascii="Courier New" w:hAnsi="Courier New" w:cs="Courier New" w:hint="default"/>
      </w:rPr>
    </w:lvl>
    <w:lvl w:ilvl="8" w:tplc="18090005" w:tentative="1">
      <w:start w:val="1"/>
      <w:numFmt w:val="bullet"/>
      <w:lvlText w:val=""/>
      <w:lvlJc w:val="left"/>
      <w:pPr>
        <w:ind w:left="6600" w:hanging="360"/>
      </w:pPr>
      <w:rPr>
        <w:rFonts w:ascii="Wingdings" w:hAnsi="Wingdings" w:hint="default"/>
      </w:rPr>
    </w:lvl>
  </w:abstractNum>
  <w:abstractNum w:abstractNumId="25" w15:restartNumberingAfterBreak="0">
    <w:nsid w:val="4659080C"/>
    <w:multiLevelType w:val="hybridMultilevel"/>
    <w:tmpl w:val="0F08E58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058054E"/>
    <w:multiLevelType w:val="multilevel"/>
    <w:tmpl w:val="677C60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57E7904"/>
    <w:multiLevelType w:val="hybridMultilevel"/>
    <w:tmpl w:val="57C6B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1E08ED"/>
    <w:multiLevelType w:val="hybridMultilevel"/>
    <w:tmpl w:val="59D6EC66"/>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9" w15:restartNumberingAfterBreak="0">
    <w:nsid w:val="5EA64F5D"/>
    <w:multiLevelType w:val="multilevel"/>
    <w:tmpl w:val="EA1A7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670229"/>
    <w:multiLevelType w:val="hybridMultilevel"/>
    <w:tmpl w:val="2B5E0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6F46D84"/>
    <w:multiLevelType w:val="multilevel"/>
    <w:tmpl w:val="5766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AC7A3F"/>
    <w:multiLevelType w:val="multilevel"/>
    <w:tmpl w:val="677C60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E613BC6"/>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BD0618"/>
    <w:multiLevelType w:val="hybridMultilevel"/>
    <w:tmpl w:val="E9BC70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0D57C29"/>
    <w:multiLevelType w:val="hybridMultilevel"/>
    <w:tmpl w:val="812006FC"/>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36" w15:restartNumberingAfterBreak="0">
    <w:nsid w:val="75477259"/>
    <w:multiLevelType w:val="hybridMultilevel"/>
    <w:tmpl w:val="2480C5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7BE1347"/>
    <w:multiLevelType w:val="hybridMultilevel"/>
    <w:tmpl w:val="98F2FE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A171461"/>
    <w:multiLevelType w:val="hybridMultilevel"/>
    <w:tmpl w:val="7F9AC104"/>
    <w:lvl w:ilvl="0" w:tplc="DD84D4CE">
      <w:numFmt w:val="bullet"/>
      <w:lvlText w:val="-"/>
      <w:lvlJc w:val="left"/>
      <w:pPr>
        <w:ind w:left="720" w:hanging="360"/>
      </w:pPr>
      <w:rPr>
        <w:rFonts w:ascii="Times New Roman" w:eastAsiaTheme="minorHAnsi" w:hAnsi="Times New Roman" w:cs="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B040E01"/>
    <w:multiLevelType w:val="hybridMultilevel"/>
    <w:tmpl w:val="013A70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A543FF"/>
    <w:multiLevelType w:val="hybridMultilevel"/>
    <w:tmpl w:val="82D213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D310E08"/>
    <w:multiLevelType w:val="hybridMultilevel"/>
    <w:tmpl w:val="DE5C2E7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9"/>
  </w:num>
  <w:num w:numId="2">
    <w:abstractNumId w:val="30"/>
  </w:num>
  <w:num w:numId="3">
    <w:abstractNumId w:val="19"/>
  </w:num>
  <w:num w:numId="4">
    <w:abstractNumId w:val="23"/>
  </w:num>
  <w:num w:numId="5">
    <w:abstractNumId w:val="1"/>
  </w:num>
  <w:num w:numId="6">
    <w:abstractNumId w:val="18"/>
  </w:num>
  <w:num w:numId="7">
    <w:abstractNumId w:val="7"/>
  </w:num>
  <w:num w:numId="8">
    <w:abstractNumId w:val="32"/>
  </w:num>
  <w:num w:numId="9">
    <w:abstractNumId w:val="26"/>
  </w:num>
  <w:num w:numId="10">
    <w:abstractNumId w:val="24"/>
  </w:num>
  <w:num w:numId="11">
    <w:abstractNumId w:val="34"/>
  </w:num>
  <w:num w:numId="12">
    <w:abstractNumId w:val="28"/>
  </w:num>
  <w:num w:numId="13">
    <w:abstractNumId w:val="15"/>
  </w:num>
  <w:num w:numId="14">
    <w:abstractNumId w:val="11"/>
  </w:num>
  <w:num w:numId="15">
    <w:abstractNumId w:val="40"/>
  </w:num>
  <w:num w:numId="16">
    <w:abstractNumId w:val="27"/>
  </w:num>
  <w:num w:numId="17">
    <w:abstractNumId w:val="17"/>
  </w:num>
  <w:num w:numId="18">
    <w:abstractNumId w:val="39"/>
  </w:num>
  <w:num w:numId="19">
    <w:abstractNumId w:val="35"/>
  </w:num>
  <w:num w:numId="20">
    <w:abstractNumId w:val="10"/>
  </w:num>
  <w:num w:numId="21">
    <w:abstractNumId w:val="36"/>
  </w:num>
  <w:num w:numId="22">
    <w:abstractNumId w:val="5"/>
  </w:num>
  <w:num w:numId="23">
    <w:abstractNumId w:val="13"/>
  </w:num>
  <w:num w:numId="24">
    <w:abstractNumId w:val="21"/>
  </w:num>
  <w:num w:numId="25">
    <w:abstractNumId w:val="21"/>
  </w:num>
  <w:num w:numId="26">
    <w:abstractNumId w:val="21"/>
  </w:num>
  <w:num w:numId="27">
    <w:abstractNumId w:val="38"/>
  </w:num>
  <w:num w:numId="28">
    <w:abstractNumId w:val="2"/>
  </w:num>
  <w:num w:numId="29">
    <w:abstractNumId w:val="22"/>
  </w:num>
  <w:num w:numId="30">
    <w:abstractNumId w:val="25"/>
  </w:num>
  <w:num w:numId="31">
    <w:abstractNumId w:val="3"/>
  </w:num>
  <w:num w:numId="32">
    <w:abstractNumId w:val="20"/>
  </w:num>
  <w:num w:numId="33">
    <w:abstractNumId w:val="14"/>
  </w:num>
  <w:num w:numId="34">
    <w:abstractNumId w:val="31"/>
  </w:num>
  <w:num w:numId="35">
    <w:abstractNumId w:val="8"/>
  </w:num>
  <w:num w:numId="36">
    <w:abstractNumId w:val="29"/>
  </w:num>
  <w:num w:numId="37">
    <w:abstractNumId w:val="9"/>
  </w:num>
  <w:num w:numId="38">
    <w:abstractNumId w:val="6"/>
  </w:num>
  <w:num w:numId="39">
    <w:abstractNumId w:val="37"/>
  </w:num>
  <w:num w:numId="40">
    <w:abstractNumId w:val="4"/>
  </w:num>
  <w:num w:numId="41">
    <w:abstractNumId w:val="12"/>
  </w:num>
  <w:num w:numId="42">
    <w:abstractNumId w:val="16"/>
  </w:num>
  <w:num w:numId="43">
    <w:abstractNumId w:val="33"/>
  </w:num>
  <w:num w:numId="44">
    <w:abstractNumId w:val="41"/>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940D3A4-27D5-4736-8429-6D3371B55076"/>
    <w:docVar w:name="LW_COVERPAGE_TYPE" w:val="1"/>
    <w:docVar w:name="LW_CROSSREFERENCE" w:val="&lt;UNUSED&gt;"/>
    <w:docVar w:name="LW_DocType" w:val="NORMAL"/>
    <w:docVar w:name="LW_EMISSION" w:val="5.3.2025"/>
    <w:docVar w:name="LW_EMISSION_ISODATE" w:val="2025-03-05"/>
    <w:docVar w:name="LW_EMISSION_LOCATION" w:val="BRX"/>
    <w:docVar w:name="LW_EMISSION_PREFIX" w:val="\u1041?\u1088?\u1102?\u1082?\u1089?\u1077?\u1083?, "/>
    <w:docVar w:name="LW_EMISSION_SUFFIX" w:val=" \u1075?."/>
    <w:docVar w:name="LW_ID_DOCTYPE_NONLW" w:val="CP-014"/>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NST.NEW" w:val="COM"/>
    <w:docVar w:name="LW_REF.INST.NEW_ADOPTED" w:val="final"/>
    <w:docVar w:name="LW_REF.INST.NEW_TEXT" w:val="(2025) 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1044?\u1077?\u1082?\u1072?\u1088?\u1073?\u1086?\u1085?\u1080?\u1079?\u1080?\u1088?\u1072?\u1085?\u1077? \u1085?\u1072? \u1082?\u1086?\u1088?\u1087?\u1086?\u1088?\u1072?\u1090?\u1080?\u1074?\u1085?\u1080?\u1090?\u1077? \u1072?\u1074?\u1090?\u1086?\u1084?\u1086?\u1073?\u1080?\u1083?\u1085?\u1080? \u1087?\u1072?\u1088?\u1082?\u1086?\u1074?\u1077?&lt;/FMT&gt;"/>
    <w:docVar w:name="LW_TYPE.DOC.CP" w:val="\u1057?\u1066?\u1054?\u1041?\u1065?\u1045?\u1053?\u1048?\u1045? \u1053?\u1040? \u1050?\u1054?\u1052?\u1048?\u1057?\u1048?\u1071?\u1058?\u1040? \u1044?\u1054? \u1045?\u1042?\u1056?\u1054?\u1055?\u1045?\u1049?\u1057?\u1050?\u1048?\u1071? \u1055?\u1040?\u1056?\u1051?\u1040?\u1052?\u1045?\u1053?\u1058?, \u1057?\u1066?\u1042?\u1045?\u1058?\u1040?, \u1045?\u1042?\u1056?\u1054?\u1055?\u1045?\u1049?\u1057?\u1050?\u1048?\u1071? \u1048?\u1050?\u1054?\u1053?\u1054?\u1052?\u1048?\u1063?\u1045?\u1057?\u1050?\u1048? \u1048? \u1057?\u1054?\u1062?\u1048?\u1040?\u1051?\u1045?\u1053? \u1050?\u1054?\u1052?\u1048?\u1058?\u1045?\u1058? \u1048? \u1050?\u1054?\u1052?\u1048?\u1058?\u1045?\u1058?\u1040? \u1053?\u1040? \u1056?\u1045?\u1043?\u1048?\u1054?\u1053?\u1048?\u1058?\u1045?"/>
    <w:docVar w:name="LW_TYPE.DOC.CP.USERTEXT" w:val="&lt;EMPTY&gt;"/>
    <w:docVar w:name="LwApiVersions" w:val="LW4CoDe 1.24.5.0; LW 9.0, Build 20240221"/>
  </w:docVars>
  <w:rsids>
    <w:rsidRoot w:val="00785A9D"/>
    <w:rsid w:val="000007FD"/>
    <w:rsid w:val="000019EF"/>
    <w:rsid w:val="00001A25"/>
    <w:rsid w:val="00002213"/>
    <w:rsid w:val="000025BB"/>
    <w:rsid w:val="00005ACD"/>
    <w:rsid w:val="00005F4E"/>
    <w:rsid w:val="00006773"/>
    <w:rsid w:val="000105A0"/>
    <w:rsid w:val="000109C2"/>
    <w:rsid w:val="00010C23"/>
    <w:rsid w:val="00011CD5"/>
    <w:rsid w:val="00012320"/>
    <w:rsid w:val="00014622"/>
    <w:rsid w:val="00014C54"/>
    <w:rsid w:val="00016380"/>
    <w:rsid w:val="00017B48"/>
    <w:rsid w:val="0002024A"/>
    <w:rsid w:val="000202ED"/>
    <w:rsid w:val="0002049D"/>
    <w:rsid w:val="0002079D"/>
    <w:rsid w:val="00021FA4"/>
    <w:rsid w:val="00022317"/>
    <w:rsid w:val="00022D0E"/>
    <w:rsid w:val="000232DE"/>
    <w:rsid w:val="00025186"/>
    <w:rsid w:val="00026C47"/>
    <w:rsid w:val="0002780F"/>
    <w:rsid w:val="00030B01"/>
    <w:rsid w:val="0003159D"/>
    <w:rsid w:val="000326FC"/>
    <w:rsid w:val="00032C03"/>
    <w:rsid w:val="00034176"/>
    <w:rsid w:val="000347D9"/>
    <w:rsid w:val="000348B3"/>
    <w:rsid w:val="00034D35"/>
    <w:rsid w:val="00035157"/>
    <w:rsid w:val="00035755"/>
    <w:rsid w:val="000415F5"/>
    <w:rsid w:val="00041C3E"/>
    <w:rsid w:val="00043756"/>
    <w:rsid w:val="0004511A"/>
    <w:rsid w:val="00050519"/>
    <w:rsid w:val="00050CF9"/>
    <w:rsid w:val="00051ABE"/>
    <w:rsid w:val="00051D8D"/>
    <w:rsid w:val="00054922"/>
    <w:rsid w:val="00055575"/>
    <w:rsid w:val="00055734"/>
    <w:rsid w:val="00055F84"/>
    <w:rsid w:val="000560A0"/>
    <w:rsid w:val="00056445"/>
    <w:rsid w:val="00057FA2"/>
    <w:rsid w:val="000607BF"/>
    <w:rsid w:val="00060D55"/>
    <w:rsid w:val="000612BE"/>
    <w:rsid w:val="000619B7"/>
    <w:rsid w:val="00064CCE"/>
    <w:rsid w:val="00065315"/>
    <w:rsid w:val="0006594F"/>
    <w:rsid w:val="00065D51"/>
    <w:rsid w:val="000661DE"/>
    <w:rsid w:val="000661FA"/>
    <w:rsid w:val="000701ED"/>
    <w:rsid w:val="000705F7"/>
    <w:rsid w:val="00070BAC"/>
    <w:rsid w:val="000710E4"/>
    <w:rsid w:val="000715F9"/>
    <w:rsid w:val="00071810"/>
    <w:rsid w:val="00074038"/>
    <w:rsid w:val="00075CB8"/>
    <w:rsid w:val="0007692D"/>
    <w:rsid w:val="0007734B"/>
    <w:rsid w:val="0008235E"/>
    <w:rsid w:val="000827EE"/>
    <w:rsid w:val="0008373C"/>
    <w:rsid w:val="000837C2"/>
    <w:rsid w:val="00083A6C"/>
    <w:rsid w:val="00083B40"/>
    <w:rsid w:val="00084A41"/>
    <w:rsid w:val="0008622E"/>
    <w:rsid w:val="00086A78"/>
    <w:rsid w:val="0008719E"/>
    <w:rsid w:val="000902C9"/>
    <w:rsid w:val="0009320F"/>
    <w:rsid w:val="00094242"/>
    <w:rsid w:val="000943B1"/>
    <w:rsid w:val="00095A43"/>
    <w:rsid w:val="00096B0A"/>
    <w:rsid w:val="000A1DF1"/>
    <w:rsid w:val="000A258D"/>
    <w:rsid w:val="000A3DF5"/>
    <w:rsid w:val="000A3F08"/>
    <w:rsid w:val="000A5D7E"/>
    <w:rsid w:val="000A69A4"/>
    <w:rsid w:val="000A6EF1"/>
    <w:rsid w:val="000A75DB"/>
    <w:rsid w:val="000B0FCD"/>
    <w:rsid w:val="000B252E"/>
    <w:rsid w:val="000B2E2D"/>
    <w:rsid w:val="000B367C"/>
    <w:rsid w:val="000B3BFB"/>
    <w:rsid w:val="000B4AE7"/>
    <w:rsid w:val="000B5801"/>
    <w:rsid w:val="000B6619"/>
    <w:rsid w:val="000B70B3"/>
    <w:rsid w:val="000B7222"/>
    <w:rsid w:val="000B730D"/>
    <w:rsid w:val="000B75E8"/>
    <w:rsid w:val="000B7AC5"/>
    <w:rsid w:val="000C3F54"/>
    <w:rsid w:val="000C5373"/>
    <w:rsid w:val="000C63F1"/>
    <w:rsid w:val="000C7AFA"/>
    <w:rsid w:val="000D0EE6"/>
    <w:rsid w:val="000D1D94"/>
    <w:rsid w:val="000D3CDC"/>
    <w:rsid w:val="000D49DE"/>
    <w:rsid w:val="000D53C3"/>
    <w:rsid w:val="000D794C"/>
    <w:rsid w:val="000E0C33"/>
    <w:rsid w:val="000E16E4"/>
    <w:rsid w:val="000E179E"/>
    <w:rsid w:val="000E1C3D"/>
    <w:rsid w:val="000E253B"/>
    <w:rsid w:val="000E34E8"/>
    <w:rsid w:val="000E4166"/>
    <w:rsid w:val="000E4922"/>
    <w:rsid w:val="000E4B66"/>
    <w:rsid w:val="000E5D14"/>
    <w:rsid w:val="000E6B5F"/>
    <w:rsid w:val="000E701F"/>
    <w:rsid w:val="000F04BB"/>
    <w:rsid w:val="000F0666"/>
    <w:rsid w:val="000F0847"/>
    <w:rsid w:val="000F3396"/>
    <w:rsid w:val="000F5049"/>
    <w:rsid w:val="000F50CD"/>
    <w:rsid w:val="001000E1"/>
    <w:rsid w:val="001001D7"/>
    <w:rsid w:val="001006E6"/>
    <w:rsid w:val="00100890"/>
    <w:rsid w:val="00100E62"/>
    <w:rsid w:val="00101D8C"/>
    <w:rsid w:val="00104EAE"/>
    <w:rsid w:val="0010644D"/>
    <w:rsid w:val="001065DC"/>
    <w:rsid w:val="0010751E"/>
    <w:rsid w:val="001100D9"/>
    <w:rsid w:val="00110532"/>
    <w:rsid w:val="00111D91"/>
    <w:rsid w:val="0011415A"/>
    <w:rsid w:val="001167ED"/>
    <w:rsid w:val="0011734F"/>
    <w:rsid w:val="001205EB"/>
    <w:rsid w:val="0012066A"/>
    <w:rsid w:val="001222C6"/>
    <w:rsid w:val="0012267A"/>
    <w:rsid w:val="001228A2"/>
    <w:rsid w:val="00123EBE"/>
    <w:rsid w:val="00125DE3"/>
    <w:rsid w:val="00125FE7"/>
    <w:rsid w:val="00127616"/>
    <w:rsid w:val="001300ED"/>
    <w:rsid w:val="001304B2"/>
    <w:rsid w:val="0013051C"/>
    <w:rsid w:val="00134942"/>
    <w:rsid w:val="00134B6D"/>
    <w:rsid w:val="00134D59"/>
    <w:rsid w:val="00134F9C"/>
    <w:rsid w:val="00135703"/>
    <w:rsid w:val="00135891"/>
    <w:rsid w:val="001364E3"/>
    <w:rsid w:val="00136F6E"/>
    <w:rsid w:val="00137A75"/>
    <w:rsid w:val="00137C79"/>
    <w:rsid w:val="00141659"/>
    <w:rsid w:val="00142642"/>
    <w:rsid w:val="001429A9"/>
    <w:rsid w:val="00144248"/>
    <w:rsid w:val="00144DC8"/>
    <w:rsid w:val="00146A57"/>
    <w:rsid w:val="00146B70"/>
    <w:rsid w:val="00146F2D"/>
    <w:rsid w:val="001478D6"/>
    <w:rsid w:val="001512C4"/>
    <w:rsid w:val="001514A7"/>
    <w:rsid w:val="00151503"/>
    <w:rsid w:val="00151F82"/>
    <w:rsid w:val="00152C3B"/>
    <w:rsid w:val="00154B31"/>
    <w:rsid w:val="00155723"/>
    <w:rsid w:val="00156B62"/>
    <w:rsid w:val="00157260"/>
    <w:rsid w:val="0015771C"/>
    <w:rsid w:val="0016079E"/>
    <w:rsid w:val="001611F5"/>
    <w:rsid w:val="001628A2"/>
    <w:rsid w:val="00163372"/>
    <w:rsid w:val="001635E2"/>
    <w:rsid w:val="0016363A"/>
    <w:rsid w:val="00163EBC"/>
    <w:rsid w:val="00165105"/>
    <w:rsid w:val="001658ED"/>
    <w:rsid w:val="00167200"/>
    <w:rsid w:val="0016732C"/>
    <w:rsid w:val="00167E95"/>
    <w:rsid w:val="00171477"/>
    <w:rsid w:val="0017177A"/>
    <w:rsid w:val="00173761"/>
    <w:rsid w:val="001761D0"/>
    <w:rsid w:val="00176334"/>
    <w:rsid w:val="001774E6"/>
    <w:rsid w:val="001774F0"/>
    <w:rsid w:val="001801EA"/>
    <w:rsid w:val="00180EB2"/>
    <w:rsid w:val="00181011"/>
    <w:rsid w:val="00181B13"/>
    <w:rsid w:val="001826C2"/>
    <w:rsid w:val="00183F7C"/>
    <w:rsid w:val="0018675D"/>
    <w:rsid w:val="00186783"/>
    <w:rsid w:val="0018696B"/>
    <w:rsid w:val="00187391"/>
    <w:rsid w:val="00187B84"/>
    <w:rsid w:val="00187FA4"/>
    <w:rsid w:val="00190C35"/>
    <w:rsid w:val="0019243F"/>
    <w:rsid w:val="0019342D"/>
    <w:rsid w:val="0019539D"/>
    <w:rsid w:val="0019609E"/>
    <w:rsid w:val="00196165"/>
    <w:rsid w:val="00196316"/>
    <w:rsid w:val="00196E89"/>
    <w:rsid w:val="00197B73"/>
    <w:rsid w:val="00197BDE"/>
    <w:rsid w:val="001A1255"/>
    <w:rsid w:val="001A2A13"/>
    <w:rsid w:val="001A359B"/>
    <w:rsid w:val="001A3E12"/>
    <w:rsid w:val="001A4FFE"/>
    <w:rsid w:val="001A6288"/>
    <w:rsid w:val="001A62F6"/>
    <w:rsid w:val="001B2843"/>
    <w:rsid w:val="001B3B8F"/>
    <w:rsid w:val="001B40AE"/>
    <w:rsid w:val="001B42C3"/>
    <w:rsid w:val="001C1258"/>
    <w:rsid w:val="001C2A5A"/>
    <w:rsid w:val="001C3045"/>
    <w:rsid w:val="001C3E5E"/>
    <w:rsid w:val="001C5E41"/>
    <w:rsid w:val="001C6AFD"/>
    <w:rsid w:val="001C7B42"/>
    <w:rsid w:val="001C7F55"/>
    <w:rsid w:val="001D1E1C"/>
    <w:rsid w:val="001D2054"/>
    <w:rsid w:val="001D2778"/>
    <w:rsid w:val="001D3F47"/>
    <w:rsid w:val="001D4335"/>
    <w:rsid w:val="001D52E6"/>
    <w:rsid w:val="001D56E2"/>
    <w:rsid w:val="001D591B"/>
    <w:rsid w:val="001D5FBF"/>
    <w:rsid w:val="001D7BA7"/>
    <w:rsid w:val="001E072C"/>
    <w:rsid w:val="001E0C24"/>
    <w:rsid w:val="001E17DC"/>
    <w:rsid w:val="001E259C"/>
    <w:rsid w:val="001E455E"/>
    <w:rsid w:val="001E4B7F"/>
    <w:rsid w:val="001E5124"/>
    <w:rsid w:val="001E534E"/>
    <w:rsid w:val="001E72CD"/>
    <w:rsid w:val="001EA7F2"/>
    <w:rsid w:val="001F0033"/>
    <w:rsid w:val="001F312C"/>
    <w:rsid w:val="001F4EAA"/>
    <w:rsid w:val="001F5077"/>
    <w:rsid w:val="001F5B2C"/>
    <w:rsid w:val="001F5B2D"/>
    <w:rsid w:val="001F7A87"/>
    <w:rsid w:val="0020050E"/>
    <w:rsid w:val="00200B83"/>
    <w:rsid w:val="0020183B"/>
    <w:rsid w:val="00201A53"/>
    <w:rsid w:val="00201C46"/>
    <w:rsid w:val="0020321E"/>
    <w:rsid w:val="00203DC5"/>
    <w:rsid w:val="002044EB"/>
    <w:rsid w:val="002049EC"/>
    <w:rsid w:val="002053A5"/>
    <w:rsid w:val="00205A48"/>
    <w:rsid w:val="00205D83"/>
    <w:rsid w:val="00205F45"/>
    <w:rsid w:val="00207F3D"/>
    <w:rsid w:val="00210D04"/>
    <w:rsid w:val="00210E2F"/>
    <w:rsid w:val="0021136A"/>
    <w:rsid w:val="00212983"/>
    <w:rsid w:val="00213549"/>
    <w:rsid w:val="0021392B"/>
    <w:rsid w:val="00214788"/>
    <w:rsid w:val="00214FCE"/>
    <w:rsid w:val="00216D4D"/>
    <w:rsid w:val="00217AB2"/>
    <w:rsid w:val="00220747"/>
    <w:rsid w:val="00220C7A"/>
    <w:rsid w:val="00222C2A"/>
    <w:rsid w:val="00225231"/>
    <w:rsid w:val="00225743"/>
    <w:rsid w:val="002272CB"/>
    <w:rsid w:val="00230719"/>
    <w:rsid w:val="002307EA"/>
    <w:rsid w:val="00230C52"/>
    <w:rsid w:val="00232053"/>
    <w:rsid w:val="0023326B"/>
    <w:rsid w:val="002332EB"/>
    <w:rsid w:val="0023355E"/>
    <w:rsid w:val="00233695"/>
    <w:rsid w:val="0023378C"/>
    <w:rsid w:val="00233D88"/>
    <w:rsid w:val="002342B1"/>
    <w:rsid w:val="002349D4"/>
    <w:rsid w:val="00234CF7"/>
    <w:rsid w:val="00235194"/>
    <w:rsid w:val="0024091D"/>
    <w:rsid w:val="00241D4A"/>
    <w:rsid w:val="0024270A"/>
    <w:rsid w:val="00242C2B"/>
    <w:rsid w:val="002445F3"/>
    <w:rsid w:val="00245953"/>
    <w:rsid w:val="002465A5"/>
    <w:rsid w:val="002470AD"/>
    <w:rsid w:val="0024787D"/>
    <w:rsid w:val="002504A8"/>
    <w:rsid w:val="0025077D"/>
    <w:rsid w:val="002509C5"/>
    <w:rsid w:val="00253428"/>
    <w:rsid w:val="00253E87"/>
    <w:rsid w:val="00255578"/>
    <w:rsid w:val="00255D9B"/>
    <w:rsid w:val="00256CB5"/>
    <w:rsid w:val="00260494"/>
    <w:rsid w:val="002608DC"/>
    <w:rsid w:val="00260E15"/>
    <w:rsid w:val="002616A0"/>
    <w:rsid w:val="00261AF0"/>
    <w:rsid w:val="00263E21"/>
    <w:rsid w:val="002645E5"/>
    <w:rsid w:val="00265356"/>
    <w:rsid w:val="00265628"/>
    <w:rsid w:val="0026645F"/>
    <w:rsid w:val="0026779B"/>
    <w:rsid w:val="00267DF6"/>
    <w:rsid w:val="00271464"/>
    <w:rsid w:val="002718F4"/>
    <w:rsid w:val="00272095"/>
    <w:rsid w:val="00273DE3"/>
    <w:rsid w:val="00274866"/>
    <w:rsid w:val="002754DD"/>
    <w:rsid w:val="00275553"/>
    <w:rsid w:val="00275D91"/>
    <w:rsid w:val="00276E6D"/>
    <w:rsid w:val="0027796D"/>
    <w:rsid w:val="002804E1"/>
    <w:rsid w:val="00280B2E"/>
    <w:rsid w:val="002812FF"/>
    <w:rsid w:val="00281A1E"/>
    <w:rsid w:val="0028253D"/>
    <w:rsid w:val="00282E4D"/>
    <w:rsid w:val="00284212"/>
    <w:rsid w:val="00285A86"/>
    <w:rsid w:val="00285E98"/>
    <w:rsid w:val="002906E3"/>
    <w:rsid w:val="00290BF8"/>
    <w:rsid w:val="0029137E"/>
    <w:rsid w:val="00292432"/>
    <w:rsid w:val="002954E3"/>
    <w:rsid w:val="002955ED"/>
    <w:rsid w:val="00295D92"/>
    <w:rsid w:val="00296810"/>
    <w:rsid w:val="002973D3"/>
    <w:rsid w:val="002979A6"/>
    <w:rsid w:val="002A04C9"/>
    <w:rsid w:val="002A0D7D"/>
    <w:rsid w:val="002A1226"/>
    <w:rsid w:val="002A3321"/>
    <w:rsid w:val="002A455E"/>
    <w:rsid w:val="002A558D"/>
    <w:rsid w:val="002A5F27"/>
    <w:rsid w:val="002A61D3"/>
    <w:rsid w:val="002A6500"/>
    <w:rsid w:val="002A6EA0"/>
    <w:rsid w:val="002A775C"/>
    <w:rsid w:val="002B1007"/>
    <w:rsid w:val="002B1227"/>
    <w:rsid w:val="002B1BA4"/>
    <w:rsid w:val="002B2240"/>
    <w:rsid w:val="002B2CF5"/>
    <w:rsid w:val="002B4E49"/>
    <w:rsid w:val="002B65A6"/>
    <w:rsid w:val="002B6A46"/>
    <w:rsid w:val="002C03B4"/>
    <w:rsid w:val="002C0A4C"/>
    <w:rsid w:val="002C0C6E"/>
    <w:rsid w:val="002C27BD"/>
    <w:rsid w:val="002C321C"/>
    <w:rsid w:val="002C3B0C"/>
    <w:rsid w:val="002C4410"/>
    <w:rsid w:val="002C5272"/>
    <w:rsid w:val="002C6D37"/>
    <w:rsid w:val="002C6D3D"/>
    <w:rsid w:val="002C71E6"/>
    <w:rsid w:val="002D1F1B"/>
    <w:rsid w:val="002D2E26"/>
    <w:rsid w:val="002D3E97"/>
    <w:rsid w:val="002D4675"/>
    <w:rsid w:val="002D46B0"/>
    <w:rsid w:val="002D513B"/>
    <w:rsid w:val="002D54C8"/>
    <w:rsid w:val="002D7912"/>
    <w:rsid w:val="002E1FAC"/>
    <w:rsid w:val="002E4265"/>
    <w:rsid w:val="002E5D14"/>
    <w:rsid w:val="002E7F27"/>
    <w:rsid w:val="002F4D09"/>
    <w:rsid w:val="002F5D3F"/>
    <w:rsid w:val="002F69B1"/>
    <w:rsid w:val="002F7075"/>
    <w:rsid w:val="002F77C7"/>
    <w:rsid w:val="002F78AC"/>
    <w:rsid w:val="002F7A57"/>
    <w:rsid w:val="0030254D"/>
    <w:rsid w:val="00302A36"/>
    <w:rsid w:val="00307CA4"/>
    <w:rsid w:val="00311696"/>
    <w:rsid w:val="00313AC7"/>
    <w:rsid w:val="0031450B"/>
    <w:rsid w:val="00314B16"/>
    <w:rsid w:val="0031731C"/>
    <w:rsid w:val="00317B13"/>
    <w:rsid w:val="003206A6"/>
    <w:rsid w:val="00321B9A"/>
    <w:rsid w:val="003228EB"/>
    <w:rsid w:val="00325084"/>
    <w:rsid w:val="003269BF"/>
    <w:rsid w:val="00326C72"/>
    <w:rsid w:val="00327203"/>
    <w:rsid w:val="003272E7"/>
    <w:rsid w:val="003301AA"/>
    <w:rsid w:val="00330352"/>
    <w:rsid w:val="003322DD"/>
    <w:rsid w:val="0033420D"/>
    <w:rsid w:val="003349B8"/>
    <w:rsid w:val="00336446"/>
    <w:rsid w:val="00337AA7"/>
    <w:rsid w:val="00340454"/>
    <w:rsid w:val="00341F8B"/>
    <w:rsid w:val="003428EC"/>
    <w:rsid w:val="00343336"/>
    <w:rsid w:val="00343383"/>
    <w:rsid w:val="003439BC"/>
    <w:rsid w:val="00347CAD"/>
    <w:rsid w:val="0035064C"/>
    <w:rsid w:val="00350DF0"/>
    <w:rsid w:val="0035226F"/>
    <w:rsid w:val="00352E83"/>
    <w:rsid w:val="0035346D"/>
    <w:rsid w:val="00353BEB"/>
    <w:rsid w:val="003551F7"/>
    <w:rsid w:val="0035523B"/>
    <w:rsid w:val="00355A8B"/>
    <w:rsid w:val="003560A9"/>
    <w:rsid w:val="003575C6"/>
    <w:rsid w:val="00357E7D"/>
    <w:rsid w:val="0036036A"/>
    <w:rsid w:val="003650D6"/>
    <w:rsid w:val="003674F8"/>
    <w:rsid w:val="00367A9D"/>
    <w:rsid w:val="00371187"/>
    <w:rsid w:val="003712AD"/>
    <w:rsid w:val="0037371A"/>
    <w:rsid w:val="0037412C"/>
    <w:rsid w:val="00375D5D"/>
    <w:rsid w:val="0037712C"/>
    <w:rsid w:val="00377B39"/>
    <w:rsid w:val="0038309D"/>
    <w:rsid w:val="00383CF7"/>
    <w:rsid w:val="003868C0"/>
    <w:rsid w:val="00390C51"/>
    <w:rsid w:val="003910FE"/>
    <w:rsid w:val="00392711"/>
    <w:rsid w:val="00392E36"/>
    <w:rsid w:val="00393128"/>
    <w:rsid w:val="0039414E"/>
    <w:rsid w:val="00394568"/>
    <w:rsid w:val="00394D45"/>
    <w:rsid w:val="003960FF"/>
    <w:rsid w:val="00397248"/>
    <w:rsid w:val="003A08B6"/>
    <w:rsid w:val="003A17CD"/>
    <w:rsid w:val="003A2BA2"/>
    <w:rsid w:val="003A3A4C"/>
    <w:rsid w:val="003A42F0"/>
    <w:rsid w:val="003A4DCB"/>
    <w:rsid w:val="003A7D35"/>
    <w:rsid w:val="003A7E9B"/>
    <w:rsid w:val="003A7ED0"/>
    <w:rsid w:val="003B1108"/>
    <w:rsid w:val="003B1227"/>
    <w:rsid w:val="003B1A56"/>
    <w:rsid w:val="003B2390"/>
    <w:rsid w:val="003B2AA5"/>
    <w:rsid w:val="003B2E42"/>
    <w:rsid w:val="003B3175"/>
    <w:rsid w:val="003B3C37"/>
    <w:rsid w:val="003B402B"/>
    <w:rsid w:val="003B41D2"/>
    <w:rsid w:val="003B5E2D"/>
    <w:rsid w:val="003B708F"/>
    <w:rsid w:val="003C1F27"/>
    <w:rsid w:val="003C207A"/>
    <w:rsid w:val="003C34A5"/>
    <w:rsid w:val="003C417C"/>
    <w:rsid w:val="003C668C"/>
    <w:rsid w:val="003D07EE"/>
    <w:rsid w:val="003D0EBB"/>
    <w:rsid w:val="003D10A6"/>
    <w:rsid w:val="003D1943"/>
    <w:rsid w:val="003D256B"/>
    <w:rsid w:val="003D2C40"/>
    <w:rsid w:val="003D31DC"/>
    <w:rsid w:val="003D3884"/>
    <w:rsid w:val="003D3CEE"/>
    <w:rsid w:val="003D4816"/>
    <w:rsid w:val="003E121B"/>
    <w:rsid w:val="003E13AA"/>
    <w:rsid w:val="003E1870"/>
    <w:rsid w:val="003E1EFC"/>
    <w:rsid w:val="003E3C4D"/>
    <w:rsid w:val="003E4768"/>
    <w:rsid w:val="003E545E"/>
    <w:rsid w:val="003E55D2"/>
    <w:rsid w:val="003E63EA"/>
    <w:rsid w:val="003E6A1B"/>
    <w:rsid w:val="003E7598"/>
    <w:rsid w:val="003F02FD"/>
    <w:rsid w:val="003F1FE9"/>
    <w:rsid w:val="003F66A4"/>
    <w:rsid w:val="003F795E"/>
    <w:rsid w:val="003F7C10"/>
    <w:rsid w:val="0040000B"/>
    <w:rsid w:val="004011A6"/>
    <w:rsid w:val="0040186A"/>
    <w:rsid w:val="004020B8"/>
    <w:rsid w:val="00402536"/>
    <w:rsid w:val="0040437F"/>
    <w:rsid w:val="00405E20"/>
    <w:rsid w:val="004076FD"/>
    <w:rsid w:val="0040774B"/>
    <w:rsid w:val="00410735"/>
    <w:rsid w:val="00410989"/>
    <w:rsid w:val="00410AD2"/>
    <w:rsid w:val="0041175D"/>
    <w:rsid w:val="004119AB"/>
    <w:rsid w:val="00411A9B"/>
    <w:rsid w:val="00411F16"/>
    <w:rsid w:val="00412909"/>
    <w:rsid w:val="00414802"/>
    <w:rsid w:val="00415BC7"/>
    <w:rsid w:val="00421708"/>
    <w:rsid w:val="00422E02"/>
    <w:rsid w:val="00422E0A"/>
    <w:rsid w:val="00422F28"/>
    <w:rsid w:val="00425359"/>
    <w:rsid w:val="0042760B"/>
    <w:rsid w:val="00431750"/>
    <w:rsid w:val="004341D5"/>
    <w:rsid w:val="004348C3"/>
    <w:rsid w:val="00435F85"/>
    <w:rsid w:val="0043698F"/>
    <w:rsid w:val="00436B4A"/>
    <w:rsid w:val="00437441"/>
    <w:rsid w:val="00437E55"/>
    <w:rsid w:val="00437E83"/>
    <w:rsid w:val="00441A42"/>
    <w:rsid w:val="00442CC0"/>
    <w:rsid w:val="0044383A"/>
    <w:rsid w:val="00443A8B"/>
    <w:rsid w:val="00443E90"/>
    <w:rsid w:val="00444040"/>
    <w:rsid w:val="00444EE5"/>
    <w:rsid w:val="00445060"/>
    <w:rsid w:val="0044531F"/>
    <w:rsid w:val="004459A0"/>
    <w:rsid w:val="00446B26"/>
    <w:rsid w:val="0044775D"/>
    <w:rsid w:val="0044D651"/>
    <w:rsid w:val="00450921"/>
    <w:rsid w:val="00451642"/>
    <w:rsid w:val="004517FB"/>
    <w:rsid w:val="00453778"/>
    <w:rsid w:val="00454981"/>
    <w:rsid w:val="004555FB"/>
    <w:rsid w:val="00455B81"/>
    <w:rsid w:val="00455F09"/>
    <w:rsid w:val="00455F86"/>
    <w:rsid w:val="00456665"/>
    <w:rsid w:val="004577F7"/>
    <w:rsid w:val="00457BC9"/>
    <w:rsid w:val="00457FA6"/>
    <w:rsid w:val="004615CA"/>
    <w:rsid w:val="00462976"/>
    <w:rsid w:val="00462E81"/>
    <w:rsid w:val="00463268"/>
    <w:rsid w:val="00463EC2"/>
    <w:rsid w:val="00464A24"/>
    <w:rsid w:val="00464C75"/>
    <w:rsid w:val="004712B3"/>
    <w:rsid w:val="0047149A"/>
    <w:rsid w:val="00472296"/>
    <w:rsid w:val="00473D64"/>
    <w:rsid w:val="00473FEC"/>
    <w:rsid w:val="00474374"/>
    <w:rsid w:val="004760F3"/>
    <w:rsid w:val="00476158"/>
    <w:rsid w:val="00476437"/>
    <w:rsid w:val="00476F6C"/>
    <w:rsid w:val="0047785A"/>
    <w:rsid w:val="004808B8"/>
    <w:rsid w:val="00480C59"/>
    <w:rsid w:val="00480DB8"/>
    <w:rsid w:val="00481D5E"/>
    <w:rsid w:val="004820B3"/>
    <w:rsid w:val="0048234C"/>
    <w:rsid w:val="004823C1"/>
    <w:rsid w:val="004864BD"/>
    <w:rsid w:val="00486679"/>
    <w:rsid w:val="004871AE"/>
    <w:rsid w:val="004904D6"/>
    <w:rsid w:val="0049116F"/>
    <w:rsid w:val="0049446F"/>
    <w:rsid w:val="00494E0A"/>
    <w:rsid w:val="0049560D"/>
    <w:rsid w:val="004A2186"/>
    <w:rsid w:val="004A332C"/>
    <w:rsid w:val="004A36A8"/>
    <w:rsid w:val="004A39E7"/>
    <w:rsid w:val="004A44F6"/>
    <w:rsid w:val="004A455C"/>
    <w:rsid w:val="004A474C"/>
    <w:rsid w:val="004A4BB8"/>
    <w:rsid w:val="004A5129"/>
    <w:rsid w:val="004A6BEF"/>
    <w:rsid w:val="004A7113"/>
    <w:rsid w:val="004A7621"/>
    <w:rsid w:val="004A7726"/>
    <w:rsid w:val="004A7D8B"/>
    <w:rsid w:val="004B1052"/>
    <w:rsid w:val="004B2B21"/>
    <w:rsid w:val="004B2B53"/>
    <w:rsid w:val="004B3355"/>
    <w:rsid w:val="004B51DE"/>
    <w:rsid w:val="004B6FB7"/>
    <w:rsid w:val="004B7055"/>
    <w:rsid w:val="004B73FF"/>
    <w:rsid w:val="004B79D2"/>
    <w:rsid w:val="004C00A6"/>
    <w:rsid w:val="004C1AA2"/>
    <w:rsid w:val="004C21E1"/>
    <w:rsid w:val="004C2631"/>
    <w:rsid w:val="004C3BDF"/>
    <w:rsid w:val="004C4090"/>
    <w:rsid w:val="004C4AA6"/>
    <w:rsid w:val="004C5C08"/>
    <w:rsid w:val="004C6239"/>
    <w:rsid w:val="004D0C9A"/>
    <w:rsid w:val="004D244C"/>
    <w:rsid w:val="004D5492"/>
    <w:rsid w:val="004D75F9"/>
    <w:rsid w:val="004D7F37"/>
    <w:rsid w:val="004E3F50"/>
    <w:rsid w:val="004E4776"/>
    <w:rsid w:val="004E4868"/>
    <w:rsid w:val="004E4B68"/>
    <w:rsid w:val="004E5463"/>
    <w:rsid w:val="004E5ECA"/>
    <w:rsid w:val="004E70C3"/>
    <w:rsid w:val="004E7279"/>
    <w:rsid w:val="004E7F3C"/>
    <w:rsid w:val="004F3E69"/>
    <w:rsid w:val="004F455B"/>
    <w:rsid w:val="004F4EAE"/>
    <w:rsid w:val="004F60E2"/>
    <w:rsid w:val="004F6200"/>
    <w:rsid w:val="004F7C47"/>
    <w:rsid w:val="005002B4"/>
    <w:rsid w:val="0050076F"/>
    <w:rsid w:val="00501B8E"/>
    <w:rsid w:val="005029EB"/>
    <w:rsid w:val="00503085"/>
    <w:rsid w:val="00503F99"/>
    <w:rsid w:val="00505242"/>
    <w:rsid w:val="00505F5D"/>
    <w:rsid w:val="00506328"/>
    <w:rsid w:val="005076E5"/>
    <w:rsid w:val="00507E25"/>
    <w:rsid w:val="005119F6"/>
    <w:rsid w:val="00512CB3"/>
    <w:rsid w:val="00512D4F"/>
    <w:rsid w:val="00513431"/>
    <w:rsid w:val="00514433"/>
    <w:rsid w:val="00514471"/>
    <w:rsid w:val="00514A42"/>
    <w:rsid w:val="0051563D"/>
    <w:rsid w:val="00516062"/>
    <w:rsid w:val="005203F4"/>
    <w:rsid w:val="00520BCA"/>
    <w:rsid w:val="0052175B"/>
    <w:rsid w:val="00522FC7"/>
    <w:rsid w:val="00523418"/>
    <w:rsid w:val="0052362F"/>
    <w:rsid w:val="0052364D"/>
    <w:rsid w:val="00524B61"/>
    <w:rsid w:val="0052569D"/>
    <w:rsid w:val="005260F2"/>
    <w:rsid w:val="00527DE4"/>
    <w:rsid w:val="00530073"/>
    <w:rsid w:val="00530577"/>
    <w:rsid w:val="00531686"/>
    <w:rsid w:val="0053169F"/>
    <w:rsid w:val="005333B4"/>
    <w:rsid w:val="00535B8F"/>
    <w:rsid w:val="005410E2"/>
    <w:rsid w:val="00541A9C"/>
    <w:rsid w:val="00543CF8"/>
    <w:rsid w:val="00543E9A"/>
    <w:rsid w:val="00543ECC"/>
    <w:rsid w:val="005440B6"/>
    <w:rsid w:val="005441D9"/>
    <w:rsid w:val="00544D78"/>
    <w:rsid w:val="0054632C"/>
    <w:rsid w:val="0054752F"/>
    <w:rsid w:val="00547ED2"/>
    <w:rsid w:val="0055028E"/>
    <w:rsid w:val="00550D8D"/>
    <w:rsid w:val="00551ABF"/>
    <w:rsid w:val="0055291C"/>
    <w:rsid w:val="0055395F"/>
    <w:rsid w:val="005539BF"/>
    <w:rsid w:val="00553D6F"/>
    <w:rsid w:val="00554EE0"/>
    <w:rsid w:val="0055768D"/>
    <w:rsid w:val="005578E0"/>
    <w:rsid w:val="00557F74"/>
    <w:rsid w:val="005605DB"/>
    <w:rsid w:val="005650EC"/>
    <w:rsid w:val="0056531C"/>
    <w:rsid w:val="0056700F"/>
    <w:rsid w:val="0056740C"/>
    <w:rsid w:val="0056764E"/>
    <w:rsid w:val="00567E87"/>
    <w:rsid w:val="005700B4"/>
    <w:rsid w:val="00571470"/>
    <w:rsid w:val="00572C56"/>
    <w:rsid w:val="00572C65"/>
    <w:rsid w:val="005742CA"/>
    <w:rsid w:val="0057649F"/>
    <w:rsid w:val="0057709F"/>
    <w:rsid w:val="00582E1B"/>
    <w:rsid w:val="00583550"/>
    <w:rsid w:val="005838ED"/>
    <w:rsid w:val="005841B0"/>
    <w:rsid w:val="00585C6D"/>
    <w:rsid w:val="00586251"/>
    <w:rsid w:val="005865EF"/>
    <w:rsid w:val="00586675"/>
    <w:rsid w:val="00586A8E"/>
    <w:rsid w:val="005904F4"/>
    <w:rsid w:val="00590C1C"/>
    <w:rsid w:val="00590C74"/>
    <w:rsid w:val="005928CD"/>
    <w:rsid w:val="00593227"/>
    <w:rsid w:val="005A2C84"/>
    <w:rsid w:val="005A2CBF"/>
    <w:rsid w:val="005A7947"/>
    <w:rsid w:val="005B06BE"/>
    <w:rsid w:val="005B0A15"/>
    <w:rsid w:val="005B1368"/>
    <w:rsid w:val="005B191C"/>
    <w:rsid w:val="005B1A3B"/>
    <w:rsid w:val="005B241F"/>
    <w:rsid w:val="005B274F"/>
    <w:rsid w:val="005B3292"/>
    <w:rsid w:val="005B6792"/>
    <w:rsid w:val="005B6B60"/>
    <w:rsid w:val="005C096F"/>
    <w:rsid w:val="005C15C9"/>
    <w:rsid w:val="005C397C"/>
    <w:rsid w:val="005C3CDB"/>
    <w:rsid w:val="005C4A2B"/>
    <w:rsid w:val="005C4BA5"/>
    <w:rsid w:val="005C56B4"/>
    <w:rsid w:val="005C6A0A"/>
    <w:rsid w:val="005C6DDF"/>
    <w:rsid w:val="005D05A3"/>
    <w:rsid w:val="005D539F"/>
    <w:rsid w:val="005D56EC"/>
    <w:rsid w:val="005D5803"/>
    <w:rsid w:val="005D646A"/>
    <w:rsid w:val="005D77A7"/>
    <w:rsid w:val="005E08C2"/>
    <w:rsid w:val="005E1658"/>
    <w:rsid w:val="005E2A29"/>
    <w:rsid w:val="005E2D61"/>
    <w:rsid w:val="005E2FCF"/>
    <w:rsid w:val="005E3529"/>
    <w:rsid w:val="005E754C"/>
    <w:rsid w:val="005E768E"/>
    <w:rsid w:val="005F02D2"/>
    <w:rsid w:val="005F0510"/>
    <w:rsid w:val="005F05EE"/>
    <w:rsid w:val="005F1476"/>
    <w:rsid w:val="005F1556"/>
    <w:rsid w:val="005F1A5A"/>
    <w:rsid w:val="005F2674"/>
    <w:rsid w:val="005F3E49"/>
    <w:rsid w:val="005F431A"/>
    <w:rsid w:val="005F7DAF"/>
    <w:rsid w:val="00600842"/>
    <w:rsid w:val="00600E82"/>
    <w:rsid w:val="00601253"/>
    <w:rsid w:val="00602215"/>
    <w:rsid w:val="00602C1C"/>
    <w:rsid w:val="00603BC0"/>
    <w:rsid w:val="00603C2B"/>
    <w:rsid w:val="0060631D"/>
    <w:rsid w:val="00606EA9"/>
    <w:rsid w:val="00610945"/>
    <w:rsid w:val="00611E0D"/>
    <w:rsid w:val="00612073"/>
    <w:rsid w:val="006125C6"/>
    <w:rsid w:val="006133F8"/>
    <w:rsid w:val="00614354"/>
    <w:rsid w:val="00614EB3"/>
    <w:rsid w:val="006151D0"/>
    <w:rsid w:val="00615A08"/>
    <w:rsid w:val="00617D6F"/>
    <w:rsid w:val="00620CFC"/>
    <w:rsid w:val="00621408"/>
    <w:rsid w:val="0062234F"/>
    <w:rsid w:val="00624F5E"/>
    <w:rsid w:val="00625DB1"/>
    <w:rsid w:val="00632219"/>
    <w:rsid w:val="00636009"/>
    <w:rsid w:val="00636614"/>
    <w:rsid w:val="0063671C"/>
    <w:rsid w:val="00636B1E"/>
    <w:rsid w:val="00636ECD"/>
    <w:rsid w:val="006431C7"/>
    <w:rsid w:val="00645835"/>
    <w:rsid w:val="00645A3C"/>
    <w:rsid w:val="00646B4F"/>
    <w:rsid w:val="00650345"/>
    <w:rsid w:val="0065173F"/>
    <w:rsid w:val="006534EA"/>
    <w:rsid w:val="00653E40"/>
    <w:rsid w:val="00654DAE"/>
    <w:rsid w:val="0065558A"/>
    <w:rsid w:val="00656761"/>
    <w:rsid w:val="00656977"/>
    <w:rsid w:val="00656C3B"/>
    <w:rsid w:val="00660DBC"/>
    <w:rsid w:val="00660E9E"/>
    <w:rsid w:val="0066155B"/>
    <w:rsid w:val="006618CE"/>
    <w:rsid w:val="00662298"/>
    <w:rsid w:val="006636D8"/>
    <w:rsid w:val="006645EA"/>
    <w:rsid w:val="00664C4B"/>
    <w:rsid w:val="0066523D"/>
    <w:rsid w:val="006657CE"/>
    <w:rsid w:val="00670C89"/>
    <w:rsid w:val="00673F3E"/>
    <w:rsid w:val="00674113"/>
    <w:rsid w:val="00674313"/>
    <w:rsid w:val="00674B78"/>
    <w:rsid w:val="00675135"/>
    <w:rsid w:val="0067514D"/>
    <w:rsid w:val="00675FF1"/>
    <w:rsid w:val="006767C2"/>
    <w:rsid w:val="00677533"/>
    <w:rsid w:val="006809F4"/>
    <w:rsid w:val="00680DDB"/>
    <w:rsid w:val="0068126E"/>
    <w:rsid w:val="006824ED"/>
    <w:rsid w:val="00682F36"/>
    <w:rsid w:val="006848D7"/>
    <w:rsid w:val="0068585E"/>
    <w:rsid w:val="0068618B"/>
    <w:rsid w:val="006864A3"/>
    <w:rsid w:val="00686665"/>
    <w:rsid w:val="00686D75"/>
    <w:rsid w:val="006877B6"/>
    <w:rsid w:val="006878E1"/>
    <w:rsid w:val="00687FAF"/>
    <w:rsid w:val="00690D4F"/>
    <w:rsid w:val="00691046"/>
    <w:rsid w:val="0069142A"/>
    <w:rsid w:val="006923C0"/>
    <w:rsid w:val="0069387F"/>
    <w:rsid w:val="0069472B"/>
    <w:rsid w:val="00694BB1"/>
    <w:rsid w:val="00694E16"/>
    <w:rsid w:val="00694F3D"/>
    <w:rsid w:val="006951E9"/>
    <w:rsid w:val="006958EE"/>
    <w:rsid w:val="006959D5"/>
    <w:rsid w:val="006962DE"/>
    <w:rsid w:val="006976B3"/>
    <w:rsid w:val="006A2F39"/>
    <w:rsid w:val="006A3295"/>
    <w:rsid w:val="006A3569"/>
    <w:rsid w:val="006A4131"/>
    <w:rsid w:val="006A5118"/>
    <w:rsid w:val="006A68DC"/>
    <w:rsid w:val="006B053A"/>
    <w:rsid w:val="006B28DD"/>
    <w:rsid w:val="006B2DCC"/>
    <w:rsid w:val="006B361C"/>
    <w:rsid w:val="006B4A37"/>
    <w:rsid w:val="006B4FCC"/>
    <w:rsid w:val="006B5E63"/>
    <w:rsid w:val="006B7EE0"/>
    <w:rsid w:val="006C0BA9"/>
    <w:rsid w:val="006C1529"/>
    <w:rsid w:val="006C1734"/>
    <w:rsid w:val="006C1F27"/>
    <w:rsid w:val="006C2E63"/>
    <w:rsid w:val="006C300B"/>
    <w:rsid w:val="006C3982"/>
    <w:rsid w:val="006C3D37"/>
    <w:rsid w:val="006C5574"/>
    <w:rsid w:val="006C5A87"/>
    <w:rsid w:val="006C628F"/>
    <w:rsid w:val="006C7234"/>
    <w:rsid w:val="006C7E40"/>
    <w:rsid w:val="006D0373"/>
    <w:rsid w:val="006D05A9"/>
    <w:rsid w:val="006D1532"/>
    <w:rsid w:val="006D20E9"/>
    <w:rsid w:val="006D2441"/>
    <w:rsid w:val="006D260B"/>
    <w:rsid w:val="006D34E0"/>
    <w:rsid w:val="006D3793"/>
    <w:rsid w:val="006D438C"/>
    <w:rsid w:val="006D4C0A"/>
    <w:rsid w:val="006D5080"/>
    <w:rsid w:val="006D5447"/>
    <w:rsid w:val="006D5A28"/>
    <w:rsid w:val="006D6405"/>
    <w:rsid w:val="006D72BF"/>
    <w:rsid w:val="006D7421"/>
    <w:rsid w:val="006E3DDD"/>
    <w:rsid w:val="006E541F"/>
    <w:rsid w:val="006E59ED"/>
    <w:rsid w:val="006E6159"/>
    <w:rsid w:val="006E68E4"/>
    <w:rsid w:val="006E7197"/>
    <w:rsid w:val="006E71B9"/>
    <w:rsid w:val="006F1926"/>
    <w:rsid w:val="006F2A0B"/>
    <w:rsid w:val="006F2FA1"/>
    <w:rsid w:val="006F33FB"/>
    <w:rsid w:val="006F4093"/>
    <w:rsid w:val="006F4EE5"/>
    <w:rsid w:val="006F50C5"/>
    <w:rsid w:val="006F598B"/>
    <w:rsid w:val="006F6B60"/>
    <w:rsid w:val="006F6F0B"/>
    <w:rsid w:val="00700698"/>
    <w:rsid w:val="0070509A"/>
    <w:rsid w:val="00705F0B"/>
    <w:rsid w:val="00706BEC"/>
    <w:rsid w:val="007078B3"/>
    <w:rsid w:val="0071066C"/>
    <w:rsid w:val="00710E3D"/>
    <w:rsid w:val="00711113"/>
    <w:rsid w:val="00713FE0"/>
    <w:rsid w:val="00715283"/>
    <w:rsid w:val="007159F0"/>
    <w:rsid w:val="00716B0B"/>
    <w:rsid w:val="00717B6D"/>
    <w:rsid w:val="0072048D"/>
    <w:rsid w:val="0072057B"/>
    <w:rsid w:val="00721648"/>
    <w:rsid w:val="00723093"/>
    <w:rsid w:val="00725F28"/>
    <w:rsid w:val="00727FA4"/>
    <w:rsid w:val="0073030D"/>
    <w:rsid w:val="0073378B"/>
    <w:rsid w:val="00733FD2"/>
    <w:rsid w:val="00734621"/>
    <w:rsid w:val="00736DCB"/>
    <w:rsid w:val="00740462"/>
    <w:rsid w:val="00740F28"/>
    <w:rsid w:val="00741333"/>
    <w:rsid w:val="007443FE"/>
    <w:rsid w:val="00744ECA"/>
    <w:rsid w:val="00745078"/>
    <w:rsid w:val="00746416"/>
    <w:rsid w:val="00746922"/>
    <w:rsid w:val="00751A4C"/>
    <w:rsid w:val="007539B1"/>
    <w:rsid w:val="00753BD5"/>
    <w:rsid w:val="00756E89"/>
    <w:rsid w:val="007574C7"/>
    <w:rsid w:val="00760823"/>
    <w:rsid w:val="007615CC"/>
    <w:rsid w:val="00762F1B"/>
    <w:rsid w:val="00764068"/>
    <w:rsid w:val="00764137"/>
    <w:rsid w:val="00764370"/>
    <w:rsid w:val="007653AC"/>
    <w:rsid w:val="0076586F"/>
    <w:rsid w:val="00766493"/>
    <w:rsid w:val="00766B50"/>
    <w:rsid w:val="007678FF"/>
    <w:rsid w:val="00770708"/>
    <w:rsid w:val="0077087F"/>
    <w:rsid w:val="007735B7"/>
    <w:rsid w:val="00774037"/>
    <w:rsid w:val="00775CBC"/>
    <w:rsid w:val="00781507"/>
    <w:rsid w:val="007829C0"/>
    <w:rsid w:val="00783828"/>
    <w:rsid w:val="00784563"/>
    <w:rsid w:val="0078502D"/>
    <w:rsid w:val="00785705"/>
    <w:rsid w:val="00785A9D"/>
    <w:rsid w:val="00786460"/>
    <w:rsid w:val="007865CF"/>
    <w:rsid w:val="00786681"/>
    <w:rsid w:val="00786703"/>
    <w:rsid w:val="007916FE"/>
    <w:rsid w:val="00793575"/>
    <w:rsid w:val="00794864"/>
    <w:rsid w:val="00795397"/>
    <w:rsid w:val="00795BF2"/>
    <w:rsid w:val="00797639"/>
    <w:rsid w:val="00797823"/>
    <w:rsid w:val="00797F38"/>
    <w:rsid w:val="007A0508"/>
    <w:rsid w:val="007A0885"/>
    <w:rsid w:val="007A1AEC"/>
    <w:rsid w:val="007A2AA6"/>
    <w:rsid w:val="007A32D3"/>
    <w:rsid w:val="007A3432"/>
    <w:rsid w:val="007A3E1F"/>
    <w:rsid w:val="007A4B37"/>
    <w:rsid w:val="007A5038"/>
    <w:rsid w:val="007A5CB7"/>
    <w:rsid w:val="007A758A"/>
    <w:rsid w:val="007A77D2"/>
    <w:rsid w:val="007B05AF"/>
    <w:rsid w:val="007B0926"/>
    <w:rsid w:val="007B1A0A"/>
    <w:rsid w:val="007B3374"/>
    <w:rsid w:val="007B37B2"/>
    <w:rsid w:val="007B395B"/>
    <w:rsid w:val="007B406D"/>
    <w:rsid w:val="007B5114"/>
    <w:rsid w:val="007B59D0"/>
    <w:rsid w:val="007B6672"/>
    <w:rsid w:val="007B7CC3"/>
    <w:rsid w:val="007C0001"/>
    <w:rsid w:val="007C02BE"/>
    <w:rsid w:val="007C052A"/>
    <w:rsid w:val="007C13E2"/>
    <w:rsid w:val="007C2BB2"/>
    <w:rsid w:val="007C41FF"/>
    <w:rsid w:val="007C7BC8"/>
    <w:rsid w:val="007C7D43"/>
    <w:rsid w:val="007C7FA4"/>
    <w:rsid w:val="007D10A4"/>
    <w:rsid w:val="007D1AC9"/>
    <w:rsid w:val="007D2045"/>
    <w:rsid w:val="007D2622"/>
    <w:rsid w:val="007D28BE"/>
    <w:rsid w:val="007D2FD1"/>
    <w:rsid w:val="007D320B"/>
    <w:rsid w:val="007D339C"/>
    <w:rsid w:val="007D3C6B"/>
    <w:rsid w:val="007D3EF1"/>
    <w:rsid w:val="007D687A"/>
    <w:rsid w:val="007D7D4C"/>
    <w:rsid w:val="007E0139"/>
    <w:rsid w:val="007E2447"/>
    <w:rsid w:val="007E3662"/>
    <w:rsid w:val="007E3AC9"/>
    <w:rsid w:val="007E40B9"/>
    <w:rsid w:val="007E5560"/>
    <w:rsid w:val="007E56CC"/>
    <w:rsid w:val="007F12EE"/>
    <w:rsid w:val="007F1EFF"/>
    <w:rsid w:val="007F28F8"/>
    <w:rsid w:val="007F357E"/>
    <w:rsid w:val="007F444F"/>
    <w:rsid w:val="007F4CC3"/>
    <w:rsid w:val="007F67E9"/>
    <w:rsid w:val="007F6D03"/>
    <w:rsid w:val="008002FA"/>
    <w:rsid w:val="0080045A"/>
    <w:rsid w:val="00805E7D"/>
    <w:rsid w:val="00810EDF"/>
    <w:rsid w:val="00811355"/>
    <w:rsid w:val="008122D3"/>
    <w:rsid w:val="0081281C"/>
    <w:rsid w:val="008135D1"/>
    <w:rsid w:val="00814DE8"/>
    <w:rsid w:val="00815040"/>
    <w:rsid w:val="008154AB"/>
    <w:rsid w:val="0081579B"/>
    <w:rsid w:val="00815D5A"/>
    <w:rsid w:val="00816D55"/>
    <w:rsid w:val="00817A69"/>
    <w:rsid w:val="00817B81"/>
    <w:rsid w:val="00817D65"/>
    <w:rsid w:val="0082000A"/>
    <w:rsid w:val="00820441"/>
    <w:rsid w:val="00823C25"/>
    <w:rsid w:val="00825171"/>
    <w:rsid w:val="008253FC"/>
    <w:rsid w:val="00825755"/>
    <w:rsid w:val="0082583C"/>
    <w:rsid w:val="0082628F"/>
    <w:rsid w:val="00832323"/>
    <w:rsid w:val="00832BD2"/>
    <w:rsid w:val="00833B70"/>
    <w:rsid w:val="008341BB"/>
    <w:rsid w:val="00834DCB"/>
    <w:rsid w:val="00837AC5"/>
    <w:rsid w:val="00840530"/>
    <w:rsid w:val="0084400C"/>
    <w:rsid w:val="008446CA"/>
    <w:rsid w:val="00844EBB"/>
    <w:rsid w:val="008462FE"/>
    <w:rsid w:val="00850B05"/>
    <w:rsid w:val="00852C78"/>
    <w:rsid w:val="00854A8F"/>
    <w:rsid w:val="00855A93"/>
    <w:rsid w:val="008560E7"/>
    <w:rsid w:val="0085639F"/>
    <w:rsid w:val="00856637"/>
    <w:rsid w:val="00856E17"/>
    <w:rsid w:val="00857CA4"/>
    <w:rsid w:val="008604C8"/>
    <w:rsid w:val="00860C7F"/>
    <w:rsid w:val="00860D58"/>
    <w:rsid w:val="0086124E"/>
    <w:rsid w:val="008636C3"/>
    <w:rsid w:val="00863F1F"/>
    <w:rsid w:val="00864C6A"/>
    <w:rsid w:val="00864CE1"/>
    <w:rsid w:val="0086533D"/>
    <w:rsid w:val="00865423"/>
    <w:rsid w:val="008665FA"/>
    <w:rsid w:val="008678FE"/>
    <w:rsid w:val="00867A9B"/>
    <w:rsid w:val="008701E7"/>
    <w:rsid w:val="0087040B"/>
    <w:rsid w:val="008705AB"/>
    <w:rsid w:val="00871C55"/>
    <w:rsid w:val="008724A1"/>
    <w:rsid w:val="0087378C"/>
    <w:rsid w:val="008743F1"/>
    <w:rsid w:val="008764E5"/>
    <w:rsid w:val="00876D80"/>
    <w:rsid w:val="00880531"/>
    <w:rsid w:val="0088150D"/>
    <w:rsid w:val="00882439"/>
    <w:rsid w:val="00882D51"/>
    <w:rsid w:val="00885488"/>
    <w:rsid w:val="00885644"/>
    <w:rsid w:val="00887426"/>
    <w:rsid w:val="008878C4"/>
    <w:rsid w:val="00890DDC"/>
    <w:rsid w:val="00892E52"/>
    <w:rsid w:val="008938F1"/>
    <w:rsid w:val="00895002"/>
    <w:rsid w:val="00897988"/>
    <w:rsid w:val="00897A98"/>
    <w:rsid w:val="008A112E"/>
    <w:rsid w:val="008A27E1"/>
    <w:rsid w:val="008A3BE7"/>
    <w:rsid w:val="008A5191"/>
    <w:rsid w:val="008A6F3D"/>
    <w:rsid w:val="008B017B"/>
    <w:rsid w:val="008B04E6"/>
    <w:rsid w:val="008B170E"/>
    <w:rsid w:val="008B2580"/>
    <w:rsid w:val="008B29B5"/>
    <w:rsid w:val="008B2A3C"/>
    <w:rsid w:val="008B3629"/>
    <w:rsid w:val="008B3809"/>
    <w:rsid w:val="008B398B"/>
    <w:rsid w:val="008B3F22"/>
    <w:rsid w:val="008B4AB8"/>
    <w:rsid w:val="008B4D65"/>
    <w:rsid w:val="008B5110"/>
    <w:rsid w:val="008B5F77"/>
    <w:rsid w:val="008B6611"/>
    <w:rsid w:val="008B6C1A"/>
    <w:rsid w:val="008C11B4"/>
    <w:rsid w:val="008C2283"/>
    <w:rsid w:val="008C3016"/>
    <w:rsid w:val="008C4DDC"/>
    <w:rsid w:val="008C4EB7"/>
    <w:rsid w:val="008C5C65"/>
    <w:rsid w:val="008C608A"/>
    <w:rsid w:val="008C76C3"/>
    <w:rsid w:val="008C7F01"/>
    <w:rsid w:val="008D08DF"/>
    <w:rsid w:val="008D1A85"/>
    <w:rsid w:val="008D2305"/>
    <w:rsid w:val="008D2775"/>
    <w:rsid w:val="008D2A33"/>
    <w:rsid w:val="008D3404"/>
    <w:rsid w:val="008D42AC"/>
    <w:rsid w:val="008D47B8"/>
    <w:rsid w:val="008D47BB"/>
    <w:rsid w:val="008E08B5"/>
    <w:rsid w:val="008E2D2F"/>
    <w:rsid w:val="008E5187"/>
    <w:rsid w:val="008F0C4D"/>
    <w:rsid w:val="008F1479"/>
    <w:rsid w:val="008F29FD"/>
    <w:rsid w:val="008F4328"/>
    <w:rsid w:val="008F4493"/>
    <w:rsid w:val="008F523F"/>
    <w:rsid w:val="008F5FF3"/>
    <w:rsid w:val="008F72B6"/>
    <w:rsid w:val="008F7B65"/>
    <w:rsid w:val="00901841"/>
    <w:rsid w:val="009022A9"/>
    <w:rsid w:val="0090241F"/>
    <w:rsid w:val="009030C6"/>
    <w:rsid w:val="009036FE"/>
    <w:rsid w:val="00903D06"/>
    <w:rsid w:val="0090481B"/>
    <w:rsid w:val="00905F3B"/>
    <w:rsid w:val="009064B9"/>
    <w:rsid w:val="00906C1F"/>
    <w:rsid w:val="0091039F"/>
    <w:rsid w:val="0091290C"/>
    <w:rsid w:val="00913FC8"/>
    <w:rsid w:val="0091573C"/>
    <w:rsid w:val="00915C92"/>
    <w:rsid w:val="0091631A"/>
    <w:rsid w:val="00920EA1"/>
    <w:rsid w:val="0092263E"/>
    <w:rsid w:val="00922F6C"/>
    <w:rsid w:val="00923179"/>
    <w:rsid w:val="009243B4"/>
    <w:rsid w:val="009270FF"/>
    <w:rsid w:val="0092766C"/>
    <w:rsid w:val="00927F5D"/>
    <w:rsid w:val="00931489"/>
    <w:rsid w:val="009340FA"/>
    <w:rsid w:val="00934DCF"/>
    <w:rsid w:val="0093507D"/>
    <w:rsid w:val="009350C8"/>
    <w:rsid w:val="00935ECC"/>
    <w:rsid w:val="00936031"/>
    <w:rsid w:val="00937204"/>
    <w:rsid w:val="00937423"/>
    <w:rsid w:val="00937DE7"/>
    <w:rsid w:val="0094009D"/>
    <w:rsid w:val="00941C1E"/>
    <w:rsid w:val="0094348F"/>
    <w:rsid w:val="00943881"/>
    <w:rsid w:val="00944C1E"/>
    <w:rsid w:val="00944C68"/>
    <w:rsid w:val="009477A8"/>
    <w:rsid w:val="009478DB"/>
    <w:rsid w:val="00947B43"/>
    <w:rsid w:val="00951326"/>
    <w:rsid w:val="00951AFD"/>
    <w:rsid w:val="009520E1"/>
    <w:rsid w:val="00952EBB"/>
    <w:rsid w:val="009543D8"/>
    <w:rsid w:val="00954AA5"/>
    <w:rsid w:val="00954E6D"/>
    <w:rsid w:val="00955392"/>
    <w:rsid w:val="0095661E"/>
    <w:rsid w:val="009566AA"/>
    <w:rsid w:val="00956829"/>
    <w:rsid w:val="00956DB2"/>
    <w:rsid w:val="009575BA"/>
    <w:rsid w:val="009611DB"/>
    <w:rsid w:val="0096375B"/>
    <w:rsid w:val="00964D40"/>
    <w:rsid w:val="00965FDB"/>
    <w:rsid w:val="009666DB"/>
    <w:rsid w:val="00966E04"/>
    <w:rsid w:val="0096755C"/>
    <w:rsid w:val="00967F1E"/>
    <w:rsid w:val="00967F5F"/>
    <w:rsid w:val="00970035"/>
    <w:rsid w:val="00970715"/>
    <w:rsid w:val="009717A0"/>
    <w:rsid w:val="00972793"/>
    <w:rsid w:val="00974249"/>
    <w:rsid w:val="00974508"/>
    <w:rsid w:val="0097463C"/>
    <w:rsid w:val="00976094"/>
    <w:rsid w:val="009767FA"/>
    <w:rsid w:val="009778FA"/>
    <w:rsid w:val="009779B0"/>
    <w:rsid w:val="009803B5"/>
    <w:rsid w:val="00980BD1"/>
    <w:rsid w:val="00980D57"/>
    <w:rsid w:val="00983E9A"/>
    <w:rsid w:val="009855F2"/>
    <w:rsid w:val="009859D7"/>
    <w:rsid w:val="00986B16"/>
    <w:rsid w:val="0099030E"/>
    <w:rsid w:val="00990A13"/>
    <w:rsid w:val="00991C47"/>
    <w:rsid w:val="00992FB2"/>
    <w:rsid w:val="009932F8"/>
    <w:rsid w:val="00993E34"/>
    <w:rsid w:val="009948DC"/>
    <w:rsid w:val="00994F3D"/>
    <w:rsid w:val="0099604E"/>
    <w:rsid w:val="00997F37"/>
    <w:rsid w:val="009A0130"/>
    <w:rsid w:val="009A07D6"/>
    <w:rsid w:val="009A08A9"/>
    <w:rsid w:val="009A0D44"/>
    <w:rsid w:val="009A1594"/>
    <w:rsid w:val="009A327A"/>
    <w:rsid w:val="009A3820"/>
    <w:rsid w:val="009A3913"/>
    <w:rsid w:val="009A3D61"/>
    <w:rsid w:val="009A4A98"/>
    <w:rsid w:val="009B0BFA"/>
    <w:rsid w:val="009B1232"/>
    <w:rsid w:val="009B1327"/>
    <w:rsid w:val="009B33EA"/>
    <w:rsid w:val="009B5AE9"/>
    <w:rsid w:val="009B5B22"/>
    <w:rsid w:val="009B64E2"/>
    <w:rsid w:val="009B6AB4"/>
    <w:rsid w:val="009B7121"/>
    <w:rsid w:val="009C0B10"/>
    <w:rsid w:val="009C3039"/>
    <w:rsid w:val="009C4307"/>
    <w:rsid w:val="009C4466"/>
    <w:rsid w:val="009C4C70"/>
    <w:rsid w:val="009C5F2E"/>
    <w:rsid w:val="009C6141"/>
    <w:rsid w:val="009C64D9"/>
    <w:rsid w:val="009C68DD"/>
    <w:rsid w:val="009C732B"/>
    <w:rsid w:val="009C73C0"/>
    <w:rsid w:val="009D00A4"/>
    <w:rsid w:val="009D0218"/>
    <w:rsid w:val="009D0298"/>
    <w:rsid w:val="009D039A"/>
    <w:rsid w:val="009D0403"/>
    <w:rsid w:val="009D12EB"/>
    <w:rsid w:val="009D1EA3"/>
    <w:rsid w:val="009D33FB"/>
    <w:rsid w:val="009D3739"/>
    <w:rsid w:val="009D401B"/>
    <w:rsid w:val="009D4EA7"/>
    <w:rsid w:val="009D5B12"/>
    <w:rsid w:val="009D5D20"/>
    <w:rsid w:val="009D669F"/>
    <w:rsid w:val="009D70EF"/>
    <w:rsid w:val="009D7A62"/>
    <w:rsid w:val="009D7D41"/>
    <w:rsid w:val="009E3B0D"/>
    <w:rsid w:val="009E6608"/>
    <w:rsid w:val="009E661C"/>
    <w:rsid w:val="009E6BC6"/>
    <w:rsid w:val="009F1185"/>
    <w:rsid w:val="009F1752"/>
    <w:rsid w:val="009F1D45"/>
    <w:rsid w:val="009F528F"/>
    <w:rsid w:val="009F67CA"/>
    <w:rsid w:val="009F6A96"/>
    <w:rsid w:val="009F6E71"/>
    <w:rsid w:val="009F7AA8"/>
    <w:rsid w:val="009F7BBB"/>
    <w:rsid w:val="00A0080C"/>
    <w:rsid w:val="00A01ED2"/>
    <w:rsid w:val="00A02107"/>
    <w:rsid w:val="00A0222D"/>
    <w:rsid w:val="00A02335"/>
    <w:rsid w:val="00A02961"/>
    <w:rsid w:val="00A02D32"/>
    <w:rsid w:val="00A036A8"/>
    <w:rsid w:val="00A0649D"/>
    <w:rsid w:val="00A06983"/>
    <w:rsid w:val="00A069C0"/>
    <w:rsid w:val="00A07C28"/>
    <w:rsid w:val="00A1084E"/>
    <w:rsid w:val="00A14509"/>
    <w:rsid w:val="00A160F6"/>
    <w:rsid w:val="00A16341"/>
    <w:rsid w:val="00A209B9"/>
    <w:rsid w:val="00A226A1"/>
    <w:rsid w:val="00A2285F"/>
    <w:rsid w:val="00A22B26"/>
    <w:rsid w:val="00A2333D"/>
    <w:rsid w:val="00A2443A"/>
    <w:rsid w:val="00A26038"/>
    <w:rsid w:val="00A309CE"/>
    <w:rsid w:val="00A31460"/>
    <w:rsid w:val="00A3175D"/>
    <w:rsid w:val="00A317DF"/>
    <w:rsid w:val="00A3206E"/>
    <w:rsid w:val="00A32168"/>
    <w:rsid w:val="00A32305"/>
    <w:rsid w:val="00A33AD7"/>
    <w:rsid w:val="00A35616"/>
    <w:rsid w:val="00A3593F"/>
    <w:rsid w:val="00A40396"/>
    <w:rsid w:val="00A4050D"/>
    <w:rsid w:val="00A40512"/>
    <w:rsid w:val="00A41355"/>
    <w:rsid w:val="00A44205"/>
    <w:rsid w:val="00A45BC3"/>
    <w:rsid w:val="00A471C1"/>
    <w:rsid w:val="00A50FA7"/>
    <w:rsid w:val="00A53990"/>
    <w:rsid w:val="00A552C8"/>
    <w:rsid w:val="00A555F1"/>
    <w:rsid w:val="00A55ABB"/>
    <w:rsid w:val="00A55C79"/>
    <w:rsid w:val="00A60351"/>
    <w:rsid w:val="00A62874"/>
    <w:rsid w:val="00A62A4B"/>
    <w:rsid w:val="00A62E5B"/>
    <w:rsid w:val="00A63413"/>
    <w:rsid w:val="00A64876"/>
    <w:rsid w:val="00A65E98"/>
    <w:rsid w:val="00A66A65"/>
    <w:rsid w:val="00A66B47"/>
    <w:rsid w:val="00A7088F"/>
    <w:rsid w:val="00A70BAE"/>
    <w:rsid w:val="00A70FB6"/>
    <w:rsid w:val="00A716BC"/>
    <w:rsid w:val="00A726E4"/>
    <w:rsid w:val="00A72CAE"/>
    <w:rsid w:val="00A72E1A"/>
    <w:rsid w:val="00A72F9C"/>
    <w:rsid w:val="00A73994"/>
    <w:rsid w:val="00A73F7D"/>
    <w:rsid w:val="00A754B3"/>
    <w:rsid w:val="00A756A3"/>
    <w:rsid w:val="00A75F67"/>
    <w:rsid w:val="00A77226"/>
    <w:rsid w:val="00A77310"/>
    <w:rsid w:val="00A7774F"/>
    <w:rsid w:val="00A82046"/>
    <w:rsid w:val="00A82DCE"/>
    <w:rsid w:val="00A8396D"/>
    <w:rsid w:val="00A84D37"/>
    <w:rsid w:val="00A85EF5"/>
    <w:rsid w:val="00A8675D"/>
    <w:rsid w:val="00A86BD1"/>
    <w:rsid w:val="00A870F4"/>
    <w:rsid w:val="00A90A93"/>
    <w:rsid w:val="00A91D9B"/>
    <w:rsid w:val="00A923EC"/>
    <w:rsid w:val="00A926F5"/>
    <w:rsid w:val="00A92FB5"/>
    <w:rsid w:val="00A9315C"/>
    <w:rsid w:val="00A931CD"/>
    <w:rsid w:val="00A93993"/>
    <w:rsid w:val="00A93B0A"/>
    <w:rsid w:val="00A94F9B"/>
    <w:rsid w:val="00A951A2"/>
    <w:rsid w:val="00A957F8"/>
    <w:rsid w:val="00A95CFB"/>
    <w:rsid w:val="00A96035"/>
    <w:rsid w:val="00A96AC5"/>
    <w:rsid w:val="00A96D40"/>
    <w:rsid w:val="00A96E39"/>
    <w:rsid w:val="00A96EE9"/>
    <w:rsid w:val="00AA0D72"/>
    <w:rsid w:val="00AA2144"/>
    <w:rsid w:val="00AA2226"/>
    <w:rsid w:val="00AA69F5"/>
    <w:rsid w:val="00AA7863"/>
    <w:rsid w:val="00AB0095"/>
    <w:rsid w:val="00AB0B2B"/>
    <w:rsid w:val="00AB11D7"/>
    <w:rsid w:val="00AB11FE"/>
    <w:rsid w:val="00AB1311"/>
    <w:rsid w:val="00AB154F"/>
    <w:rsid w:val="00AB15F9"/>
    <w:rsid w:val="00AB1C9B"/>
    <w:rsid w:val="00AB27E4"/>
    <w:rsid w:val="00AB405F"/>
    <w:rsid w:val="00AB4D25"/>
    <w:rsid w:val="00AB4FDF"/>
    <w:rsid w:val="00AB552C"/>
    <w:rsid w:val="00AB55EA"/>
    <w:rsid w:val="00AB5DA3"/>
    <w:rsid w:val="00AB5EE5"/>
    <w:rsid w:val="00AB7F8D"/>
    <w:rsid w:val="00AC0399"/>
    <w:rsid w:val="00AC1582"/>
    <w:rsid w:val="00AC2878"/>
    <w:rsid w:val="00AC3490"/>
    <w:rsid w:val="00AC39F7"/>
    <w:rsid w:val="00AC3E3F"/>
    <w:rsid w:val="00AC52F0"/>
    <w:rsid w:val="00AC5BE3"/>
    <w:rsid w:val="00AC5DC0"/>
    <w:rsid w:val="00AD0E2F"/>
    <w:rsid w:val="00AD3214"/>
    <w:rsid w:val="00AD4FFB"/>
    <w:rsid w:val="00AD5940"/>
    <w:rsid w:val="00AE0380"/>
    <w:rsid w:val="00AE1075"/>
    <w:rsid w:val="00AE155D"/>
    <w:rsid w:val="00AE1D70"/>
    <w:rsid w:val="00AE268B"/>
    <w:rsid w:val="00AE3E9C"/>
    <w:rsid w:val="00AE46B2"/>
    <w:rsid w:val="00AE56C9"/>
    <w:rsid w:val="00AE6AEA"/>
    <w:rsid w:val="00AF06E7"/>
    <w:rsid w:val="00AF1242"/>
    <w:rsid w:val="00AF2757"/>
    <w:rsid w:val="00AF2D1C"/>
    <w:rsid w:val="00AF35A7"/>
    <w:rsid w:val="00AF3831"/>
    <w:rsid w:val="00AF3F42"/>
    <w:rsid w:val="00AF4791"/>
    <w:rsid w:val="00AF4E9D"/>
    <w:rsid w:val="00AF51D8"/>
    <w:rsid w:val="00AF5A64"/>
    <w:rsid w:val="00AF5B27"/>
    <w:rsid w:val="00AF6061"/>
    <w:rsid w:val="00AF6481"/>
    <w:rsid w:val="00AF6987"/>
    <w:rsid w:val="00AF6AE6"/>
    <w:rsid w:val="00B0051C"/>
    <w:rsid w:val="00B00B0F"/>
    <w:rsid w:val="00B00CAD"/>
    <w:rsid w:val="00B01D41"/>
    <w:rsid w:val="00B024A4"/>
    <w:rsid w:val="00B0254E"/>
    <w:rsid w:val="00B0431A"/>
    <w:rsid w:val="00B0518A"/>
    <w:rsid w:val="00B05558"/>
    <w:rsid w:val="00B05A4B"/>
    <w:rsid w:val="00B06209"/>
    <w:rsid w:val="00B07C84"/>
    <w:rsid w:val="00B1151B"/>
    <w:rsid w:val="00B11C94"/>
    <w:rsid w:val="00B13972"/>
    <w:rsid w:val="00B151B7"/>
    <w:rsid w:val="00B15D6A"/>
    <w:rsid w:val="00B16D84"/>
    <w:rsid w:val="00B17BAD"/>
    <w:rsid w:val="00B20033"/>
    <w:rsid w:val="00B20820"/>
    <w:rsid w:val="00B211D0"/>
    <w:rsid w:val="00B23283"/>
    <w:rsid w:val="00B24B38"/>
    <w:rsid w:val="00B25BBF"/>
    <w:rsid w:val="00B27099"/>
    <w:rsid w:val="00B30BFE"/>
    <w:rsid w:val="00B30C2E"/>
    <w:rsid w:val="00B3167D"/>
    <w:rsid w:val="00B31AF6"/>
    <w:rsid w:val="00B3226A"/>
    <w:rsid w:val="00B328B6"/>
    <w:rsid w:val="00B328FE"/>
    <w:rsid w:val="00B33272"/>
    <w:rsid w:val="00B3619A"/>
    <w:rsid w:val="00B36ADC"/>
    <w:rsid w:val="00B376F9"/>
    <w:rsid w:val="00B37879"/>
    <w:rsid w:val="00B402ED"/>
    <w:rsid w:val="00B403EF"/>
    <w:rsid w:val="00B40D2E"/>
    <w:rsid w:val="00B41EB1"/>
    <w:rsid w:val="00B42580"/>
    <w:rsid w:val="00B42A5B"/>
    <w:rsid w:val="00B43E66"/>
    <w:rsid w:val="00B4510C"/>
    <w:rsid w:val="00B456C1"/>
    <w:rsid w:val="00B4648C"/>
    <w:rsid w:val="00B4788E"/>
    <w:rsid w:val="00B50F27"/>
    <w:rsid w:val="00B5160A"/>
    <w:rsid w:val="00B52F1D"/>
    <w:rsid w:val="00B53601"/>
    <w:rsid w:val="00B537B4"/>
    <w:rsid w:val="00B53D29"/>
    <w:rsid w:val="00B53E6B"/>
    <w:rsid w:val="00B55BA2"/>
    <w:rsid w:val="00B5601E"/>
    <w:rsid w:val="00B5793A"/>
    <w:rsid w:val="00B60018"/>
    <w:rsid w:val="00B60E99"/>
    <w:rsid w:val="00B61310"/>
    <w:rsid w:val="00B61823"/>
    <w:rsid w:val="00B61E77"/>
    <w:rsid w:val="00B61E87"/>
    <w:rsid w:val="00B65FB9"/>
    <w:rsid w:val="00B663F2"/>
    <w:rsid w:val="00B6677F"/>
    <w:rsid w:val="00B6679D"/>
    <w:rsid w:val="00B66F68"/>
    <w:rsid w:val="00B671AF"/>
    <w:rsid w:val="00B673E4"/>
    <w:rsid w:val="00B675A5"/>
    <w:rsid w:val="00B67E4A"/>
    <w:rsid w:val="00B70B63"/>
    <w:rsid w:val="00B70C6D"/>
    <w:rsid w:val="00B71A74"/>
    <w:rsid w:val="00B71F05"/>
    <w:rsid w:val="00B72C7D"/>
    <w:rsid w:val="00B734DD"/>
    <w:rsid w:val="00B754E2"/>
    <w:rsid w:val="00B75EAD"/>
    <w:rsid w:val="00B77C9D"/>
    <w:rsid w:val="00B801CE"/>
    <w:rsid w:val="00B80D40"/>
    <w:rsid w:val="00B80DDF"/>
    <w:rsid w:val="00B80E42"/>
    <w:rsid w:val="00B8138B"/>
    <w:rsid w:val="00B8235F"/>
    <w:rsid w:val="00B82A7B"/>
    <w:rsid w:val="00B836F5"/>
    <w:rsid w:val="00B8547F"/>
    <w:rsid w:val="00B854D3"/>
    <w:rsid w:val="00B86951"/>
    <w:rsid w:val="00B86C21"/>
    <w:rsid w:val="00B901C3"/>
    <w:rsid w:val="00B92247"/>
    <w:rsid w:val="00B925E5"/>
    <w:rsid w:val="00B93356"/>
    <w:rsid w:val="00B97A02"/>
    <w:rsid w:val="00BA02B2"/>
    <w:rsid w:val="00BA0836"/>
    <w:rsid w:val="00BA09AE"/>
    <w:rsid w:val="00BA1438"/>
    <w:rsid w:val="00BA1C7C"/>
    <w:rsid w:val="00BA2AC4"/>
    <w:rsid w:val="00BA2D61"/>
    <w:rsid w:val="00BA2DE2"/>
    <w:rsid w:val="00BA68BF"/>
    <w:rsid w:val="00BB0380"/>
    <w:rsid w:val="00BB2341"/>
    <w:rsid w:val="00BB2A69"/>
    <w:rsid w:val="00BB32A9"/>
    <w:rsid w:val="00BB553C"/>
    <w:rsid w:val="00BB57F0"/>
    <w:rsid w:val="00BB77CA"/>
    <w:rsid w:val="00BB7E7F"/>
    <w:rsid w:val="00BC1314"/>
    <w:rsid w:val="00BC4422"/>
    <w:rsid w:val="00BC45CC"/>
    <w:rsid w:val="00BC58E9"/>
    <w:rsid w:val="00BC6D03"/>
    <w:rsid w:val="00BC7526"/>
    <w:rsid w:val="00BD24AF"/>
    <w:rsid w:val="00BD2D73"/>
    <w:rsid w:val="00BD3218"/>
    <w:rsid w:val="00BD541B"/>
    <w:rsid w:val="00BD541D"/>
    <w:rsid w:val="00BD6D4D"/>
    <w:rsid w:val="00BD6E85"/>
    <w:rsid w:val="00BD71E3"/>
    <w:rsid w:val="00BD7BEB"/>
    <w:rsid w:val="00BE1A68"/>
    <w:rsid w:val="00BE1DB2"/>
    <w:rsid w:val="00BE27BA"/>
    <w:rsid w:val="00BE30F6"/>
    <w:rsid w:val="00BE3546"/>
    <w:rsid w:val="00BE3CE3"/>
    <w:rsid w:val="00BE4987"/>
    <w:rsid w:val="00BE4EBD"/>
    <w:rsid w:val="00BE6C2D"/>
    <w:rsid w:val="00BE755C"/>
    <w:rsid w:val="00BF4CFF"/>
    <w:rsid w:val="00BF4E79"/>
    <w:rsid w:val="00BF8834"/>
    <w:rsid w:val="00C0043F"/>
    <w:rsid w:val="00C0137D"/>
    <w:rsid w:val="00C019B2"/>
    <w:rsid w:val="00C0329B"/>
    <w:rsid w:val="00C0419F"/>
    <w:rsid w:val="00C04202"/>
    <w:rsid w:val="00C0519D"/>
    <w:rsid w:val="00C06A73"/>
    <w:rsid w:val="00C06AFA"/>
    <w:rsid w:val="00C072DD"/>
    <w:rsid w:val="00C07F3F"/>
    <w:rsid w:val="00C1242E"/>
    <w:rsid w:val="00C13ACD"/>
    <w:rsid w:val="00C13C86"/>
    <w:rsid w:val="00C14AE5"/>
    <w:rsid w:val="00C14C37"/>
    <w:rsid w:val="00C151AE"/>
    <w:rsid w:val="00C152AA"/>
    <w:rsid w:val="00C15B44"/>
    <w:rsid w:val="00C20E8A"/>
    <w:rsid w:val="00C218C7"/>
    <w:rsid w:val="00C22037"/>
    <w:rsid w:val="00C2350B"/>
    <w:rsid w:val="00C24094"/>
    <w:rsid w:val="00C24153"/>
    <w:rsid w:val="00C246A2"/>
    <w:rsid w:val="00C255BE"/>
    <w:rsid w:val="00C267C0"/>
    <w:rsid w:val="00C26B95"/>
    <w:rsid w:val="00C26DA6"/>
    <w:rsid w:val="00C2716D"/>
    <w:rsid w:val="00C2754E"/>
    <w:rsid w:val="00C3181D"/>
    <w:rsid w:val="00C321A8"/>
    <w:rsid w:val="00C32867"/>
    <w:rsid w:val="00C32DC7"/>
    <w:rsid w:val="00C330E9"/>
    <w:rsid w:val="00C3373F"/>
    <w:rsid w:val="00C353AC"/>
    <w:rsid w:val="00C35933"/>
    <w:rsid w:val="00C3612C"/>
    <w:rsid w:val="00C361E8"/>
    <w:rsid w:val="00C37351"/>
    <w:rsid w:val="00C4012F"/>
    <w:rsid w:val="00C401B3"/>
    <w:rsid w:val="00C408F0"/>
    <w:rsid w:val="00C433C5"/>
    <w:rsid w:val="00C439D1"/>
    <w:rsid w:val="00C44701"/>
    <w:rsid w:val="00C461B7"/>
    <w:rsid w:val="00C462CB"/>
    <w:rsid w:val="00C4682C"/>
    <w:rsid w:val="00C46A28"/>
    <w:rsid w:val="00C5059F"/>
    <w:rsid w:val="00C51364"/>
    <w:rsid w:val="00C51F0B"/>
    <w:rsid w:val="00C55780"/>
    <w:rsid w:val="00C56669"/>
    <w:rsid w:val="00C56B14"/>
    <w:rsid w:val="00C60274"/>
    <w:rsid w:val="00C60FA7"/>
    <w:rsid w:val="00C63C25"/>
    <w:rsid w:val="00C6412A"/>
    <w:rsid w:val="00C64DC1"/>
    <w:rsid w:val="00C659BC"/>
    <w:rsid w:val="00C66131"/>
    <w:rsid w:val="00C672B1"/>
    <w:rsid w:val="00C67A0A"/>
    <w:rsid w:val="00C67C95"/>
    <w:rsid w:val="00C70FE7"/>
    <w:rsid w:val="00C71F00"/>
    <w:rsid w:val="00C72114"/>
    <w:rsid w:val="00C723BA"/>
    <w:rsid w:val="00C72E90"/>
    <w:rsid w:val="00C72F16"/>
    <w:rsid w:val="00C73345"/>
    <w:rsid w:val="00C7388C"/>
    <w:rsid w:val="00C742EC"/>
    <w:rsid w:val="00C759FB"/>
    <w:rsid w:val="00C75A74"/>
    <w:rsid w:val="00C75BC5"/>
    <w:rsid w:val="00C75F90"/>
    <w:rsid w:val="00C7690C"/>
    <w:rsid w:val="00C773EC"/>
    <w:rsid w:val="00C77C22"/>
    <w:rsid w:val="00C81B8B"/>
    <w:rsid w:val="00C83F48"/>
    <w:rsid w:val="00C84E63"/>
    <w:rsid w:val="00C85094"/>
    <w:rsid w:val="00C8596E"/>
    <w:rsid w:val="00C85D32"/>
    <w:rsid w:val="00C86610"/>
    <w:rsid w:val="00C87F49"/>
    <w:rsid w:val="00C90A9F"/>
    <w:rsid w:val="00C91182"/>
    <w:rsid w:val="00C93189"/>
    <w:rsid w:val="00C94931"/>
    <w:rsid w:val="00C95EEB"/>
    <w:rsid w:val="00C9604C"/>
    <w:rsid w:val="00CA3FF6"/>
    <w:rsid w:val="00CA44EA"/>
    <w:rsid w:val="00CA50C8"/>
    <w:rsid w:val="00CA64EA"/>
    <w:rsid w:val="00CB00EF"/>
    <w:rsid w:val="00CB078A"/>
    <w:rsid w:val="00CB2529"/>
    <w:rsid w:val="00CB2E3D"/>
    <w:rsid w:val="00CB5822"/>
    <w:rsid w:val="00CB5B00"/>
    <w:rsid w:val="00CB5D71"/>
    <w:rsid w:val="00CB6E16"/>
    <w:rsid w:val="00CB72EB"/>
    <w:rsid w:val="00CB78CE"/>
    <w:rsid w:val="00CB790D"/>
    <w:rsid w:val="00CC032D"/>
    <w:rsid w:val="00CC1AAE"/>
    <w:rsid w:val="00CC2491"/>
    <w:rsid w:val="00CC353F"/>
    <w:rsid w:val="00CC3757"/>
    <w:rsid w:val="00CC40DE"/>
    <w:rsid w:val="00CC5675"/>
    <w:rsid w:val="00CC5EC2"/>
    <w:rsid w:val="00CC6651"/>
    <w:rsid w:val="00CC6A36"/>
    <w:rsid w:val="00CC761B"/>
    <w:rsid w:val="00CC7C09"/>
    <w:rsid w:val="00CD0BFC"/>
    <w:rsid w:val="00CD3D31"/>
    <w:rsid w:val="00CD5585"/>
    <w:rsid w:val="00CD5BDC"/>
    <w:rsid w:val="00CD7E00"/>
    <w:rsid w:val="00CE0D95"/>
    <w:rsid w:val="00CE1202"/>
    <w:rsid w:val="00CE12FA"/>
    <w:rsid w:val="00CE1CBF"/>
    <w:rsid w:val="00CE22B0"/>
    <w:rsid w:val="00CE3452"/>
    <w:rsid w:val="00CE382C"/>
    <w:rsid w:val="00CE5716"/>
    <w:rsid w:val="00CE7426"/>
    <w:rsid w:val="00CE74E1"/>
    <w:rsid w:val="00CF103F"/>
    <w:rsid w:val="00CF22CF"/>
    <w:rsid w:val="00CF49F5"/>
    <w:rsid w:val="00CF60C3"/>
    <w:rsid w:val="00CF61AE"/>
    <w:rsid w:val="00CF6B2F"/>
    <w:rsid w:val="00D01B16"/>
    <w:rsid w:val="00D01B99"/>
    <w:rsid w:val="00D03A8F"/>
    <w:rsid w:val="00D041DB"/>
    <w:rsid w:val="00D048F2"/>
    <w:rsid w:val="00D05011"/>
    <w:rsid w:val="00D05225"/>
    <w:rsid w:val="00D064FF"/>
    <w:rsid w:val="00D06D12"/>
    <w:rsid w:val="00D06F1F"/>
    <w:rsid w:val="00D07C7E"/>
    <w:rsid w:val="00D113B2"/>
    <w:rsid w:val="00D113CE"/>
    <w:rsid w:val="00D11941"/>
    <w:rsid w:val="00D132F4"/>
    <w:rsid w:val="00D141EC"/>
    <w:rsid w:val="00D1672F"/>
    <w:rsid w:val="00D20E45"/>
    <w:rsid w:val="00D22EA1"/>
    <w:rsid w:val="00D22ED9"/>
    <w:rsid w:val="00D24685"/>
    <w:rsid w:val="00D2649C"/>
    <w:rsid w:val="00D264FF"/>
    <w:rsid w:val="00D266D5"/>
    <w:rsid w:val="00D27A6E"/>
    <w:rsid w:val="00D30124"/>
    <w:rsid w:val="00D3137B"/>
    <w:rsid w:val="00D3184B"/>
    <w:rsid w:val="00D329E3"/>
    <w:rsid w:val="00D33377"/>
    <w:rsid w:val="00D3458C"/>
    <w:rsid w:val="00D34BF9"/>
    <w:rsid w:val="00D36017"/>
    <w:rsid w:val="00D3678F"/>
    <w:rsid w:val="00D40BD9"/>
    <w:rsid w:val="00D40F29"/>
    <w:rsid w:val="00D450E9"/>
    <w:rsid w:val="00D45B60"/>
    <w:rsid w:val="00D46D56"/>
    <w:rsid w:val="00D47244"/>
    <w:rsid w:val="00D47317"/>
    <w:rsid w:val="00D5065A"/>
    <w:rsid w:val="00D50A16"/>
    <w:rsid w:val="00D50B3D"/>
    <w:rsid w:val="00D526F6"/>
    <w:rsid w:val="00D53104"/>
    <w:rsid w:val="00D53D66"/>
    <w:rsid w:val="00D5644C"/>
    <w:rsid w:val="00D564B1"/>
    <w:rsid w:val="00D572E4"/>
    <w:rsid w:val="00D607B0"/>
    <w:rsid w:val="00D61B51"/>
    <w:rsid w:val="00D63026"/>
    <w:rsid w:val="00D63F7F"/>
    <w:rsid w:val="00D642A0"/>
    <w:rsid w:val="00D65B83"/>
    <w:rsid w:val="00D6617C"/>
    <w:rsid w:val="00D67435"/>
    <w:rsid w:val="00D713E5"/>
    <w:rsid w:val="00D728AF"/>
    <w:rsid w:val="00D73AA7"/>
    <w:rsid w:val="00D73AAF"/>
    <w:rsid w:val="00D7455C"/>
    <w:rsid w:val="00D7500B"/>
    <w:rsid w:val="00D776F7"/>
    <w:rsid w:val="00D82482"/>
    <w:rsid w:val="00D83F4A"/>
    <w:rsid w:val="00D8551B"/>
    <w:rsid w:val="00D85829"/>
    <w:rsid w:val="00D85C0E"/>
    <w:rsid w:val="00D90139"/>
    <w:rsid w:val="00D903FC"/>
    <w:rsid w:val="00D94091"/>
    <w:rsid w:val="00D94199"/>
    <w:rsid w:val="00D94485"/>
    <w:rsid w:val="00D977BB"/>
    <w:rsid w:val="00D97817"/>
    <w:rsid w:val="00D97F33"/>
    <w:rsid w:val="00DA0541"/>
    <w:rsid w:val="00DA0C7D"/>
    <w:rsid w:val="00DA0C8F"/>
    <w:rsid w:val="00DA129B"/>
    <w:rsid w:val="00DA168A"/>
    <w:rsid w:val="00DA2671"/>
    <w:rsid w:val="00DA2DA9"/>
    <w:rsid w:val="00DA39A0"/>
    <w:rsid w:val="00DA3F5A"/>
    <w:rsid w:val="00DA4653"/>
    <w:rsid w:val="00DA4DFC"/>
    <w:rsid w:val="00DA5ED2"/>
    <w:rsid w:val="00DA69B2"/>
    <w:rsid w:val="00DA71E3"/>
    <w:rsid w:val="00DB019A"/>
    <w:rsid w:val="00DB07BE"/>
    <w:rsid w:val="00DB4B57"/>
    <w:rsid w:val="00DB5295"/>
    <w:rsid w:val="00DB6157"/>
    <w:rsid w:val="00DB6401"/>
    <w:rsid w:val="00DB6B14"/>
    <w:rsid w:val="00DB7069"/>
    <w:rsid w:val="00DC0880"/>
    <w:rsid w:val="00DC2B99"/>
    <w:rsid w:val="00DC49ED"/>
    <w:rsid w:val="00DC5585"/>
    <w:rsid w:val="00DC63D3"/>
    <w:rsid w:val="00DC67E8"/>
    <w:rsid w:val="00DC6C78"/>
    <w:rsid w:val="00DD0C6D"/>
    <w:rsid w:val="00DD1207"/>
    <w:rsid w:val="00DD1256"/>
    <w:rsid w:val="00DD1B2C"/>
    <w:rsid w:val="00DD1D6A"/>
    <w:rsid w:val="00DD1DF9"/>
    <w:rsid w:val="00DD5000"/>
    <w:rsid w:val="00DD728C"/>
    <w:rsid w:val="00DD85FF"/>
    <w:rsid w:val="00DE4B5F"/>
    <w:rsid w:val="00DE5712"/>
    <w:rsid w:val="00DF0937"/>
    <w:rsid w:val="00DF451A"/>
    <w:rsid w:val="00DF5736"/>
    <w:rsid w:val="00E00751"/>
    <w:rsid w:val="00E02CFE"/>
    <w:rsid w:val="00E03415"/>
    <w:rsid w:val="00E04067"/>
    <w:rsid w:val="00E04831"/>
    <w:rsid w:val="00E0501B"/>
    <w:rsid w:val="00E0505D"/>
    <w:rsid w:val="00E05605"/>
    <w:rsid w:val="00E06CC5"/>
    <w:rsid w:val="00E07762"/>
    <w:rsid w:val="00E07CDA"/>
    <w:rsid w:val="00E07F5D"/>
    <w:rsid w:val="00E10F7C"/>
    <w:rsid w:val="00E13007"/>
    <w:rsid w:val="00E13CEF"/>
    <w:rsid w:val="00E1676C"/>
    <w:rsid w:val="00E17E0D"/>
    <w:rsid w:val="00E17E68"/>
    <w:rsid w:val="00E17F5F"/>
    <w:rsid w:val="00E211EF"/>
    <w:rsid w:val="00E239D7"/>
    <w:rsid w:val="00E24E08"/>
    <w:rsid w:val="00E254AB"/>
    <w:rsid w:val="00E26D08"/>
    <w:rsid w:val="00E2720D"/>
    <w:rsid w:val="00E278E8"/>
    <w:rsid w:val="00E311D6"/>
    <w:rsid w:val="00E32325"/>
    <w:rsid w:val="00E324E1"/>
    <w:rsid w:val="00E32EF3"/>
    <w:rsid w:val="00E33324"/>
    <w:rsid w:val="00E33B7C"/>
    <w:rsid w:val="00E351B2"/>
    <w:rsid w:val="00E36165"/>
    <w:rsid w:val="00E363C8"/>
    <w:rsid w:val="00E41092"/>
    <w:rsid w:val="00E44482"/>
    <w:rsid w:val="00E444D0"/>
    <w:rsid w:val="00E446DF"/>
    <w:rsid w:val="00E45403"/>
    <w:rsid w:val="00E45E80"/>
    <w:rsid w:val="00E46729"/>
    <w:rsid w:val="00E50566"/>
    <w:rsid w:val="00E53473"/>
    <w:rsid w:val="00E53802"/>
    <w:rsid w:val="00E53DBA"/>
    <w:rsid w:val="00E5448F"/>
    <w:rsid w:val="00E55E07"/>
    <w:rsid w:val="00E57B78"/>
    <w:rsid w:val="00E61D43"/>
    <w:rsid w:val="00E62456"/>
    <w:rsid w:val="00E62B50"/>
    <w:rsid w:val="00E62F0C"/>
    <w:rsid w:val="00E62F46"/>
    <w:rsid w:val="00E638B1"/>
    <w:rsid w:val="00E65AAA"/>
    <w:rsid w:val="00E67003"/>
    <w:rsid w:val="00E701CF"/>
    <w:rsid w:val="00E71254"/>
    <w:rsid w:val="00E72530"/>
    <w:rsid w:val="00E729B5"/>
    <w:rsid w:val="00E729CE"/>
    <w:rsid w:val="00E73225"/>
    <w:rsid w:val="00E744DB"/>
    <w:rsid w:val="00E74D58"/>
    <w:rsid w:val="00E75BD0"/>
    <w:rsid w:val="00E8018E"/>
    <w:rsid w:val="00E80BE2"/>
    <w:rsid w:val="00E82168"/>
    <w:rsid w:val="00E846BF"/>
    <w:rsid w:val="00E84A48"/>
    <w:rsid w:val="00E84E1C"/>
    <w:rsid w:val="00E85D3F"/>
    <w:rsid w:val="00E862BA"/>
    <w:rsid w:val="00E8644E"/>
    <w:rsid w:val="00E86530"/>
    <w:rsid w:val="00E8661A"/>
    <w:rsid w:val="00E87A1F"/>
    <w:rsid w:val="00E90473"/>
    <w:rsid w:val="00E92E4B"/>
    <w:rsid w:val="00E9314B"/>
    <w:rsid w:val="00E9369F"/>
    <w:rsid w:val="00E95F5A"/>
    <w:rsid w:val="00E9665C"/>
    <w:rsid w:val="00EA1D4F"/>
    <w:rsid w:val="00EA219E"/>
    <w:rsid w:val="00EA24A1"/>
    <w:rsid w:val="00EA3D64"/>
    <w:rsid w:val="00EA4084"/>
    <w:rsid w:val="00EA529B"/>
    <w:rsid w:val="00EA71A6"/>
    <w:rsid w:val="00EB331B"/>
    <w:rsid w:val="00EB7415"/>
    <w:rsid w:val="00EC103E"/>
    <w:rsid w:val="00EC1223"/>
    <w:rsid w:val="00ED087A"/>
    <w:rsid w:val="00ED0A6C"/>
    <w:rsid w:val="00ED0EF5"/>
    <w:rsid w:val="00ED1847"/>
    <w:rsid w:val="00ED284C"/>
    <w:rsid w:val="00ED2A0C"/>
    <w:rsid w:val="00ED35C4"/>
    <w:rsid w:val="00ED3B80"/>
    <w:rsid w:val="00ED4460"/>
    <w:rsid w:val="00ED5284"/>
    <w:rsid w:val="00ED648D"/>
    <w:rsid w:val="00ED6A7A"/>
    <w:rsid w:val="00EE0909"/>
    <w:rsid w:val="00EE1DE2"/>
    <w:rsid w:val="00EE2609"/>
    <w:rsid w:val="00EE2A2E"/>
    <w:rsid w:val="00EE45A3"/>
    <w:rsid w:val="00EE5448"/>
    <w:rsid w:val="00EE583A"/>
    <w:rsid w:val="00EE58D9"/>
    <w:rsid w:val="00EF126C"/>
    <w:rsid w:val="00EF1E83"/>
    <w:rsid w:val="00EF39DE"/>
    <w:rsid w:val="00EF56AB"/>
    <w:rsid w:val="00EF61F2"/>
    <w:rsid w:val="00EF70F8"/>
    <w:rsid w:val="00EF7802"/>
    <w:rsid w:val="00EF7DE0"/>
    <w:rsid w:val="00F00F8A"/>
    <w:rsid w:val="00F03506"/>
    <w:rsid w:val="00F04ABF"/>
    <w:rsid w:val="00F05A60"/>
    <w:rsid w:val="00F05BB9"/>
    <w:rsid w:val="00F067A4"/>
    <w:rsid w:val="00F076B9"/>
    <w:rsid w:val="00F0795B"/>
    <w:rsid w:val="00F11457"/>
    <w:rsid w:val="00F121AE"/>
    <w:rsid w:val="00F12468"/>
    <w:rsid w:val="00F13614"/>
    <w:rsid w:val="00F136D6"/>
    <w:rsid w:val="00F147FA"/>
    <w:rsid w:val="00F14E8D"/>
    <w:rsid w:val="00F16137"/>
    <w:rsid w:val="00F16FD0"/>
    <w:rsid w:val="00F17276"/>
    <w:rsid w:val="00F176A2"/>
    <w:rsid w:val="00F214F3"/>
    <w:rsid w:val="00F21C93"/>
    <w:rsid w:val="00F2317B"/>
    <w:rsid w:val="00F2345D"/>
    <w:rsid w:val="00F25192"/>
    <w:rsid w:val="00F25BB4"/>
    <w:rsid w:val="00F25E86"/>
    <w:rsid w:val="00F26A53"/>
    <w:rsid w:val="00F26E4A"/>
    <w:rsid w:val="00F31A35"/>
    <w:rsid w:val="00F32FB8"/>
    <w:rsid w:val="00F33D53"/>
    <w:rsid w:val="00F33E2D"/>
    <w:rsid w:val="00F33F29"/>
    <w:rsid w:val="00F3413C"/>
    <w:rsid w:val="00F35A4D"/>
    <w:rsid w:val="00F36ABB"/>
    <w:rsid w:val="00F40689"/>
    <w:rsid w:val="00F4146F"/>
    <w:rsid w:val="00F41CA6"/>
    <w:rsid w:val="00F41E05"/>
    <w:rsid w:val="00F444B4"/>
    <w:rsid w:val="00F44637"/>
    <w:rsid w:val="00F45552"/>
    <w:rsid w:val="00F45CE0"/>
    <w:rsid w:val="00F46E28"/>
    <w:rsid w:val="00F47A7B"/>
    <w:rsid w:val="00F5172A"/>
    <w:rsid w:val="00F51C31"/>
    <w:rsid w:val="00F51E71"/>
    <w:rsid w:val="00F537C4"/>
    <w:rsid w:val="00F539E9"/>
    <w:rsid w:val="00F54F0C"/>
    <w:rsid w:val="00F56568"/>
    <w:rsid w:val="00F5693F"/>
    <w:rsid w:val="00F5793B"/>
    <w:rsid w:val="00F60403"/>
    <w:rsid w:val="00F60CF6"/>
    <w:rsid w:val="00F61230"/>
    <w:rsid w:val="00F64F4D"/>
    <w:rsid w:val="00F66966"/>
    <w:rsid w:val="00F67371"/>
    <w:rsid w:val="00F708D9"/>
    <w:rsid w:val="00F71C59"/>
    <w:rsid w:val="00F729BC"/>
    <w:rsid w:val="00F72C33"/>
    <w:rsid w:val="00F74B3C"/>
    <w:rsid w:val="00F801AD"/>
    <w:rsid w:val="00F80291"/>
    <w:rsid w:val="00F80B8D"/>
    <w:rsid w:val="00F81313"/>
    <w:rsid w:val="00F81700"/>
    <w:rsid w:val="00F82CBA"/>
    <w:rsid w:val="00F837C5"/>
    <w:rsid w:val="00F840DC"/>
    <w:rsid w:val="00F8639C"/>
    <w:rsid w:val="00F86974"/>
    <w:rsid w:val="00F87553"/>
    <w:rsid w:val="00F91843"/>
    <w:rsid w:val="00F91D65"/>
    <w:rsid w:val="00F92A73"/>
    <w:rsid w:val="00F92D13"/>
    <w:rsid w:val="00F94B83"/>
    <w:rsid w:val="00F96548"/>
    <w:rsid w:val="00FA0E69"/>
    <w:rsid w:val="00FA1742"/>
    <w:rsid w:val="00FA5049"/>
    <w:rsid w:val="00FA585C"/>
    <w:rsid w:val="00FB0C92"/>
    <w:rsid w:val="00FB2E3C"/>
    <w:rsid w:val="00FB319F"/>
    <w:rsid w:val="00FB39CD"/>
    <w:rsid w:val="00FB3A71"/>
    <w:rsid w:val="00FB560C"/>
    <w:rsid w:val="00FB5879"/>
    <w:rsid w:val="00FB7CFD"/>
    <w:rsid w:val="00FC1093"/>
    <w:rsid w:val="00FC1612"/>
    <w:rsid w:val="00FC3556"/>
    <w:rsid w:val="00FC4CEE"/>
    <w:rsid w:val="00FC5BAF"/>
    <w:rsid w:val="00FC67DE"/>
    <w:rsid w:val="00FC7EC4"/>
    <w:rsid w:val="00FD1B83"/>
    <w:rsid w:val="00FD2A32"/>
    <w:rsid w:val="00FD4B55"/>
    <w:rsid w:val="00FD4BA2"/>
    <w:rsid w:val="00FD5A6B"/>
    <w:rsid w:val="00FD6119"/>
    <w:rsid w:val="00FD7AD9"/>
    <w:rsid w:val="00FE0DE0"/>
    <w:rsid w:val="00FE3242"/>
    <w:rsid w:val="00FE36B0"/>
    <w:rsid w:val="00FE50A6"/>
    <w:rsid w:val="00FE5C4C"/>
    <w:rsid w:val="00FE6F49"/>
    <w:rsid w:val="00FE719F"/>
    <w:rsid w:val="00FF0EC2"/>
    <w:rsid w:val="00FF194F"/>
    <w:rsid w:val="00FF28B4"/>
    <w:rsid w:val="00FF2944"/>
    <w:rsid w:val="00FF29DB"/>
    <w:rsid w:val="00FF30E9"/>
    <w:rsid w:val="00FF458A"/>
    <w:rsid w:val="00FF4FCB"/>
    <w:rsid w:val="00FF581B"/>
    <w:rsid w:val="00FF5C6F"/>
    <w:rsid w:val="0153AF04"/>
    <w:rsid w:val="020AF94E"/>
    <w:rsid w:val="02301022"/>
    <w:rsid w:val="028FE5AA"/>
    <w:rsid w:val="02D4C1EF"/>
    <w:rsid w:val="02D59B34"/>
    <w:rsid w:val="02EF6181"/>
    <w:rsid w:val="03026A95"/>
    <w:rsid w:val="03913AD4"/>
    <w:rsid w:val="03A7FAA5"/>
    <w:rsid w:val="0400BB2D"/>
    <w:rsid w:val="04F6B35E"/>
    <w:rsid w:val="051467D8"/>
    <w:rsid w:val="0578E70E"/>
    <w:rsid w:val="05B9EA74"/>
    <w:rsid w:val="06641166"/>
    <w:rsid w:val="06765CF2"/>
    <w:rsid w:val="067F7290"/>
    <w:rsid w:val="068505B4"/>
    <w:rsid w:val="069C504F"/>
    <w:rsid w:val="06F5A33E"/>
    <w:rsid w:val="075990E4"/>
    <w:rsid w:val="075AFB24"/>
    <w:rsid w:val="0788D21A"/>
    <w:rsid w:val="07E0B379"/>
    <w:rsid w:val="07E35A7D"/>
    <w:rsid w:val="080BCAF1"/>
    <w:rsid w:val="085D8C20"/>
    <w:rsid w:val="086458E0"/>
    <w:rsid w:val="087B2AE7"/>
    <w:rsid w:val="08BCDB0A"/>
    <w:rsid w:val="08CF445C"/>
    <w:rsid w:val="08E5AFBC"/>
    <w:rsid w:val="09136CD0"/>
    <w:rsid w:val="09636D0D"/>
    <w:rsid w:val="097195A3"/>
    <w:rsid w:val="0972A2EF"/>
    <w:rsid w:val="098DD11E"/>
    <w:rsid w:val="09D6C773"/>
    <w:rsid w:val="09E67716"/>
    <w:rsid w:val="09EE5EF0"/>
    <w:rsid w:val="0A0AC763"/>
    <w:rsid w:val="0A0FFADE"/>
    <w:rsid w:val="0A2D7019"/>
    <w:rsid w:val="0A2FA70F"/>
    <w:rsid w:val="0A39EB43"/>
    <w:rsid w:val="0A68E781"/>
    <w:rsid w:val="0A6961EA"/>
    <w:rsid w:val="0AC19F35"/>
    <w:rsid w:val="0ADD10D1"/>
    <w:rsid w:val="0B0C55E3"/>
    <w:rsid w:val="0B8303F4"/>
    <w:rsid w:val="0B9F696D"/>
    <w:rsid w:val="0BEAA0B9"/>
    <w:rsid w:val="0C014E24"/>
    <w:rsid w:val="0C649215"/>
    <w:rsid w:val="0C78B86C"/>
    <w:rsid w:val="0CBE41D8"/>
    <w:rsid w:val="0CF9DE8F"/>
    <w:rsid w:val="0D065307"/>
    <w:rsid w:val="0D23301A"/>
    <w:rsid w:val="0D4B7ECE"/>
    <w:rsid w:val="0DAE6459"/>
    <w:rsid w:val="0DE35B51"/>
    <w:rsid w:val="0ED4EE4C"/>
    <w:rsid w:val="0EF11DE3"/>
    <w:rsid w:val="0F97DF45"/>
    <w:rsid w:val="10188397"/>
    <w:rsid w:val="102171F0"/>
    <w:rsid w:val="1136A454"/>
    <w:rsid w:val="11442AB2"/>
    <w:rsid w:val="11615072"/>
    <w:rsid w:val="1238D53C"/>
    <w:rsid w:val="124C9E38"/>
    <w:rsid w:val="1279DAE3"/>
    <w:rsid w:val="12BB2E3E"/>
    <w:rsid w:val="12CEA5BC"/>
    <w:rsid w:val="12E40188"/>
    <w:rsid w:val="12FACCED"/>
    <w:rsid w:val="130BFC47"/>
    <w:rsid w:val="130D0B61"/>
    <w:rsid w:val="131BF1C7"/>
    <w:rsid w:val="13C92E58"/>
    <w:rsid w:val="13EA8DF9"/>
    <w:rsid w:val="13FE7F79"/>
    <w:rsid w:val="14396D9D"/>
    <w:rsid w:val="1448329A"/>
    <w:rsid w:val="14906FDF"/>
    <w:rsid w:val="1524F3BF"/>
    <w:rsid w:val="15342931"/>
    <w:rsid w:val="15561132"/>
    <w:rsid w:val="156E7EDB"/>
    <w:rsid w:val="15714492"/>
    <w:rsid w:val="1648B38D"/>
    <w:rsid w:val="16CDE735"/>
    <w:rsid w:val="16E567D7"/>
    <w:rsid w:val="16E61CC2"/>
    <w:rsid w:val="16F2332F"/>
    <w:rsid w:val="1766FBE9"/>
    <w:rsid w:val="17973043"/>
    <w:rsid w:val="179BA99C"/>
    <w:rsid w:val="17AFF3BF"/>
    <w:rsid w:val="17CBCA6F"/>
    <w:rsid w:val="17FBD24B"/>
    <w:rsid w:val="1800BE36"/>
    <w:rsid w:val="180276C2"/>
    <w:rsid w:val="18037A60"/>
    <w:rsid w:val="18A02B5E"/>
    <w:rsid w:val="18D5259E"/>
    <w:rsid w:val="18EDB5ED"/>
    <w:rsid w:val="192BA7EB"/>
    <w:rsid w:val="19884BB4"/>
    <w:rsid w:val="19B6C211"/>
    <w:rsid w:val="19FFA1B3"/>
    <w:rsid w:val="1A591418"/>
    <w:rsid w:val="1B0057CD"/>
    <w:rsid w:val="1B108A7D"/>
    <w:rsid w:val="1C05ED69"/>
    <w:rsid w:val="1C1235AD"/>
    <w:rsid w:val="1CBC14F5"/>
    <w:rsid w:val="1D193274"/>
    <w:rsid w:val="1D4D7381"/>
    <w:rsid w:val="1D7A048B"/>
    <w:rsid w:val="1D92A71E"/>
    <w:rsid w:val="1DA797E1"/>
    <w:rsid w:val="1DC61ED3"/>
    <w:rsid w:val="1E178E08"/>
    <w:rsid w:val="1E1E0EE3"/>
    <w:rsid w:val="1E4630B4"/>
    <w:rsid w:val="1E9EF2F7"/>
    <w:rsid w:val="1EBF34E9"/>
    <w:rsid w:val="1EC062AC"/>
    <w:rsid w:val="1F333894"/>
    <w:rsid w:val="1F52A25F"/>
    <w:rsid w:val="1F80BA72"/>
    <w:rsid w:val="1FB70FCA"/>
    <w:rsid w:val="1FC4AF22"/>
    <w:rsid w:val="213BFFBD"/>
    <w:rsid w:val="219A84C7"/>
    <w:rsid w:val="21C2E130"/>
    <w:rsid w:val="223EA568"/>
    <w:rsid w:val="224ED6B9"/>
    <w:rsid w:val="226930DF"/>
    <w:rsid w:val="22987C9C"/>
    <w:rsid w:val="22E5D7E0"/>
    <w:rsid w:val="231C7A2F"/>
    <w:rsid w:val="23AC0954"/>
    <w:rsid w:val="23CDFA00"/>
    <w:rsid w:val="23F0007B"/>
    <w:rsid w:val="241FFC7D"/>
    <w:rsid w:val="24ABBC80"/>
    <w:rsid w:val="252A0560"/>
    <w:rsid w:val="254A3CBA"/>
    <w:rsid w:val="25923C3B"/>
    <w:rsid w:val="25FE2546"/>
    <w:rsid w:val="2667C92B"/>
    <w:rsid w:val="274049BE"/>
    <w:rsid w:val="274D75FB"/>
    <w:rsid w:val="2825EE75"/>
    <w:rsid w:val="283A0F16"/>
    <w:rsid w:val="2894BD1E"/>
    <w:rsid w:val="2917B1F6"/>
    <w:rsid w:val="2927977A"/>
    <w:rsid w:val="2936AB5A"/>
    <w:rsid w:val="293D8FA1"/>
    <w:rsid w:val="299AA10E"/>
    <w:rsid w:val="29A39654"/>
    <w:rsid w:val="29C4E4CC"/>
    <w:rsid w:val="29D9930F"/>
    <w:rsid w:val="2A30FC3A"/>
    <w:rsid w:val="2A4F89A0"/>
    <w:rsid w:val="2A77AD3D"/>
    <w:rsid w:val="2B110DC7"/>
    <w:rsid w:val="2B16DAC1"/>
    <w:rsid w:val="2B34CE3C"/>
    <w:rsid w:val="2B8534DE"/>
    <w:rsid w:val="2BD6D06A"/>
    <w:rsid w:val="2C8B74AB"/>
    <w:rsid w:val="2D2E45CB"/>
    <w:rsid w:val="2E455443"/>
    <w:rsid w:val="2E7428E3"/>
    <w:rsid w:val="2E8D9ADA"/>
    <w:rsid w:val="2E9120BD"/>
    <w:rsid w:val="2F260D3C"/>
    <w:rsid w:val="2F35E316"/>
    <w:rsid w:val="30266C24"/>
    <w:rsid w:val="30461600"/>
    <w:rsid w:val="30687BAA"/>
    <w:rsid w:val="3089DAE6"/>
    <w:rsid w:val="31860EE5"/>
    <w:rsid w:val="31961C8A"/>
    <w:rsid w:val="31A2EE67"/>
    <w:rsid w:val="31C6D2C4"/>
    <w:rsid w:val="31DA6840"/>
    <w:rsid w:val="320A6C46"/>
    <w:rsid w:val="321790C6"/>
    <w:rsid w:val="3258C03C"/>
    <w:rsid w:val="3265ED92"/>
    <w:rsid w:val="3302B379"/>
    <w:rsid w:val="3313803C"/>
    <w:rsid w:val="33474E46"/>
    <w:rsid w:val="3396508D"/>
    <w:rsid w:val="33FC57C9"/>
    <w:rsid w:val="3414E770"/>
    <w:rsid w:val="3415B9A7"/>
    <w:rsid w:val="3460CA56"/>
    <w:rsid w:val="34D6D2A2"/>
    <w:rsid w:val="355695A8"/>
    <w:rsid w:val="35B7EEFC"/>
    <w:rsid w:val="3610067B"/>
    <w:rsid w:val="364A3412"/>
    <w:rsid w:val="36846E3B"/>
    <w:rsid w:val="36C03DC0"/>
    <w:rsid w:val="36ED73DD"/>
    <w:rsid w:val="375A49FA"/>
    <w:rsid w:val="376584D4"/>
    <w:rsid w:val="3770A7A9"/>
    <w:rsid w:val="37FE7655"/>
    <w:rsid w:val="38CEF3F0"/>
    <w:rsid w:val="3942BF10"/>
    <w:rsid w:val="397E1A3B"/>
    <w:rsid w:val="3A2A8370"/>
    <w:rsid w:val="3A50D19D"/>
    <w:rsid w:val="3A6F560B"/>
    <w:rsid w:val="3A7A294D"/>
    <w:rsid w:val="3A8AAC9E"/>
    <w:rsid w:val="3B0714F6"/>
    <w:rsid w:val="3B2849B5"/>
    <w:rsid w:val="3B6D1067"/>
    <w:rsid w:val="3B73E2DA"/>
    <w:rsid w:val="3B9CA470"/>
    <w:rsid w:val="3BF3421E"/>
    <w:rsid w:val="3BF9C4BD"/>
    <w:rsid w:val="3D11FE11"/>
    <w:rsid w:val="3D17192F"/>
    <w:rsid w:val="3DA54E4F"/>
    <w:rsid w:val="3DCF93EB"/>
    <w:rsid w:val="3DDF9470"/>
    <w:rsid w:val="3DE1B77E"/>
    <w:rsid w:val="3DE59EA5"/>
    <w:rsid w:val="3E10BA2E"/>
    <w:rsid w:val="3E21E716"/>
    <w:rsid w:val="3E41C683"/>
    <w:rsid w:val="3E76D9E1"/>
    <w:rsid w:val="3EC15C4A"/>
    <w:rsid w:val="3ED5EFC9"/>
    <w:rsid w:val="404ACA58"/>
    <w:rsid w:val="408682CB"/>
    <w:rsid w:val="40EAF78C"/>
    <w:rsid w:val="41724550"/>
    <w:rsid w:val="4233F13D"/>
    <w:rsid w:val="4246AB6F"/>
    <w:rsid w:val="4274CFB0"/>
    <w:rsid w:val="427978F8"/>
    <w:rsid w:val="4289CEFD"/>
    <w:rsid w:val="42F7B97A"/>
    <w:rsid w:val="43137362"/>
    <w:rsid w:val="433B9B0A"/>
    <w:rsid w:val="4392E134"/>
    <w:rsid w:val="43C99FB3"/>
    <w:rsid w:val="43F0B35A"/>
    <w:rsid w:val="44243217"/>
    <w:rsid w:val="446041C0"/>
    <w:rsid w:val="4557D3E5"/>
    <w:rsid w:val="4599A572"/>
    <w:rsid w:val="46557E8B"/>
    <w:rsid w:val="465A04ED"/>
    <w:rsid w:val="465C6029"/>
    <w:rsid w:val="46E05BB8"/>
    <w:rsid w:val="46E6F1FF"/>
    <w:rsid w:val="473CC5F1"/>
    <w:rsid w:val="476D5DBD"/>
    <w:rsid w:val="47A2D794"/>
    <w:rsid w:val="47ABBD8E"/>
    <w:rsid w:val="48467359"/>
    <w:rsid w:val="484C873F"/>
    <w:rsid w:val="48828E97"/>
    <w:rsid w:val="49205F2C"/>
    <w:rsid w:val="495F0426"/>
    <w:rsid w:val="49B7878B"/>
    <w:rsid w:val="49DE8097"/>
    <w:rsid w:val="4A905D3F"/>
    <w:rsid w:val="4AE70541"/>
    <w:rsid w:val="4B032D28"/>
    <w:rsid w:val="4B7075B8"/>
    <w:rsid w:val="4BA8076C"/>
    <w:rsid w:val="4BD78EB9"/>
    <w:rsid w:val="4C27D4D9"/>
    <w:rsid w:val="4C342149"/>
    <w:rsid w:val="4CE5B90E"/>
    <w:rsid w:val="4D1F0A9C"/>
    <w:rsid w:val="4D379144"/>
    <w:rsid w:val="4D7E2E99"/>
    <w:rsid w:val="4E0D219C"/>
    <w:rsid w:val="4E9E015B"/>
    <w:rsid w:val="4F27D4E2"/>
    <w:rsid w:val="4F4E88B2"/>
    <w:rsid w:val="4FB7A6A8"/>
    <w:rsid w:val="4FFBAA3C"/>
    <w:rsid w:val="4FFD253F"/>
    <w:rsid w:val="500296EF"/>
    <w:rsid w:val="50123904"/>
    <w:rsid w:val="5045ED94"/>
    <w:rsid w:val="505E2325"/>
    <w:rsid w:val="50689FD6"/>
    <w:rsid w:val="50948933"/>
    <w:rsid w:val="5095F0BF"/>
    <w:rsid w:val="515E8AB9"/>
    <w:rsid w:val="517C2119"/>
    <w:rsid w:val="517CB5C8"/>
    <w:rsid w:val="51D2E626"/>
    <w:rsid w:val="51D6BF93"/>
    <w:rsid w:val="52016FEF"/>
    <w:rsid w:val="520A9E00"/>
    <w:rsid w:val="5269EEFD"/>
    <w:rsid w:val="5386F2E1"/>
    <w:rsid w:val="538754C1"/>
    <w:rsid w:val="538D2D5D"/>
    <w:rsid w:val="5406FCFA"/>
    <w:rsid w:val="5481833F"/>
    <w:rsid w:val="5497300E"/>
    <w:rsid w:val="54BCDA69"/>
    <w:rsid w:val="54F949BF"/>
    <w:rsid w:val="5523E751"/>
    <w:rsid w:val="5630B239"/>
    <w:rsid w:val="56344F58"/>
    <w:rsid w:val="56444A88"/>
    <w:rsid w:val="565568C8"/>
    <w:rsid w:val="567B1559"/>
    <w:rsid w:val="5689A187"/>
    <w:rsid w:val="56C703D6"/>
    <w:rsid w:val="56D29069"/>
    <w:rsid w:val="56D91330"/>
    <w:rsid w:val="56F3ED97"/>
    <w:rsid w:val="56FCB308"/>
    <w:rsid w:val="570AF744"/>
    <w:rsid w:val="5732CF22"/>
    <w:rsid w:val="574B7420"/>
    <w:rsid w:val="574DDCA5"/>
    <w:rsid w:val="57BCA60A"/>
    <w:rsid w:val="57C8ED55"/>
    <w:rsid w:val="580C42DB"/>
    <w:rsid w:val="582E4B07"/>
    <w:rsid w:val="583962E4"/>
    <w:rsid w:val="583C6FDC"/>
    <w:rsid w:val="589715E9"/>
    <w:rsid w:val="58B62AF5"/>
    <w:rsid w:val="58F598C3"/>
    <w:rsid w:val="59837CDE"/>
    <w:rsid w:val="598F4368"/>
    <w:rsid w:val="59A5E153"/>
    <w:rsid w:val="59A789C3"/>
    <w:rsid w:val="59C48DFF"/>
    <w:rsid w:val="5A3CC38F"/>
    <w:rsid w:val="5A6C1081"/>
    <w:rsid w:val="5AF2CDEB"/>
    <w:rsid w:val="5B6383AF"/>
    <w:rsid w:val="5B77D3AE"/>
    <w:rsid w:val="5C0B02A0"/>
    <w:rsid w:val="5C1C9010"/>
    <w:rsid w:val="5C1E2095"/>
    <w:rsid w:val="5C71E1B1"/>
    <w:rsid w:val="5CA0BE86"/>
    <w:rsid w:val="5CBFB63B"/>
    <w:rsid w:val="5CD68760"/>
    <w:rsid w:val="5CEBB35E"/>
    <w:rsid w:val="5D1AE746"/>
    <w:rsid w:val="5D3C76FD"/>
    <w:rsid w:val="5D5B04B8"/>
    <w:rsid w:val="5D8BE066"/>
    <w:rsid w:val="5D9DA281"/>
    <w:rsid w:val="5DF3C637"/>
    <w:rsid w:val="5E564DC9"/>
    <w:rsid w:val="5E7D71EE"/>
    <w:rsid w:val="5E8CBAB6"/>
    <w:rsid w:val="5ED3F511"/>
    <w:rsid w:val="5EFA09FE"/>
    <w:rsid w:val="5F0A6EE7"/>
    <w:rsid w:val="5FD982A6"/>
    <w:rsid w:val="601AC530"/>
    <w:rsid w:val="602226C1"/>
    <w:rsid w:val="606712B4"/>
    <w:rsid w:val="6085E43A"/>
    <w:rsid w:val="60BDA7DB"/>
    <w:rsid w:val="611E3ACB"/>
    <w:rsid w:val="61328FA9"/>
    <w:rsid w:val="613840CD"/>
    <w:rsid w:val="61395830"/>
    <w:rsid w:val="6151D28A"/>
    <w:rsid w:val="615E0424"/>
    <w:rsid w:val="61A9BA8E"/>
    <w:rsid w:val="6204BF61"/>
    <w:rsid w:val="623ADFF0"/>
    <w:rsid w:val="626512F0"/>
    <w:rsid w:val="62E77492"/>
    <w:rsid w:val="644D9B24"/>
    <w:rsid w:val="649D4FD6"/>
    <w:rsid w:val="64B04DCE"/>
    <w:rsid w:val="64BF7074"/>
    <w:rsid w:val="6515CC02"/>
    <w:rsid w:val="6548F51E"/>
    <w:rsid w:val="658E3D9B"/>
    <w:rsid w:val="65E76132"/>
    <w:rsid w:val="665AFE8F"/>
    <w:rsid w:val="665D589A"/>
    <w:rsid w:val="6691F389"/>
    <w:rsid w:val="66D773F4"/>
    <w:rsid w:val="66F604BD"/>
    <w:rsid w:val="670AACC6"/>
    <w:rsid w:val="67240EB9"/>
    <w:rsid w:val="672F80EF"/>
    <w:rsid w:val="67AFC0EC"/>
    <w:rsid w:val="67D61518"/>
    <w:rsid w:val="680FD94A"/>
    <w:rsid w:val="685225B4"/>
    <w:rsid w:val="68741E0E"/>
    <w:rsid w:val="68B7C721"/>
    <w:rsid w:val="6909526B"/>
    <w:rsid w:val="691356DE"/>
    <w:rsid w:val="695EEDA6"/>
    <w:rsid w:val="697F5C22"/>
    <w:rsid w:val="699CCAA8"/>
    <w:rsid w:val="69CE396A"/>
    <w:rsid w:val="69DF0230"/>
    <w:rsid w:val="69E6B600"/>
    <w:rsid w:val="6A21068A"/>
    <w:rsid w:val="6AA46019"/>
    <w:rsid w:val="6AA4DB5E"/>
    <w:rsid w:val="6AA5D949"/>
    <w:rsid w:val="6AA9FE6C"/>
    <w:rsid w:val="6AFEF323"/>
    <w:rsid w:val="6B2C02EB"/>
    <w:rsid w:val="6B53AB2D"/>
    <w:rsid w:val="6B5ABF6E"/>
    <w:rsid w:val="6B89BE81"/>
    <w:rsid w:val="6B912A81"/>
    <w:rsid w:val="6BA2AB51"/>
    <w:rsid w:val="6BE11690"/>
    <w:rsid w:val="6BF78C4D"/>
    <w:rsid w:val="6C1FE384"/>
    <w:rsid w:val="6C3731E1"/>
    <w:rsid w:val="6C7B0C49"/>
    <w:rsid w:val="6C900C47"/>
    <w:rsid w:val="6D3BBE45"/>
    <w:rsid w:val="6DB69B20"/>
    <w:rsid w:val="6E0FCA15"/>
    <w:rsid w:val="6E3FD521"/>
    <w:rsid w:val="6E86B510"/>
    <w:rsid w:val="6E9C03E3"/>
    <w:rsid w:val="6F18AA27"/>
    <w:rsid w:val="6F47F7FA"/>
    <w:rsid w:val="7041BEDC"/>
    <w:rsid w:val="7076E466"/>
    <w:rsid w:val="70797CCB"/>
    <w:rsid w:val="708D981E"/>
    <w:rsid w:val="70A58F4B"/>
    <w:rsid w:val="70BAD47F"/>
    <w:rsid w:val="70E52076"/>
    <w:rsid w:val="70FD5540"/>
    <w:rsid w:val="71013FE7"/>
    <w:rsid w:val="7102E5C0"/>
    <w:rsid w:val="71278D82"/>
    <w:rsid w:val="7134C569"/>
    <w:rsid w:val="7170C4CA"/>
    <w:rsid w:val="71972A79"/>
    <w:rsid w:val="719B299A"/>
    <w:rsid w:val="71CAFF7D"/>
    <w:rsid w:val="71DC6609"/>
    <w:rsid w:val="71F0370A"/>
    <w:rsid w:val="72D5CEC1"/>
    <w:rsid w:val="72DAE790"/>
    <w:rsid w:val="730F1856"/>
    <w:rsid w:val="7352479E"/>
    <w:rsid w:val="7394DBF7"/>
    <w:rsid w:val="739A132C"/>
    <w:rsid w:val="73AFEC2B"/>
    <w:rsid w:val="73E252A0"/>
    <w:rsid w:val="740B79D5"/>
    <w:rsid w:val="7464D543"/>
    <w:rsid w:val="74AB8562"/>
    <w:rsid w:val="74B4611A"/>
    <w:rsid w:val="74E94C0F"/>
    <w:rsid w:val="7545922A"/>
    <w:rsid w:val="7577C463"/>
    <w:rsid w:val="759585DB"/>
    <w:rsid w:val="76008B8D"/>
    <w:rsid w:val="76241453"/>
    <w:rsid w:val="76525195"/>
    <w:rsid w:val="76D342C5"/>
    <w:rsid w:val="772626E6"/>
    <w:rsid w:val="77533EC7"/>
    <w:rsid w:val="7758D591"/>
    <w:rsid w:val="7914BD12"/>
    <w:rsid w:val="79A1C840"/>
    <w:rsid w:val="79A97A1B"/>
    <w:rsid w:val="79DB6012"/>
    <w:rsid w:val="79F31A3E"/>
    <w:rsid w:val="7A2BAEA8"/>
    <w:rsid w:val="7A4CBD8A"/>
    <w:rsid w:val="7AA27650"/>
    <w:rsid w:val="7AA952F0"/>
    <w:rsid w:val="7AAA880E"/>
    <w:rsid w:val="7AD1C076"/>
    <w:rsid w:val="7B3719AC"/>
    <w:rsid w:val="7B527B1D"/>
    <w:rsid w:val="7C655CD6"/>
    <w:rsid w:val="7CE8D642"/>
    <w:rsid w:val="7D04F39D"/>
    <w:rsid w:val="7DA17D75"/>
    <w:rsid w:val="7DE38AE7"/>
    <w:rsid w:val="7E4DCA9B"/>
    <w:rsid w:val="7E4F0359"/>
    <w:rsid w:val="7ED760DD"/>
    <w:rsid w:val="7F2D7BCC"/>
    <w:rsid w:val="7F51CC63"/>
    <w:rsid w:val="7F8DC105"/>
    <w:rsid w:val="7F989A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2B25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A9D"/>
    <w:pPr>
      <w:spacing w:after="0" w:line="24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A9D"/>
    <w:rPr>
      <w:color w:val="0563C1" w:themeColor="hyperlink"/>
      <w:u w:val="single"/>
    </w:rPr>
  </w:style>
  <w:style w:type="paragraph" w:styleId="ListParagraph">
    <w:name w:val="List Paragraph"/>
    <w:basedOn w:val="Normal"/>
    <w:uiPriority w:val="34"/>
    <w:qFormat/>
    <w:rsid w:val="00785A9D"/>
    <w:pPr>
      <w:ind w:left="720"/>
    </w:pPr>
  </w:style>
  <w:style w:type="paragraph" w:customStyle="1" w:styleId="Default">
    <w:name w:val="Default"/>
    <w:basedOn w:val="Normal"/>
    <w:rsid w:val="00785A9D"/>
    <w:pPr>
      <w:autoSpaceDE w:val="0"/>
      <w:autoSpaceDN w:val="0"/>
    </w:pPr>
    <w:rPr>
      <w:rFonts w:ascii="Times New Roman" w:hAnsi="Times New Roman" w:cs="Times New Roman"/>
      <w:color w:val="000000"/>
      <w:sz w:val="24"/>
      <w:szCs w:val="24"/>
    </w:rPr>
  </w:style>
  <w:style w:type="table" w:styleId="TableGrid">
    <w:name w:val="Table Grid"/>
    <w:basedOn w:val="TableNormal"/>
    <w:uiPriority w:val="59"/>
    <w:rsid w:val="00785A9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1092"/>
    <w:pPr>
      <w:tabs>
        <w:tab w:val="center" w:pos="4513"/>
        <w:tab w:val="right" w:pos="9026"/>
      </w:tabs>
    </w:pPr>
  </w:style>
  <w:style w:type="character" w:customStyle="1" w:styleId="HeaderChar">
    <w:name w:val="Header Char"/>
    <w:basedOn w:val="DefaultParagraphFont"/>
    <w:link w:val="Header"/>
    <w:uiPriority w:val="99"/>
    <w:rsid w:val="00E41092"/>
  </w:style>
  <w:style w:type="paragraph" w:styleId="Footer">
    <w:name w:val="footer"/>
    <w:basedOn w:val="Normal"/>
    <w:link w:val="FooterChar"/>
    <w:uiPriority w:val="99"/>
    <w:unhideWhenUsed/>
    <w:rsid w:val="00E41092"/>
    <w:pPr>
      <w:tabs>
        <w:tab w:val="center" w:pos="4513"/>
        <w:tab w:val="right" w:pos="9026"/>
      </w:tabs>
    </w:pPr>
  </w:style>
  <w:style w:type="character" w:customStyle="1" w:styleId="FooterChar">
    <w:name w:val="Footer Char"/>
    <w:basedOn w:val="DefaultParagraphFont"/>
    <w:link w:val="Footer"/>
    <w:uiPriority w:val="99"/>
    <w:rsid w:val="00E41092"/>
  </w:style>
  <w:style w:type="paragraph" w:styleId="FootnoteText">
    <w:name w:val="footnote text"/>
    <w:basedOn w:val="Normal"/>
    <w:link w:val="FootnoteTextChar"/>
    <w:uiPriority w:val="99"/>
    <w:semiHidden/>
    <w:unhideWhenUsed/>
    <w:rsid w:val="0027796D"/>
    <w:rPr>
      <w:sz w:val="20"/>
      <w:szCs w:val="20"/>
    </w:rPr>
  </w:style>
  <w:style w:type="character" w:customStyle="1" w:styleId="FootnoteTextChar">
    <w:name w:val="Footnote Text Char"/>
    <w:basedOn w:val="DefaultParagraphFont"/>
    <w:link w:val="FootnoteText"/>
    <w:uiPriority w:val="99"/>
    <w:semiHidden/>
    <w:rsid w:val="0027796D"/>
    <w:rPr>
      <w:sz w:val="20"/>
      <w:szCs w:val="20"/>
    </w:rPr>
  </w:style>
  <w:style w:type="character" w:styleId="FootnoteReference">
    <w:name w:val="footnote reference"/>
    <w:basedOn w:val="DefaultParagraphFont"/>
    <w:uiPriority w:val="99"/>
    <w:semiHidden/>
    <w:unhideWhenUsed/>
    <w:rsid w:val="0027796D"/>
    <w:rPr>
      <w:vertAlign w:val="superscript"/>
    </w:rPr>
  </w:style>
  <w:style w:type="character" w:styleId="CommentReference">
    <w:name w:val="annotation reference"/>
    <w:basedOn w:val="DefaultParagraphFont"/>
    <w:uiPriority w:val="99"/>
    <w:semiHidden/>
    <w:unhideWhenUsed/>
    <w:rsid w:val="00225743"/>
    <w:rPr>
      <w:sz w:val="16"/>
      <w:szCs w:val="16"/>
    </w:rPr>
  </w:style>
  <w:style w:type="paragraph" w:styleId="CommentText">
    <w:name w:val="annotation text"/>
    <w:basedOn w:val="Normal"/>
    <w:link w:val="CommentTextChar"/>
    <w:uiPriority w:val="99"/>
    <w:unhideWhenUsed/>
    <w:rsid w:val="00225743"/>
    <w:rPr>
      <w:sz w:val="20"/>
      <w:szCs w:val="20"/>
    </w:rPr>
  </w:style>
  <w:style w:type="character" w:customStyle="1" w:styleId="CommentTextChar">
    <w:name w:val="Comment Text Char"/>
    <w:basedOn w:val="DefaultParagraphFont"/>
    <w:link w:val="CommentText"/>
    <w:uiPriority w:val="99"/>
    <w:rsid w:val="00225743"/>
    <w:rPr>
      <w:sz w:val="20"/>
      <w:szCs w:val="20"/>
    </w:rPr>
  </w:style>
  <w:style w:type="paragraph" w:styleId="CommentSubject">
    <w:name w:val="annotation subject"/>
    <w:basedOn w:val="CommentText"/>
    <w:next w:val="CommentText"/>
    <w:link w:val="CommentSubjectChar"/>
    <w:uiPriority w:val="99"/>
    <w:semiHidden/>
    <w:unhideWhenUsed/>
    <w:rsid w:val="00225743"/>
    <w:rPr>
      <w:b/>
      <w:bCs/>
    </w:rPr>
  </w:style>
  <w:style w:type="character" w:customStyle="1" w:styleId="CommentSubjectChar">
    <w:name w:val="Comment Subject Char"/>
    <w:basedOn w:val="CommentTextChar"/>
    <w:link w:val="CommentSubject"/>
    <w:uiPriority w:val="99"/>
    <w:semiHidden/>
    <w:rsid w:val="00225743"/>
    <w:rPr>
      <w:b/>
      <w:bCs/>
      <w:sz w:val="20"/>
      <w:szCs w:val="20"/>
    </w:rPr>
  </w:style>
  <w:style w:type="paragraph" w:styleId="BalloonText">
    <w:name w:val="Balloon Text"/>
    <w:basedOn w:val="Normal"/>
    <w:link w:val="BalloonTextChar"/>
    <w:uiPriority w:val="99"/>
    <w:semiHidden/>
    <w:unhideWhenUsed/>
    <w:rsid w:val="002257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5743"/>
    <w:rPr>
      <w:rFonts w:ascii="Segoe UI" w:hAnsi="Segoe UI" w:cs="Segoe UI"/>
      <w:sz w:val="18"/>
      <w:szCs w:val="18"/>
    </w:rPr>
  </w:style>
  <w:style w:type="character" w:styleId="FollowedHyperlink">
    <w:name w:val="FollowedHyperlink"/>
    <w:basedOn w:val="DefaultParagraphFont"/>
    <w:uiPriority w:val="99"/>
    <w:semiHidden/>
    <w:unhideWhenUsed/>
    <w:rsid w:val="005E754C"/>
    <w:rPr>
      <w:color w:val="954F72" w:themeColor="followedHyperlink"/>
      <w:u w:val="single"/>
    </w:rPr>
  </w:style>
  <w:style w:type="paragraph" w:styleId="NormalWeb">
    <w:name w:val="Normal (Web)"/>
    <w:basedOn w:val="Normal"/>
    <w:uiPriority w:val="99"/>
    <w:semiHidden/>
    <w:unhideWhenUsed/>
    <w:rsid w:val="00636ECD"/>
    <w:pPr>
      <w:spacing w:before="100" w:beforeAutospacing="1" w:after="100" w:afterAutospacing="1"/>
    </w:pPr>
    <w:rPr>
      <w:rFonts w:ascii="Times New Roman" w:eastAsiaTheme="minorEastAsia" w:hAnsi="Times New Roman" w:cs="Times New Roman"/>
      <w:sz w:val="24"/>
      <w:szCs w:val="24"/>
      <w:lang w:eastAsia="en-GB"/>
    </w:rPr>
  </w:style>
  <w:style w:type="paragraph" w:styleId="Revision">
    <w:name w:val="Revision"/>
    <w:hidden/>
    <w:uiPriority w:val="99"/>
    <w:semiHidden/>
    <w:rsid w:val="00F136D6"/>
    <w:pPr>
      <w:spacing w:after="0" w:line="240" w:lineRule="auto"/>
    </w:pPr>
  </w:style>
  <w:style w:type="character" w:customStyle="1" w:styleId="UnresolvedMention1">
    <w:name w:val="Unresolved Mention1"/>
    <w:basedOn w:val="DefaultParagraphFont"/>
    <w:uiPriority w:val="99"/>
    <w:semiHidden/>
    <w:unhideWhenUsed/>
    <w:rsid w:val="003C34A5"/>
    <w:rPr>
      <w:color w:val="605E5C"/>
      <w:shd w:val="clear" w:color="auto" w:fill="E1DFDD"/>
    </w:rPr>
  </w:style>
  <w:style w:type="character" w:customStyle="1" w:styleId="UnresolvedMention2">
    <w:name w:val="Unresolved Mention2"/>
    <w:basedOn w:val="DefaultParagraphFont"/>
    <w:uiPriority w:val="99"/>
    <w:semiHidden/>
    <w:unhideWhenUsed/>
    <w:rsid w:val="000F50CD"/>
    <w:rPr>
      <w:color w:val="605E5C"/>
      <w:shd w:val="clear" w:color="auto" w:fill="E1DFDD"/>
    </w:rPr>
  </w:style>
  <w:style w:type="paragraph" w:customStyle="1" w:styleId="LegalNumPar">
    <w:name w:val="LegalNumPar"/>
    <w:basedOn w:val="Normal"/>
    <w:rsid w:val="008C76C3"/>
    <w:pPr>
      <w:numPr>
        <w:numId w:val="26"/>
      </w:numPr>
      <w:spacing w:line="360" w:lineRule="auto"/>
    </w:pPr>
    <w:rPr>
      <w:sz w:val="24"/>
    </w:rPr>
  </w:style>
  <w:style w:type="paragraph" w:customStyle="1" w:styleId="LegalNumPar2">
    <w:name w:val="LegalNumPar2"/>
    <w:basedOn w:val="Normal"/>
    <w:rsid w:val="008C76C3"/>
    <w:pPr>
      <w:numPr>
        <w:ilvl w:val="1"/>
        <w:numId w:val="26"/>
      </w:numPr>
      <w:spacing w:line="360" w:lineRule="auto"/>
    </w:pPr>
    <w:rPr>
      <w:sz w:val="24"/>
    </w:rPr>
  </w:style>
  <w:style w:type="paragraph" w:customStyle="1" w:styleId="LegalNumPar3">
    <w:name w:val="LegalNumPar3"/>
    <w:basedOn w:val="Normal"/>
    <w:rsid w:val="008C76C3"/>
    <w:pPr>
      <w:numPr>
        <w:ilvl w:val="2"/>
        <w:numId w:val="26"/>
      </w:numPr>
      <w:spacing w:line="360" w:lineRule="auto"/>
    </w:pPr>
    <w:rPr>
      <w:sz w:val="24"/>
    </w:rPr>
  </w:style>
  <w:style w:type="character" w:customStyle="1" w:styleId="normaltextrun">
    <w:name w:val="normaltextrun"/>
    <w:basedOn w:val="DefaultParagraphFont"/>
    <w:rsid w:val="00A86BD1"/>
  </w:style>
  <w:style w:type="paragraph" w:customStyle="1" w:styleId="paragraph">
    <w:name w:val="paragraph"/>
    <w:basedOn w:val="Normal"/>
    <w:rsid w:val="00EB7415"/>
    <w:pPr>
      <w:spacing w:before="100" w:beforeAutospacing="1" w:after="100" w:afterAutospacing="1"/>
    </w:pPr>
    <w:rPr>
      <w:rFonts w:ascii="Times New Roman" w:eastAsia="Times New Roman" w:hAnsi="Times New Roman" w:cs="Times New Roman"/>
      <w:sz w:val="24"/>
      <w:szCs w:val="24"/>
      <w:lang w:eastAsia="en-IE"/>
    </w:rPr>
  </w:style>
  <w:style w:type="character" w:customStyle="1" w:styleId="eop">
    <w:name w:val="eop"/>
    <w:basedOn w:val="DefaultParagraphFont"/>
    <w:rsid w:val="00EB7415"/>
  </w:style>
  <w:style w:type="character" w:customStyle="1" w:styleId="UnresolvedMention">
    <w:name w:val="Unresolved Mention"/>
    <w:basedOn w:val="DefaultParagraphFont"/>
    <w:uiPriority w:val="99"/>
    <w:semiHidden/>
    <w:unhideWhenUsed/>
    <w:rsid w:val="00860D58"/>
    <w:rPr>
      <w:color w:val="605E5C"/>
      <w:shd w:val="clear" w:color="auto" w:fill="E1DFDD"/>
    </w:rPr>
  </w:style>
  <w:style w:type="character" w:customStyle="1" w:styleId="Marker">
    <w:name w:val="Marker"/>
    <w:basedOn w:val="DefaultParagraphFont"/>
    <w:rsid w:val="00DA69B2"/>
    <w:rPr>
      <w:color w:val="0000FF"/>
      <w:shd w:val="clear" w:color="auto" w:fill="auto"/>
    </w:rPr>
  </w:style>
  <w:style w:type="paragraph" w:customStyle="1" w:styleId="Pagedecouverture">
    <w:name w:val="Page de couverture"/>
    <w:basedOn w:val="Normal"/>
    <w:next w:val="Normal"/>
    <w:rsid w:val="00DA69B2"/>
    <w:pPr>
      <w:jc w:val="both"/>
    </w:pPr>
    <w:rPr>
      <w:rFonts w:ascii="Times New Roman" w:hAnsi="Times New Roman" w:cs="Times New Roman"/>
      <w:sz w:val="24"/>
    </w:rPr>
  </w:style>
  <w:style w:type="paragraph" w:customStyle="1" w:styleId="FooterCoverPage">
    <w:name w:val="Footer Cover Page"/>
    <w:basedOn w:val="Normal"/>
    <w:link w:val="FooterCoverPageChar"/>
    <w:rsid w:val="00DA69B2"/>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A69B2"/>
    <w:rPr>
      <w:rFonts w:ascii="Times New Roman" w:hAnsi="Times New Roman" w:cs="Times New Roman"/>
      <w:sz w:val="24"/>
    </w:rPr>
  </w:style>
  <w:style w:type="paragraph" w:customStyle="1" w:styleId="FooterSensitivity">
    <w:name w:val="Footer Sensitivity"/>
    <w:basedOn w:val="Normal"/>
    <w:link w:val="FooterSensitivityChar"/>
    <w:rsid w:val="00DA69B2"/>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A69B2"/>
    <w:rPr>
      <w:rFonts w:ascii="Times New Roman" w:hAnsi="Times New Roman" w:cs="Times New Roman"/>
      <w:b/>
      <w:sz w:val="32"/>
    </w:rPr>
  </w:style>
  <w:style w:type="paragraph" w:customStyle="1" w:styleId="HeaderCoverPage">
    <w:name w:val="Header Cover Page"/>
    <w:basedOn w:val="Normal"/>
    <w:link w:val="HeaderCoverPageChar"/>
    <w:rsid w:val="00DA69B2"/>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A69B2"/>
    <w:rPr>
      <w:rFonts w:ascii="Times New Roman" w:hAnsi="Times New Roman" w:cs="Times New Roman"/>
      <w:sz w:val="24"/>
    </w:rPr>
  </w:style>
  <w:style w:type="paragraph" w:customStyle="1" w:styleId="HeaderSensitivity">
    <w:name w:val="Header Sensitivity"/>
    <w:basedOn w:val="Normal"/>
    <w:link w:val="HeaderSensitivityChar"/>
    <w:rsid w:val="00DA69B2"/>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A69B2"/>
    <w:rPr>
      <w:rFonts w:ascii="Times New Roman" w:hAnsi="Times New Roman" w:cs="Times New Roman"/>
      <w:b/>
      <w:sz w:val="32"/>
    </w:rPr>
  </w:style>
  <w:style w:type="paragraph" w:customStyle="1" w:styleId="HeaderSensitivityRight">
    <w:name w:val="Header Sensitivity Right"/>
    <w:basedOn w:val="Normal"/>
    <w:link w:val="HeaderSensitivityRightChar"/>
    <w:rsid w:val="00DA69B2"/>
    <w:pPr>
      <w:spacing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A69B2"/>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79757">
      <w:bodyDiv w:val="1"/>
      <w:marLeft w:val="0"/>
      <w:marRight w:val="0"/>
      <w:marTop w:val="0"/>
      <w:marBottom w:val="0"/>
      <w:divBdr>
        <w:top w:val="none" w:sz="0" w:space="0" w:color="auto"/>
        <w:left w:val="none" w:sz="0" w:space="0" w:color="auto"/>
        <w:bottom w:val="none" w:sz="0" w:space="0" w:color="auto"/>
        <w:right w:val="none" w:sz="0" w:space="0" w:color="auto"/>
      </w:divBdr>
      <w:divsChild>
        <w:div w:id="378356504">
          <w:marLeft w:val="0"/>
          <w:marRight w:val="0"/>
          <w:marTop w:val="0"/>
          <w:marBottom w:val="0"/>
          <w:divBdr>
            <w:top w:val="none" w:sz="0" w:space="0" w:color="auto"/>
            <w:left w:val="none" w:sz="0" w:space="0" w:color="auto"/>
            <w:bottom w:val="none" w:sz="0" w:space="0" w:color="auto"/>
            <w:right w:val="none" w:sz="0" w:space="0" w:color="auto"/>
          </w:divBdr>
          <w:divsChild>
            <w:div w:id="122968949">
              <w:marLeft w:val="0"/>
              <w:marRight w:val="0"/>
              <w:marTop w:val="0"/>
              <w:marBottom w:val="0"/>
              <w:divBdr>
                <w:top w:val="none" w:sz="0" w:space="0" w:color="auto"/>
                <w:left w:val="none" w:sz="0" w:space="0" w:color="auto"/>
                <w:bottom w:val="none" w:sz="0" w:space="0" w:color="auto"/>
                <w:right w:val="none" w:sz="0" w:space="0" w:color="auto"/>
              </w:divBdr>
            </w:div>
            <w:div w:id="134640213">
              <w:marLeft w:val="0"/>
              <w:marRight w:val="0"/>
              <w:marTop w:val="0"/>
              <w:marBottom w:val="0"/>
              <w:divBdr>
                <w:top w:val="none" w:sz="0" w:space="0" w:color="auto"/>
                <w:left w:val="none" w:sz="0" w:space="0" w:color="auto"/>
                <w:bottom w:val="none" w:sz="0" w:space="0" w:color="auto"/>
                <w:right w:val="none" w:sz="0" w:space="0" w:color="auto"/>
              </w:divBdr>
            </w:div>
            <w:div w:id="1025669319">
              <w:marLeft w:val="0"/>
              <w:marRight w:val="0"/>
              <w:marTop w:val="0"/>
              <w:marBottom w:val="0"/>
              <w:divBdr>
                <w:top w:val="none" w:sz="0" w:space="0" w:color="auto"/>
                <w:left w:val="none" w:sz="0" w:space="0" w:color="auto"/>
                <w:bottom w:val="none" w:sz="0" w:space="0" w:color="auto"/>
                <w:right w:val="none" w:sz="0" w:space="0" w:color="auto"/>
              </w:divBdr>
            </w:div>
            <w:div w:id="1184174973">
              <w:marLeft w:val="0"/>
              <w:marRight w:val="0"/>
              <w:marTop w:val="0"/>
              <w:marBottom w:val="0"/>
              <w:divBdr>
                <w:top w:val="none" w:sz="0" w:space="0" w:color="auto"/>
                <w:left w:val="none" w:sz="0" w:space="0" w:color="auto"/>
                <w:bottom w:val="none" w:sz="0" w:space="0" w:color="auto"/>
                <w:right w:val="none" w:sz="0" w:space="0" w:color="auto"/>
              </w:divBdr>
            </w:div>
            <w:div w:id="153781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8567">
      <w:bodyDiv w:val="1"/>
      <w:marLeft w:val="0"/>
      <w:marRight w:val="0"/>
      <w:marTop w:val="0"/>
      <w:marBottom w:val="0"/>
      <w:divBdr>
        <w:top w:val="none" w:sz="0" w:space="0" w:color="auto"/>
        <w:left w:val="none" w:sz="0" w:space="0" w:color="auto"/>
        <w:bottom w:val="none" w:sz="0" w:space="0" w:color="auto"/>
        <w:right w:val="none" w:sz="0" w:space="0" w:color="auto"/>
      </w:divBdr>
    </w:div>
    <w:div w:id="403376229">
      <w:bodyDiv w:val="1"/>
      <w:marLeft w:val="0"/>
      <w:marRight w:val="0"/>
      <w:marTop w:val="0"/>
      <w:marBottom w:val="0"/>
      <w:divBdr>
        <w:top w:val="none" w:sz="0" w:space="0" w:color="auto"/>
        <w:left w:val="none" w:sz="0" w:space="0" w:color="auto"/>
        <w:bottom w:val="none" w:sz="0" w:space="0" w:color="auto"/>
        <w:right w:val="none" w:sz="0" w:space="0" w:color="auto"/>
      </w:divBdr>
    </w:div>
    <w:div w:id="506988693">
      <w:bodyDiv w:val="1"/>
      <w:marLeft w:val="0"/>
      <w:marRight w:val="0"/>
      <w:marTop w:val="0"/>
      <w:marBottom w:val="0"/>
      <w:divBdr>
        <w:top w:val="none" w:sz="0" w:space="0" w:color="auto"/>
        <w:left w:val="none" w:sz="0" w:space="0" w:color="auto"/>
        <w:bottom w:val="none" w:sz="0" w:space="0" w:color="auto"/>
        <w:right w:val="none" w:sz="0" w:space="0" w:color="auto"/>
      </w:divBdr>
    </w:div>
    <w:div w:id="588468981">
      <w:bodyDiv w:val="1"/>
      <w:marLeft w:val="0"/>
      <w:marRight w:val="0"/>
      <w:marTop w:val="0"/>
      <w:marBottom w:val="0"/>
      <w:divBdr>
        <w:top w:val="none" w:sz="0" w:space="0" w:color="auto"/>
        <w:left w:val="none" w:sz="0" w:space="0" w:color="auto"/>
        <w:bottom w:val="none" w:sz="0" w:space="0" w:color="auto"/>
        <w:right w:val="none" w:sz="0" w:space="0" w:color="auto"/>
      </w:divBdr>
      <w:divsChild>
        <w:div w:id="1490825417">
          <w:marLeft w:val="0"/>
          <w:marRight w:val="0"/>
          <w:marTop w:val="0"/>
          <w:marBottom w:val="0"/>
          <w:divBdr>
            <w:top w:val="none" w:sz="0" w:space="0" w:color="auto"/>
            <w:left w:val="none" w:sz="0" w:space="0" w:color="auto"/>
            <w:bottom w:val="none" w:sz="0" w:space="0" w:color="auto"/>
            <w:right w:val="none" w:sz="0" w:space="0" w:color="auto"/>
          </w:divBdr>
          <w:divsChild>
            <w:div w:id="1217547685">
              <w:marLeft w:val="0"/>
              <w:marRight w:val="0"/>
              <w:marTop w:val="0"/>
              <w:marBottom w:val="0"/>
              <w:divBdr>
                <w:top w:val="none" w:sz="0" w:space="0" w:color="auto"/>
                <w:left w:val="none" w:sz="0" w:space="0" w:color="auto"/>
                <w:bottom w:val="none" w:sz="0" w:space="0" w:color="auto"/>
                <w:right w:val="none" w:sz="0" w:space="0" w:color="auto"/>
              </w:divBdr>
              <w:divsChild>
                <w:div w:id="209612898">
                  <w:marLeft w:val="0"/>
                  <w:marRight w:val="0"/>
                  <w:marTop w:val="0"/>
                  <w:marBottom w:val="0"/>
                  <w:divBdr>
                    <w:top w:val="none" w:sz="0" w:space="0" w:color="auto"/>
                    <w:left w:val="none" w:sz="0" w:space="0" w:color="auto"/>
                    <w:bottom w:val="none" w:sz="0" w:space="0" w:color="auto"/>
                    <w:right w:val="none" w:sz="0" w:space="0" w:color="auto"/>
                  </w:divBdr>
                </w:div>
                <w:div w:id="223370355">
                  <w:marLeft w:val="0"/>
                  <w:marRight w:val="0"/>
                  <w:marTop w:val="0"/>
                  <w:marBottom w:val="0"/>
                  <w:divBdr>
                    <w:top w:val="none" w:sz="0" w:space="0" w:color="auto"/>
                    <w:left w:val="none" w:sz="0" w:space="0" w:color="auto"/>
                    <w:bottom w:val="none" w:sz="0" w:space="0" w:color="auto"/>
                    <w:right w:val="none" w:sz="0" w:space="0" w:color="auto"/>
                  </w:divBdr>
                </w:div>
                <w:div w:id="960191050">
                  <w:marLeft w:val="0"/>
                  <w:marRight w:val="0"/>
                  <w:marTop w:val="0"/>
                  <w:marBottom w:val="0"/>
                  <w:divBdr>
                    <w:top w:val="none" w:sz="0" w:space="0" w:color="auto"/>
                    <w:left w:val="none" w:sz="0" w:space="0" w:color="auto"/>
                    <w:bottom w:val="none" w:sz="0" w:space="0" w:color="auto"/>
                    <w:right w:val="none" w:sz="0" w:space="0" w:color="auto"/>
                  </w:divBdr>
                </w:div>
                <w:div w:id="1236015067">
                  <w:marLeft w:val="0"/>
                  <w:marRight w:val="0"/>
                  <w:marTop w:val="0"/>
                  <w:marBottom w:val="0"/>
                  <w:divBdr>
                    <w:top w:val="none" w:sz="0" w:space="0" w:color="auto"/>
                    <w:left w:val="none" w:sz="0" w:space="0" w:color="auto"/>
                    <w:bottom w:val="none" w:sz="0" w:space="0" w:color="auto"/>
                    <w:right w:val="none" w:sz="0" w:space="0" w:color="auto"/>
                  </w:divBdr>
                </w:div>
                <w:div w:id="1538661496">
                  <w:marLeft w:val="0"/>
                  <w:marRight w:val="0"/>
                  <w:marTop w:val="0"/>
                  <w:marBottom w:val="0"/>
                  <w:divBdr>
                    <w:top w:val="none" w:sz="0" w:space="0" w:color="auto"/>
                    <w:left w:val="none" w:sz="0" w:space="0" w:color="auto"/>
                    <w:bottom w:val="none" w:sz="0" w:space="0" w:color="auto"/>
                    <w:right w:val="none" w:sz="0" w:space="0" w:color="auto"/>
                  </w:divBdr>
                </w:div>
                <w:div w:id="1776972358">
                  <w:marLeft w:val="0"/>
                  <w:marRight w:val="0"/>
                  <w:marTop w:val="0"/>
                  <w:marBottom w:val="0"/>
                  <w:divBdr>
                    <w:top w:val="none" w:sz="0" w:space="0" w:color="auto"/>
                    <w:left w:val="none" w:sz="0" w:space="0" w:color="auto"/>
                    <w:bottom w:val="none" w:sz="0" w:space="0" w:color="auto"/>
                    <w:right w:val="none" w:sz="0" w:space="0" w:color="auto"/>
                  </w:divBdr>
                </w:div>
              </w:divsChild>
            </w:div>
            <w:div w:id="1627274291">
              <w:marLeft w:val="0"/>
              <w:marRight w:val="0"/>
              <w:marTop w:val="0"/>
              <w:marBottom w:val="0"/>
              <w:divBdr>
                <w:top w:val="none" w:sz="0" w:space="0" w:color="auto"/>
                <w:left w:val="none" w:sz="0" w:space="0" w:color="auto"/>
                <w:bottom w:val="none" w:sz="0" w:space="0" w:color="auto"/>
                <w:right w:val="none" w:sz="0" w:space="0" w:color="auto"/>
              </w:divBdr>
              <w:divsChild>
                <w:div w:id="75136785">
                  <w:marLeft w:val="0"/>
                  <w:marRight w:val="0"/>
                  <w:marTop w:val="0"/>
                  <w:marBottom w:val="0"/>
                  <w:divBdr>
                    <w:top w:val="none" w:sz="0" w:space="0" w:color="auto"/>
                    <w:left w:val="none" w:sz="0" w:space="0" w:color="auto"/>
                    <w:bottom w:val="none" w:sz="0" w:space="0" w:color="auto"/>
                    <w:right w:val="none" w:sz="0" w:space="0" w:color="auto"/>
                  </w:divBdr>
                </w:div>
                <w:div w:id="189346181">
                  <w:marLeft w:val="0"/>
                  <w:marRight w:val="0"/>
                  <w:marTop w:val="0"/>
                  <w:marBottom w:val="0"/>
                  <w:divBdr>
                    <w:top w:val="none" w:sz="0" w:space="0" w:color="auto"/>
                    <w:left w:val="none" w:sz="0" w:space="0" w:color="auto"/>
                    <w:bottom w:val="none" w:sz="0" w:space="0" w:color="auto"/>
                    <w:right w:val="none" w:sz="0" w:space="0" w:color="auto"/>
                  </w:divBdr>
                </w:div>
                <w:div w:id="473643478">
                  <w:marLeft w:val="0"/>
                  <w:marRight w:val="0"/>
                  <w:marTop w:val="0"/>
                  <w:marBottom w:val="0"/>
                  <w:divBdr>
                    <w:top w:val="none" w:sz="0" w:space="0" w:color="auto"/>
                    <w:left w:val="none" w:sz="0" w:space="0" w:color="auto"/>
                    <w:bottom w:val="none" w:sz="0" w:space="0" w:color="auto"/>
                    <w:right w:val="none" w:sz="0" w:space="0" w:color="auto"/>
                  </w:divBdr>
                </w:div>
                <w:div w:id="718364216">
                  <w:marLeft w:val="0"/>
                  <w:marRight w:val="0"/>
                  <w:marTop w:val="0"/>
                  <w:marBottom w:val="0"/>
                  <w:divBdr>
                    <w:top w:val="none" w:sz="0" w:space="0" w:color="auto"/>
                    <w:left w:val="none" w:sz="0" w:space="0" w:color="auto"/>
                    <w:bottom w:val="none" w:sz="0" w:space="0" w:color="auto"/>
                    <w:right w:val="none" w:sz="0" w:space="0" w:color="auto"/>
                  </w:divBdr>
                </w:div>
                <w:div w:id="906691878">
                  <w:marLeft w:val="0"/>
                  <w:marRight w:val="0"/>
                  <w:marTop w:val="0"/>
                  <w:marBottom w:val="0"/>
                  <w:divBdr>
                    <w:top w:val="none" w:sz="0" w:space="0" w:color="auto"/>
                    <w:left w:val="none" w:sz="0" w:space="0" w:color="auto"/>
                    <w:bottom w:val="none" w:sz="0" w:space="0" w:color="auto"/>
                    <w:right w:val="none" w:sz="0" w:space="0" w:color="auto"/>
                  </w:divBdr>
                </w:div>
                <w:div w:id="1090932749">
                  <w:marLeft w:val="0"/>
                  <w:marRight w:val="0"/>
                  <w:marTop w:val="0"/>
                  <w:marBottom w:val="0"/>
                  <w:divBdr>
                    <w:top w:val="none" w:sz="0" w:space="0" w:color="auto"/>
                    <w:left w:val="none" w:sz="0" w:space="0" w:color="auto"/>
                    <w:bottom w:val="none" w:sz="0" w:space="0" w:color="auto"/>
                    <w:right w:val="none" w:sz="0" w:space="0" w:color="auto"/>
                  </w:divBdr>
                </w:div>
                <w:div w:id="1415737860">
                  <w:marLeft w:val="0"/>
                  <w:marRight w:val="0"/>
                  <w:marTop w:val="0"/>
                  <w:marBottom w:val="0"/>
                  <w:divBdr>
                    <w:top w:val="none" w:sz="0" w:space="0" w:color="auto"/>
                    <w:left w:val="none" w:sz="0" w:space="0" w:color="auto"/>
                    <w:bottom w:val="none" w:sz="0" w:space="0" w:color="auto"/>
                    <w:right w:val="none" w:sz="0" w:space="0" w:color="auto"/>
                  </w:divBdr>
                </w:div>
                <w:div w:id="203773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348615">
      <w:bodyDiv w:val="1"/>
      <w:marLeft w:val="0"/>
      <w:marRight w:val="0"/>
      <w:marTop w:val="0"/>
      <w:marBottom w:val="0"/>
      <w:divBdr>
        <w:top w:val="none" w:sz="0" w:space="0" w:color="auto"/>
        <w:left w:val="none" w:sz="0" w:space="0" w:color="auto"/>
        <w:bottom w:val="none" w:sz="0" w:space="0" w:color="auto"/>
        <w:right w:val="none" w:sz="0" w:space="0" w:color="auto"/>
      </w:divBdr>
      <w:divsChild>
        <w:div w:id="381834180">
          <w:marLeft w:val="0"/>
          <w:marRight w:val="0"/>
          <w:marTop w:val="0"/>
          <w:marBottom w:val="0"/>
          <w:divBdr>
            <w:top w:val="none" w:sz="0" w:space="0" w:color="auto"/>
            <w:left w:val="none" w:sz="0" w:space="0" w:color="auto"/>
            <w:bottom w:val="none" w:sz="0" w:space="0" w:color="auto"/>
            <w:right w:val="none" w:sz="0" w:space="0" w:color="auto"/>
          </w:divBdr>
          <w:divsChild>
            <w:div w:id="1555699500">
              <w:marLeft w:val="0"/>
              <w:marRight w:val="0"/>
              <w:marTop w:val="0"/>
              <w:marBottom w:val="0"/>
              <w:divBdr>
                <w:top w:val="none" w:sz="0" w:space="0" w:color="auto"/>
                <w:left w:val="none" w:sz="0" w:space="0" w:color="auto"/>
                <w:bottom w:val="none" w:sz="0" w:space="0" w:color="auto"/>
                <w:right w:val="none" w:sz="0" w:space="0" w:color="auto"/>
              </w:divBdr>
              <w:divsChild>
                <w:div w:id="685790070">
                  <w:marLeft w:val="0"/>
                  <w:marRight w:val="0"/>
                  <w:marTop w:val="0"/>
                  <w:marBottom w:val="0"/>
                  <w:divBdr>
                    <w:top w:val="none" w:sz="0" w:space="0" w:color="auto"/>
                    <w:left w:val="none" w:sz="0" w:space="0" w:color="auto"/>
                    <w:bottom w:val="none" w:sz="0" w:space="0" w:color="auto"/>
                    <w:right w:val="none" w:sz="0" w:space="0" w:color="auto"/>
                  </w:divBdr>
                </w:div>
                <w:div w:id="805856408">
                  <w:marLeft w:val="0"/>
                  <w:marRight w:val="0"/>
                  <w:marTop w:val="0"/>
                  <w:marBottom w:val="0"/>
                  <w:divBdr>
                    <w:top w:val="none" w:sz="0" w:space="0" w:color="auto"/>
                    <w:left w:val="none" w:sz="0" w:space="0" w:color="auto"/>
                    <w:bottom w:val="none" w:sz="0" w:space="0" w:color="auto"/>
                    <w:right w:val="none" w:sz="0" w:space="0" w:color="auto"/>
                  </w:divBdr>
                </w:div>
                <w:div w:id="1021513819">
                  <w:marLeft w:val="0"/>
                  <w:marRight w:val="0"/>
                  <w:marTop w:val="0"/>
                  <w:marBottom w:val="0"/>
                  <w:divBdr>
                    <w:top w:val="none" w:sz="0" w:space="0" w:color="auto"/>
                    <w:left w:val="none" w:sz="0" w:space="0" w:color="auto"/>
                    <w:bottom w:val="none" w:sz="0" w:space="0" w:color="auto"/>
                    <w:right w:val="none" w:sz="0" w:space="0" w:color="auto"/>
                  </w:divBdr>
                </w:div>
                <w:div w:id="1115488701">
                  <w:marLeft w:val="0"/>
                  <w:marRight w:val="0"/>
                  <w:marTop w:val="0"/>
                  <w:marBottom w:val="0"/>
                  <w:divBdr>
                    <w:top w:val="none" w:sz="0" w:space="0" w:color="auto"/>
                    <w:left w:val="none" w:sz="0" w:space="0" w:color="auto"/>
                    <w:bottom w:val="none" w:sz="0" w:space="0" w:color="auto"/>
                    <w:right w:val="none" w:sz="0" w:space="0" w:color="auto"/>
                  </w:divBdr>
                </w:div>
                <w:div w:id="1794517333">
                  <w:marLeft w:val="0"/>
                  <w:marRight w:val="0"/>
                  <w:marTop w:val="0"/>
                  <w:marBottom w:val="0"/>
                  <w:divBdr>
                    <w:top w:val="none" w:sz="0" w:space="0" w:color="auto"/>
                    <w:left w:val="none" w:sz="0" w:space="0" w:color="auto"/>
                    <w:bottom w:val="none" w:sz="0" w:space="0" w:color="auto"/>
                    <w:right w:val="none" w:sz="0" w:space="0" w:color="auto"/>
                  </w:divBdr>
                </w:div>
                <w:div w:id="1877429881">
                  <w:marLeft w:val="0"/>
                  <w:marRight w:val="0"/>
                  <w:marTop w:val="0"/>
                  <w:marBottom w:val="0"/>
                  <w:divBdr>
                    <w:top w:val="none" w:sz="0" w:space="0" w:color="auto"/>
                    <w:left w:val="none" w:sz="0" w:space="0" w:color="auto"/>
                    <w:bottom w:val="none" w:sz="0" w:space="0" w:color="auto"/>
                    <w:right w:val="none" w:sz="0" w:space="0" w:color="auto"/>
                  </w:divBdr>
                </w:div>
                <w:div w:id="1897889632">
                  <w:marLeft w:val="0"/>
                  <w:marRight w:val="0"/>
                  <w:marTop w:val="0"/>
                  <w:marBottom w:val="0"/>
                  <w:divBdr>
                    <w:top w:val="none" w:sz="0" w:space="0" w:color="auto"/>
                    <w:left w:val="none" w:sz="0" w:space="0" w:color="auto"/>
                    <w:bottom w:val="none" w:sz="0" w:space="0" w:color="auto"/>
                    <w:right w:val="none" w:sz="0" w:space="0" w:color="auto"/>
                  </w:divBdr>
                </w:div>
                <w:div w:id="1912083039">
                  <w:marLeft w:val="0"/>
                  <w:marRight w:val="0"/>
                  <w:marTop w:val="0"/>
                  <w:marBottom w:val="0"/>
                  <w:divBdr>
                    <w:top w:val="none" w:sz="0" w:space="0" w:color="auto"/>
                    <w:left w:val="none" w:sz="0" w:space="0" w:color="auto"/>
                    <w:bottom w:val="none" w:sz="0" w:space="0" w:color="auto"/>
                    <w:right w:val="none" w:sz="0" w:space="0" w:color="auto"/>
                  </w:divBdr>
                </w:div>
              </w:divsChild>
            </w:div>
            <w:div w:id="1938555501">
              <w:marLeft w:val="0"/>
              <w:marRight w:val="0"/>
              <w:marTop w:val="0"/>
              <w:marBottom w:val="0"/>
              <w:divBdr>
                <w:top w:val="none" w:sz="0" w:space="0" w:color="auto"/>
                <w:left w:val="none" w:sz="0" w:space="0" w:color="auto"/>
                <w:bottom w:val="none" w:sz="0" w:space="0" w:color="auto"/>
                <w:right w:val="none" w:sz="0" w:space="0" w:color="auto"/>
              </w:divBdr>
              <w:divsChild>
                <w:div w:id="63648383">
                  <w:marLeft w:val="0"/>
                  <w:marRight w:val="0"/>
                  <w:marTop w:val="0"/>
                  <w:marBottom w:val="0"/>
                  <w:divBdr>
                    <w:top w:val="none" w:sz="0" w:space="0" w:color="auto"/>
                    <w:left w:val="none" w:sz="0" w:space="0" w:color="auto"/>
                    <w:bottom w:val="none" w:sz="0" w:space="0" w:color="auto"/>
                    <w:right w:val="none" w:sz="0" w:space="0" w:color="auto"/>
                  </w:divBdr>
                </w:div>
                <w:div w:id="96340461">
                  <w:marLeft w:val="0"/>
                  <w:marRight w:val="0"/>
                  <w:marTop w:val="0"/>
                  <w:marBottom w:val="0"/>
                  <w:divBdr>
                    <w:top w:val="none" w:sz="0" w:space="0" w:color="auto"/>
                    <w:left w:val="none" w:sz="0" w:space="0" w:color="auto"/>
                    <w:bottom w:val="none" w:sz="0" w:space="0" w:color="auto"/>
                    <w:right w:val="none" w:sz="0" w:space="0" w:color="auto"/>
                  </w:divBdr>
                </w:div>
                <w:div w:id="496189639">
                  <w:marLeft w:val="0"/>
                  <w:marRight w:val="0"/>
                  <w:marTop w:val="0"/>
                  <w:marBottom w:val="0"/>
                  <w:divBdr>
                    <w:top w:val="none" w:sz="0" w:space="0" w:color="auto"/>
                    <w:left w:val="none" w:sz="0" w:space="0" w:color="auto"/>
                    <w:bottom w:val="none" w:sz="0" w:space="0" w:color="auto"/>
                    <w:right w:val="none" w:sz="0" w:space="0" w:color="auto"/>
                  </w:divBdr>
                </w:div>
                <w:div w:id="761754337">
                  <w:marLeft w:val="0"/>
                  <w:marRight w:val="0"/>
                  <w:marTop w:val="0"/>
                  <w:marBottom w:val="0"/>
                  <w:divBdr>
                    <w:top w:val="none" w:sz="0" w:space="0" w:color="auto"/>
                    <w:left w:val="none" w:sz="0" w:space="0" w:color="auto"/>
                    <w:bottom w:val="none" w:sz="0" w:space="0" w:color="auto"/>
                    <w:right w:val="none" w:sz="0" w:space="0" w:color="auto"/>
                  </w:divBdr>
                </w:div>
                <w:div w:id="1441102483">
                  <w:marLeft w:val="0"/>
                  <w:marRight w:val="0"/>
                  <w:marTop w:val="0"/>
                  <w:marBottom w:val="0"/>
                  <w:divBdr>
                    <w:top w:val="none" w:sz="0" w:space="0" w:color="auto"/>
                    <w:left w:val="none" w:sz="0" w:space="0" w:color="auto"/>
                    <w:bottom w:val="none" w:sz="0" w:space="0" w:color="auto"/>
                    <w:right w:val="none" w:sz="0" w:space="0" w:color="auto"/>
                  </w:divBdr>
                </w:div>
                <w:div w:id="184650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04512">
      <w:bodyDiv w:val="1"/>
      <w:marLeft w:val="0"/>
      <w:marRight w:val="0"/>
      <w:marTop w:val="0"/>
      <w:marBottom w:val="0"/>
      <w:divBdr>
        <w:top w:val="none" w:sz="0" w:space="0" w:color="auto"/>
        <w:left w:val="none" w:sz="0" w:space="0" w:color="auto"/>
        <w:bottom w:val="none" w:sz="0" w:space="0" w:color="auto"/>
        <w:right w:val="none" w:sz="0" w:space="0" w:color="auto"/>
      </w:divBdr>
      <w:divsChild>
        <w:div w:id="588391464">
          <w:marLeft w:val="0"/>
          <w:marRight w:val="0"/>
          <w:marTop w:val="0"/>
          <w:marBottom w:val="0"/>
          <w:divBdr>
            <w:top w:val="none" w:sz="0" w:space="0" w:color="auto"/>
            <w:left w:val="none" w:sz="0" w:space="0" w:color="auto"/>
            <w:bottom w:val="none" w:sz="0" w:space="0" w:color="auto"/>
            <w:right w:val="none" w:sz="0" w:space="0" w:color="auto"/>
          </w:divBdr>
          <w:divsChild>
            <w:div w:id="36125007">
              <w:marLeft w:val="0"/>
              <w:marRight w:val="0"/>
              <w:marTop w:val="0"/>
              <w:marBottom w:val="0"/>
              <w:divBdr>
                <w:top w:val="none" w:sz="0" w:space="0" w:color="auto"/>
                <w:left w:val="none" w:sz="0" w:space="0" w:color="auto"/>
                <w:bottom w:val="none" w:sz="0" w:space="0" w:color="auto"/>
                <w:right w:val="none" w:sz="0" w:space="0" w:color="auto"/>
              </w:divBdr>
              <w:divsChild>
                <w:div w:id="111947930">
                  <w:marLeft w:val="0"/>
                  <w:marRight w:val="0"/>
                  <w:marTop w:val="0"/>
                  <w:marBottom w:val="0"/>
                  <w:divBdr>
                    <w:top w:val="none" w:sz="0" w:space="0" w:color="auto"/>
                    <w:left w:val="none" w:sz="0" w:space="0" w:color="auto"/>
                    <w:bottom w:val="none" w:sz="0" w:space="0" w:color="auto"/>
                    <w:right w:val="none" w:sz="0" w:space="0" w:color="auto"/>
                  </w:divBdr>
                </w:div>
                <w:div w:id="416487055">
                  <w:marLeft w:val="0"/>
                  <w:marRight w:val="0"/>
                  <w:marTop w:val="0"/>
                  <w:marBottom w:val="0"/>
                  <w:divBdr>
                    <w:top w:val="none" w:sz="0" w:space="0" w:color="auto"/>
                    <w:left w:val="none" w:sz="0" w:space="0" w:color="auto"/>
                    <w:bottom w:val="none" w:sz="0" w:space="0" w:color="auto"/>
                    <w:right w:val="none" w:sz="0" w:space="0" w:color="auto"/>
                  </w:divBdr>
                </w:div>
                <w:div w:id="860438575">
                  <w:marLeft w:val="0"/>
                  <w:marRight w:val="0"/>
                  <w:marTop w:val="0"/>
                  <w:marBottom w:val="0"/>
                  <w:divBdr>
                    <w:top w:val="none" w:sz="0" w:space="0" w:color="auto"/>
                    <w:left w:val="none" w:sz="0" w:space="0" w:color="auto"/>
                    <w:bottom w:val="none" w:sz="0" w:space="0" w:color="auto"/>
                    <w:right w:val="none" w:sz="0" w:space="0" w:color="auto"/>
                  </w:divBdr>
                </w:div>
                <w:div w:id="959727541">
                  <w:marLeft w:val="0"/>
                  <w:marRight w:val="0"/>
                  <w:marTop w:val="0"/>
                  <w:marBottom w:val="0"/>
                  <w:divBdr>
                    <w:top w:val="none" w:sz="0" w:space="0" w:color="auto"/>
                    <w:left w:val="none" w:sz="0" w:space="0" w:color="auto"/>
                    <w:bottom w:val="none" w:sz="0" w:space="0" w:color="auto"/>
                    <w:right w:val="none" w:sz="0" w:space="0" w:color="auto"/>
                  </w:divBdr>
                </w:div>
                <w:div w:id="1201750194">
                  <w:marLeft w:val="0"/>
                  <w:marRight w:val="0"/>
                  <w:marTop w:val="0"/>
                  <w:marBottom w:val="0"/>
                  <w:divBdr>
                    <w:top w:val="none" w:sz="0" w:space="0" w:color="auto"/>
                    <w:left w:val="none" w:sz="0" w:space="0" w:color="auto"/>
                    <w:bottom w:val="none" w:sz="0" w:space="0" w:color="auto"/>
                    <w:right w:val="none" w:sz="0" w:space="0" w:color="auto"/>
                  </w:divBdr>
                </w:div>
                <w:div w:id="1446971510">
                  <w:marLeft w:val="0"/>
                  <w:marRight w:val="0"/>
                  <w:marTop w:val="0"/>
                  <w:marBottom w:val="0"/>
                  <w:divBdr>
                    <w:top w:val="none" w:sz="0" w:space="0" w:color="auto"/>
                    <w:left w:val="none" w:sz="0" w:space="0" w:color="auto"/>
                    <w:bottom w:val="none" w:sz="0" w:space="0" w:color="auto"/>
                    <w:right w:val="none" w:sz="0" w:space="0" w:color="auto"/>
                  </w:divBdr>
                </w:div>
              </w:divsChild>
            </w:div>
            <w:div w:id="2081906586">
              <w:marLeft w:val="0"/>
              <w:marRight w:val="0"/>
              <w:marTop w:val="0"/>
              <w:marBottom w:val="0"/>
              <w:divBdr>
                <w:top w:val="none" w:sz="0" w:space="0" w:color="auto"/>
                <w:left w:val="none" w:sz="0" w:space="0" w:color="auto"/>
                <w:bottom w:val="none" w:sz="0" w:space="0" w:color="auto"/>
                <w:right w:val="none" w:sz="0" w:space="0" w:color="auto"/>
              </w:divBdr>
              <w:divsChild>
                <w:div w:id="190382298">
                  <w:marLeft w:val="0"/>
                  <w:marRight w:val="0"/>
                  <w:marTop w:val="0"/>
                  <w:marBottom w:val="0"/>
                  <w:divBdr>
                    <w:top w:val="none" w:sz="0" w:space="0" w:color="auto"/>
                    <w:left w:val="none" w:sz="0" w:space="0" w:color="auto"/>
                    <w:bottom w:val="none" w:sz="0" w:space="0" w:color="auto"/>
                    <w:right w:val="none" w:sz="0" w:space="0" w:color="auto"/>
                  </w:divBdr>
                </w:div>
                <w:div w:id="463475274">
                  <w:marLeft w:val="0"/>
                  <w:marRight w:val="0"/>
                  <w:marTop w:val="0"/>
                  <w:marBottom w:val="0"/>
                  <w:divBdr>
                    <w:top w:val="none" w:sz="0" w:space="0" w:color="auto"/>
                    <w:left w:val="none" w:sz="0" w:space="0" w:color="auto"/>
                    <w:bottom w:val="none" w:sz="0" w:space="0" w:color="auto"/>
                    <w:right w:val="none" w:sz="0" w:space="0" w:color="auto"/>
                  </w:divBdr>
                </w:div>
                <w:div w:id="790979728">
                  <w:marLeft w:val="0"/>
                  <w:marRight w:val="0"/>
                  <w:marTop w:val="0"/>
                  <w:marBottom w:val="0"/>
                  <w:divBdr>
                    <w:top w:val="none" w:sz="0" w:space="0" w:color="auto"/>
                    <w:left w:val="none" w:sz="0" w:space="0" w:color="auto"/>
                    <w:bottom w:val="none" w:sz="0" w:space="0" w:color="auto"/>
                    <w:right w:val="none" w:sz="0" w:space="0" w:color="auto"/>
                  </w:divBdr>
                </w:div>
                <w:div w:id="896941470">
                  <w:marLeft w:val="0"/>
                  <w:marRight w:val="0"/>
                  <w:marTop w:val="0"/>
                  <w:marBottom w:val="0"/>
                  <w:divBdr>
                    <w:top w:val="none" w:sz="0" w:space="0" w:color="auto"/>
                    <w:left w:val="none" w:sz="0" w:space="0" w:color="auto"/>
                    <w:bottom w:val="none" w:sz="0" w:space="0" w:color="auto"/>
                    <w:right w:val="none" w:sz="0" w:space="0" w:color="auto"/>
                  </w:divBdr>
                </w:div>
                <w:div w:id="1042707695">
                  <w:marLeft w:val="0"/>
                  <w:marRight w:val="0"/>
                  <w:marTop w:val="0"/>
                  <w:marBottom w:val="0"/>
                  <w:divBdr>
                    <w:top w:val="none" w:sz="0" w:space="0" w:color="auto"/>
                    <w:left w:val="none" w:sz="0" w:space="0" w:color="auto"/>
                    <w:bottom w:val="none" w:sz="0" w:space="0" w:color="auto"/>
                    <w:right w:val="none" w:sz="0" w:space="0" w:color="auto"/>
                  </w:divBdr>
                </w:div>
                <w:div w:id="1116095357">
                  <w:marLeft w:val="0"/>
                  <w:marRight w:val="0"/>
                  <w:marTop w:val="0"/>
                  <w:marBottom w:val="0"/>
                  <w:divBdr>
                    <w:top w:val="none" w:sz="0" w:space="0" w:color="auto"/>
                    <w:left w:val="none" w:sz="0" w:space="0" w:color="auto"/>
                    <w:bottom w:val="none" w:sz="0" w:space="0" w:color="auto"/>
                    <w:right w:val="none" w:sz="0" w:space="0" w:color="auto"/>
                  </w:divBdr>
                </w:div>
                <w:div w:id="1208645305">
                  <w:marLeft w:val="0"/>
                  <w:marRight w:val="0"/>
                  <w:marTop w:val="0"/>
                  <w:marBottom w:val="0"/>
                  <w:divBdr>
                    <w:top w:val="none" w:sz="0" w:space="0" w:color="auto"/>
                    <w:left w:val="none" w:sz="0" w:space="0" w:color="auto"/>
                    <w:bottom w:val="none" w:sz="0" w:space="0" w:color="auto"/>
                    <w:right w:val="none" w:sz="0" w:space="0" w:color="auto"/>
                  </w:divBdr>
                </w:div>
                <w:div w:id="165309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62158">
      <w:bodyDiv w:val="1"/>
      <w:marLeft w:val="0"/>
      <w:marRight w:val="0"/>
      <w:marTop w:val="0"/>
      <w:marBottom w:val="0"/>
      <w:divBdr>
        <w:top w:val="none" w:sz="0" w:space="0" w:color="auto"/>
        <w:left w:val="none" w:sz="0" w:space="0" w:color="auto"/>
        <w:bottom w:val="none" w:sz="0" w:space="0" w:color="auto"/>
        <w:right w:val="none" w:sz="0" w:space="0" w:color="auto"/>
      </w:divBdr>
      <w:divsChild>
        <w:div w:id="1934512955">
          <w:marLeft w:val="0"/>
          <w:marRight w:val="0"/>
          <w:marTop w:val="0"/>
          <w:marBottom w:val="0"/>
          <w:divBdr>
            <w:top w:val="none" w:sz="0" w:space="0" w:color="auto"/>
            <w:left w:val="none" w:sz="0" w:space="0" w:color="auto"/>
            <w:bottom w:val="none" w:sz="0" w:space="0" w:color="auto"/>
            <w:right w:val="none" w:sz="0" w:space="0" w:color="auto"/>
          </w:divBdr>
          <w:divsChild>
            <w:div w:id="438254877">
              <w:marLeft w:val="0"/>
              <w:marRight w:val="0"/>
              <w:marTop w:val="0"/>
              <w:marBottom w:val="0"/>
              <w:divBdr>
                <w:top w:val="none" w:sz="0" w:space="0" w:color="auto"/>
                <w:left w:val="none" w:sz="0" w:space="0" w:color="auto"/>
                <w:bottom w:val="none" w:sz="0" w:space="0" w:color="auto"/>
                <w:right w:val="none" w:sz="0" w:space="0" w:color="auto"/>
              </w:divBdr>
              <w:divsChild>
                <w:div w:id="80494635">
                  <w:marLeft w:val="0"/>
                  <w:marRight w:val="0"/>
                  <w:marTop w:val="0"/>
                  <w:marBottom w:val="0"/>
                  <w:divBdr>
                    <w:top w:val="none" w:sz="0" w:space="0" w:color="auto"/>
                    <w:left w:val="none" w:sz="0" w:space="0" w:color="auto"/>
                    <w:bottom w:val="none" w:sz="0" w:space="0" w:color="auto"/>
                    <w:right w:val="none" w:sz="0" w:space="0" w:color="auto"/>
                  </w:divBdr>
                </w:div>
                <w:div w:id="332029314">
                  <w:marLeft w:val="0"/>
                  <w:marRight w:val="0"/>
                  <w:marTop w:val="0"/>
                  <w:marBottom w:val="0"/>
                  <w:divBdr>
                    <w:top w:val="none" w:sz="0" w:space="0" w:color="auto"/>
                    <w:left w:val="none" w:sz="0" w:space="0" w:color="auto"/>
                    <w:bottom w:val="none" w:sz="0" w:space="0" w:color="auto"/>
                    <w:right w:val="none" w:sz="0" w:space="0" w:color="auto"/>
                  </w:divBdr>
                </w:div>
                <w:div w:id="1019965343">
                  <w:marLeft w:val="0"/>
                  <w:marRight w:val="0"/>
                  <w:marTop w:val="0"/>
                  <w:marBottom w:val="0"/>
                  <w:divBdr>
                    <w:top w:val="none" w:sz="0" w:space="0" w:color="auto"/>
                    <w:left w:val="none" w:sz="0" w:space="0" w:color="auto"/>
                    <w:bottom w:val="none" w:sz="0" w:space="0" w:color="auto"/>
                    <w:right w:val="none" w:sz="0" w:space="0" w:color="auto"/>
                  </w:divBdr>
                </w:div>
                <w:div w:id="1095781811">
                  <w:marLeft w:val="0"/>
                  <w:marRight w:val="0"/>
                  <w:marTop w:val="0"/>
                  <w:marBottom w:val="0"/>
                  <w:divBdr>
                    <w:top w:val="none" w:sz="0" w:space="0" w:color="auto"/>
                    <w:left w:val="none" w:sz="0" w:space="0" w:color="auto"/>
                    <w:bottom w:val="none" w:sz="0" w:space="0" w:color="auto"/>
                    <w:right w:val="none" w:sz="0" w:space="0" w:color="auto"/>
                  </w:divBdr>
                </w:div>
                <w:div w:id="1526214763">
                  <w:marLeft w:val="0"/>
                  <w:marRight w:val="0"/>
                  <w:marTop w:val="0"/>
                  <w:marBottom w:val="0"/>
                  <w:divBdr>
                    <w:top w:val="none" w:sz="0" w:space="0" w:color="auto"/>
                    <w:left w:val="none" w:sz="0" w:space="0" w:color="auto"/>
                    <w:bottom w:val="none" w:sz="0" w:space="0" w:color="auto"/>
                    <w:right w:val="none" w:sz="0" w:space="0" w:color="auto"/>
                  </w:divBdr>
                </w:div>
                <w:div w:id="1834368041">
                  <w:marLeft w:val="0"/>
                  <w:marRight w:val="0"/>
                  <w:marTop w:val="0"/>
                  <w:marBottom w:val="0"/>
                  <w:divBdr>
                    <w:top w:val="none" w:sz="0" w:space="0" w:color="auto"/>
                    <w:left w:val="none" w:sz="0" w:space="0" w:color="auto"/>
                    <w:bottom w:val="none" w:sz="0" w:space="0" w:color="auto"/>
                    <w:right w:val="none" w:sz="0" w:space="0" w:color="auto"/>
                  </w:divBdr>
                </w:div>
                <w:div w:id="1874226847">
                  <w:marLeft w:val="0"/>
                  <w:marRight w:val="0"/>
                  <w:marTop w:val="0"/>
                  <w:marBottom w:val="0"/>
                  <w:divBdr>
                    <w:top w:val="none" w:sz="0" w:space="0" w:color="auto"/>
                    <w:left w:val="none" w:sz="0" w:space="0" w:color="auto"/>
                    <w:bottom w:val="none" w:sz="0" w:space="0" w:color="auto"/>
                    <w:right w:val="none" w:sz="0" w:space="0" w:color="auto"/>
                  </w:divBdr>
                </w:div>
                <w:div w:id="2074622924">
                  <w:marLeft w:val="0"/>
                  <w:marRight w:val="0"/>
                  <w:marTop w:val="0"/>
                  <w:marBottom w:val="0"/>
                  <w:divBdr>
                    <w:top w:val="none" w:sz="0" w:space="0" w:color="auto"/>
                    <w:left w:val="none" w:sz="0" w:space="0" w:color="auto"/>
                    <w:bottom w:val="none" w:sz="0" w:space="0" w:color="auto"/>
                    <w:right w:val="none" w:sz="0" w:space="0" w:color="auto"/>
                  </w:divBdr>
                </w:div>
              </w:divsChild>
            </w:div>
            <w:div w:id="732697271">
              <w:marLeft w:val="0"/>
              <w:marRight w:val="0"/>
              <w:marTop w:val="0"/>
              <w:marBottom w:val="0"/>
              <w:divBdr>
                <w:top w:val="none" w:sz="0" w:space="0" w:color="auto"/>
                <w:left w:val="none" w:sz="0" w:space="0" w:color="auto"/>
                <w:bottom w:val="none" w:sz="0" w:space="0" w:color="auto"/>
                <w:right w:val="none" w:sz="0" w:space="0" w:color="auto"/>
              </w:divBdr>
              <w:divsChild>
                <w:div w:id="55783166">
                  <w:marLeft w:val="0"/>
                  <w:marRight w:val="0"/>
                  <w:marTop w:val="0"/>
                  <w:marBottom w:val="0"/>
                  <w:divBdr>
                    <w:top w:val="none" w:sz="0" w:space="0" w:color="auto"/>
                    <w:left w:val="none" w:sz="0" w:space="0" w:color="auto"/>
                    <w:bottom w:val="none" w:sz="0" w:space="0" w:color="auto"/>
                    <w:right w:val="none" w:sz="0" w:space="0" w:color="auto"/>
                  </w:divBdr>
                </w:div>
                <w:div w:id="79327335">
                  <w:marLeft w:val="0"/>
                  <w:marRight w:val="0"/>
                  <w:marTop w:val="0"/>
                  <w:marBottom w:val="0"/>
                  <w:divBdr>
                    <w:top w:val="none" w:sz="0" w:space="0" w:color="auto"/>
                    <w:left w:val="none" w:sz="0" w:space="0" w:color="auto"/>
                    <w:bottom w:val="none" w:sz="0" w:space="0" w:color="auto"/>
                    <w:right w:val="none" w:sz="0" w:space="0" w:color="auto"/>
                  </w:divBdr>
                </w:div>
                <w:div w:id="291787348">
                  <w:marLeft w:val="0"/>
                  <w:marRight w:val="0"/>
                  <w:marTop w:val="0"/>
                  <w:marBottom w:val="0"/>
                  <w:divBdr>
                    <w:top w:val="none" w:sz="0" w:space="0" w:color="auto"/>
                    <w:left w:val="none" w:sz="0" w:space="0" w:color="auto"/>
                    <w:bottom w:val="none" w:sz="0" w:space="0" w:color="auto"/>
                    <w:right w:val="none" w:sz="0" w:space="0" w:color="auto"/>
                  </w:divBdr>
                </w:div>
                <w:div w:id="856624149">
                  <w:marLeft w:val="0"/>
                  <w:marRight w:val="0"/>
                  <w:marTop w:val="0"/>
                  <w:marBottom w:val="0"/>
                  <w:divBdr>
                    <w:top w:val="none" w:sz="0" w:space="0" w:color="auto"/>
                    <w:left w:val="none" w:sz="0" w:space="0" w:color="auto"/>
                    <w:bottom w:val="none" w:sz="0" w:space="0" w:color="auto"/>
                    <w:right w:val="none" w:sz="0" w:space="0" w:color="auto"/>
                  </w:divBdr>
                </w:div>
                <w:div w:id="963779001">
                  <w:marLeft w:val="0"/>
                  <w:marRight w:val="0"/>
                  <w:marTop w:val="0"/>
                  <w:marBottom w:val="0"/>
                  <w:divBdr>
                    <w:top w:val="none" w:sz="0" w:space="0" w:color="auto"/>
                    <w:left w:val="none" w:sz="0" w:space="0" w:color="auto"/>
                    <w:bottom w:val="none" w:sz="0" w:space="0" w:color="auto"/>
                    <w:right w:val="none" w:sz="0" w:space="0" w:color="auto"/>
                  </w:divBdr>
                </w:div>
                <w:div w:id="13501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450504">
      <w:bodyDiv w:val="1"/>
      <w:marLeft w:val="0"/>
      <w:marRight w:val="0"/>
      <w:marTop w:val="0"/>
      <w:marBottom w:val="0"/>
      <w:divBdr>
        <w:top w:val="none" w:sz="0" w:space="0" w:color="auto"/>
        <w:left w:val="none" w:sz="0" w:space="0" w:color="auto"/>
        <w:bottom w:val="none" w:sz="0" w:space="0" w:color="auto"/>
        <w:right w:val="none" w:sz="0" w:space="0" w:color="auto"/>
      </w:divBdr>
      <w:divsChild>
        <w:div w:id="995694291">
          <w:marLeft w:val="0"/>
          <w:marRight w:val="0"/>
          <w:marTop w:val="0"/>
          <w:marBottom w:val="0"/>
          <w:divBdr>
            <w:top w:val="none" w:sz="0" w:space="0" w:color="auto"/>
            <w:left w:val="none" w:sz="0" w:space="0" w:color="auto"/>
            <w:bottom w:val="none" w:sz="0" w:space="0" w:color="auto"/>
            <w:right w:val="none" w:sz="0" w:space="0" w:color="auto"/>
          </w:divBdr>
          <w:divsChild>
            <w:div w:id="436408457">
              <w:marLeft w:val="0"/>
              <w:marRight w:val="0"/>
              <w:marTop w:val="0"/>
              <w:marBottom w:val="0"/>
              <w:divBdr>
                <w:top w:val="none" w:sz="0" w:space="0" w:color="auto"/>
                <w:left w:val="none" w:sz="0" w:space="0" w:color="auto"/>
                <w:bottom w:val="none" w:sz="0" w:space="0" w:color="auto"/>
                <w:right w:val="none" w:sz="0" w:space="0" w:color="auto"/>
              </w:divBdr>
              <w:divsChild>
                <w:div w:id="416172983">
                  <w:marLeft w:val="0"/>
                  <w:marRight w:val="0"/>
                  <w:marTop w:val="0"/>
                  <w:marBottom w:val="0"/>
                  <w:divBdr>
                    <w:top w:val="none" w:sz="0" w:space="0" w:color="auto"/>
                    <w:left w:val="none" w:sz="0" w:space="0" w:color="auto"/>
                    <w:bottom w:val="none" w:sz="0" w:space="0" w:color="auto"/>
                    <w:right w:val="none" w:sz="0" w:space="0" w:color="auto"/>
                  </w:divBdr>
                </w:div>
                <w:div w:id="1013844961">
                  <w:marLeft w:val="0"/>
                  <w:marRight w:val="0"/>
                  <w:marTop w:val="0"/>
                  <w:marBottom w:val="0"/>
                  <w:divBdr>
                    <w:top w:val="none" w:sz="0" w:space="0" w:color="auto"/>
                    <w:left w:val="none" w:sz="0" w:space="0" w:color="auto"/>
                    <w:bottom w:val="none" w:sz="0" w:space="0" w:color="auto"/>
                    <w:right w:val="none" w:sz="0" w:space="0" w:color="auto"/>
                  </w:divBdr>
                </w:div>
                <w:div w:id="1174109995">
                  <w:marLeft w:val="0"/>
                  <w:marRight w:val="0"/>
                  <w:marTop w:val="0"/>
                  <w:marBottom w:val="0"/>
                  <w:divBdr>
                    <w:top w:val="none" w:sz="0" w:space="0" w:color="auto"/>
                    <w:left w:val="none" w:sz="0" w:space="0" w:color="auto"/>
                    <w:bottom w:val="none" w:sz="0" w:space="0" w:color="auto"/>
                    <w:right w:val="none" w:sz="0" w:space="0" w:color="auto"/>
                  </w:divBdr>
                </w:div>
                <w:div w:id="1315112069">
                  <w:marLeft w:val="0"/>
                  <w:marRight w:val="0"/>
                  <w:marTop w:val="0"/>
                  <w:marBottom w:val="0"/>
                  <w:divBdr>
                    <w:top w:val="none" w:sz="0" w:space="0" w:color="auto"/>
                    <w:left w:val="none" w:sz="0" w:space="0" w:color="auto"/>
                    <w:bottom w:val="none" w:sz="0" w:space="0" w:color="auto"/>
                    <w:right w:val="none" w:sz="0" w:space="0" w:color="auto"/>
                  </w:divBdr>
                </w:div>
                <w:div w:id="1711761304">
                  <w:marLeft w:val="0"/>
                  <w:marRight w:val="0"/>
                  <w:marTop w:val="0"/>
                  <w:marBottom w:val="0"/>
                  <w:divBdr>
                    <w:top w:val="none" w:sz="0" w:space="0" w:color="auto"/>
                    <w:left w:val="none" w:sz="0" w:space="0" w:color="auto"/>
                    <w:bottom w:val="none" w:sz="0" w:space="0" w:color="auto"/>
                    <w:right w:val="none" w:sz="0" w:space="0" w:color="auto"/>
                  </w:divBdr>
                </w:div>
                <w:div w:id="1752509967">
                  <w:marLeft w:val="0"/>
                  <w:marRight w:val="0"/>
                  <w:marTop w:val="0"/>
                  <w:marBottom w:val="0"/>
                  <w:divBdr>
                    <w:top w:val="none" w:sz="0" w:space="0" w:color="auto"/>
                    <w:left w:val="none" w:sz="0" w:space="0" w:color="auto"/>
                    <w:bottom w:val="none" w:sz="0" w:space="0" w:color="auto"/>
                    <w:right w:val="none" w:sz="0" w:space="0" w:color="auto"/>
                  </w:divBdr>
                </w:div>
                <w:div w:id="1795173209">
                  <w:marLeft w:val="0"/>
                  <w:marRight w:val="0"/>
                  <w:marTop w:val="0"/>
                  <w:marBottom w:val="0"/>
                  <w:divBdr>
                    <w:top w:val="none" w:sz="0" w:space="0" w:color="auto"/>
                    <w:left w:val="none" w:sz="0" w:space="0" w:color="auto"/>
                    <w:bottom w:val="none" w:sz="0" w:space="0" w:color="auto"/>
                    <w:right w:val="none" w:sz="0" w:space="0" w:color="auto"/>
                  </w:divBdr>
                </w:div>
                <w:div w:id="1858159639">
                  <w:marLeft w:val="0"/>
                  <w:marRight w:val="0"/>
                  <w:marTop w:val="0"/>
                  <w:marBottom w:val="0"/>
                  <w:divBdr>
                    <w:top w:val="none" w:sz="0" w:space="0" w:color="auto"/>
                    <w:left w:val="none" w:sz="0" w:space="0" w:color="auto"/>
                    <w:bottom w:val="none" w:sz="0" w:space="0" w:color="auto"/>
                    <w:right w:val="none" w:sz="0" w:space="0" w:color="auto"/>
                  </w:divBdr>
                </w:div>
              </w:divsChild>
            </w:div>
            <w:div w:id="939803124">
              <w:marLeft w:val="0"/>
              <w:marRight w:val="0"/>
              <w:marTop w:val="0"/>
              <w:marBottom w:val="0"/>
              <w:divBdr>
                <w:top w:val="none" w:sz="0" w:space="0" w:color="auto"/>
                <w:left w:val="none" w:sz="0" w:space="0" w:color="auto"/>
                <w:bottom w:val="none" w:sz="0" w:space="0" w:color="auto"/>
                <w:right w:val="none" w:sz="0" w:space="0" w:color="auto"/>
              </w:divBdr>
              <w:divsChild>
                <w:div w:id="3750974">
                  <w:marLeft w:val="0"/>
                  <w:marRight w:val="0"/>
                  <w:marTop w:val="0"/>
                  <w:marBottom w:val="0"/>
                  <w:divBdr>
                    <w:top w:val="none" w:sz="0" w:space="0" w:color="auto"/>
                    <w:left w:val="none" w:sz="0" w:space="0" w:color="auto"/>
                    <w:bottom w:val="none" w:sz="0" w:space="0" w:color="auto"/>
                    <w:right w:val="none" w:sz="0" w:space="0" w:color="auto"/>
                  </w:divBdr>
                </w:div>
                <w:div w:id="909340382">
                  <w:marLeft w:val="0"/>
                  <w:marRight w:val="0"/>
                  <w:marTop w:val="0"/>
                  <w:marBottom w:val="0"/>
                  <w:divBdr>
                    <w:top w:val="none" w:sz="0" w:space="0" w:color="auto"/>
                    <w:left w:val="none" w:sz="0" w:space="0" w:color="auto"/>
                    <w:bottom w:val="none" w:sz="0" w:space="0" w:color="auto"/>
                    <w:right w:val="none" w:sz="0" w:space="0" w:color="auto"/>
                  </w:divBdr>
                </w:div>
                <w:div w:id="1638995380">
                  <w:marLeft w:val="0"/>
                  <w:marRight w:val="0"/>
                  <w:marTop w:val="0"/>
                  <w:marBottom w:val="0"/>
                  <w:divBdr>
                    <w:top w:val="none" w:sz="0" w:space="0" w:color="auto"/>
                    <w:left w:val="none" w:sz="0" w:space="0" w:color="auto"/>
                    <w:bottom w:val="none" w:sz="0" w:space="0" w:color="auto"/>
                    <w:right w:val="none" w:sz="0" w:space="0" w:color="auto"/>
                  </w:divBdr>
                </w:div>
                <w:div w:id="1949314958">
                  <w:marLeft w:val="0"/>
                  <w:marRight w:val="0"/>
                  <w:marTop w:val="0"/>
                  <w:marBottom w:val="0"/>
                  <w:divBdr>
                    <w:top w:val="none" w:sz="0" w:space="0" w:color="auto"/>
                    <w:left w:val="none" w:sz="0" w:space="0" w:color="auto"/>
                    <w:bottom w:val="none" w:sz="0" w:space="0" w:color="auto"/>
                    <w:right w:val="none" w:sz="0" w:space="0" w:color="auto"/>
                  </w:divBdr>
                </w:div>
                <w:div w:id="2035301495">
                  <w:marLeft w:val="0"/>
                  <w:marRight w:val="0"/>
                  <w:marTop w:val="0"/>
                  <w:marBottom w:val="0"/>
                  <w:divBdr>
                    <w:top w:val="none" w:sz="0" w:space="0" w:color="auto"/>
                    <w:left w:val="none" w:sz="0" w:space="0" w:color="auto"/>
                    <w:bottom w:val="none" w:sz="0" w:space="0" w:color="auto"/>
                    <w:right w:val="none" w:sz="0" w:space="0" w:color="auto"/>
                  </w:divBdr>
                </w:div>
                <w:div w:id="203761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62367">
      <w:bodyDiv w:val="1"/>
      <w:marLeft w:val="0"/>
      <w:marRight w:val="0"/>
      <w:marTop w:val="0"/>
      <w:marBottom w:val="0"/>
      <w:divBdr>
        <w:top w:val="none" w:sz="0" w:space="0" w:color="auto"/>
        <w:left w:val="none" w:sz="0" w:space="0" w:color="auto"/>
        <w:bottom w:val="none" w:sz="0" w:space="0" w:color="auto"/>
        <w:right w:val="none" w:sz="0" w:space="0" w:color="auto"/>
      </w:divBdr>
    </w:div>
    <w:div w:id="902325751">
      <w:bodyDiv w:val="1"/>
      <w:marLeft w:val="0"/>
      <w:marRight w:val="0"/>
      <w:marTop w:val="0"/>
      <w:marBottom w:val="0"/>
      <w:divBdr>
        <w:top w:val="none" w:sz="0" w:space="0" w:color="auto"/>
        <w:left w:val="none" w:sz="0" w:space="0" w:color="auto"/>
        <w:bottom w:val="none" w:sz="0" w:space="0" w:color="auto"/>
        <w:right w:val="none" w:sz="0" w:space="0" w:color="auto"/>
      </w:divBdr>
    </w:div>
    <w:div w:id="1031690129">
      <w:bodyDiv w:val="1"/>
      <w:marLeft w:val="0"/>
      <w:marRight w:val="0"/>
      <w:marTop w:val="0"/>
      <w:marBottom w:val="0"/>
      <w:divBdr>
        <w:top w:val="none" w:sz="0" w:space="0" w:color="auto"/>
        <w:left w:val="none" w:sz="0" w:space="0" w:color="auto"/>
        <w:bottom w:val="none" w:sz="0" w:space="0" w:color="auto"/>
        <w:right w:val="none" w:sz="0" w:space="0" w:color="auto"/>
      </w:divBdr>
    </w:div>
    <w:div w:id="1299384601">
      <w:bodyDiv w:val="1"/>
      <w:marLeft w:val="0"/>
      <w:marRight w:val="0"/>
      <w:marTop w:val="0"/>
      <w:marBottom w:val="0"/>
      <w:divBdr>
        <w:top w:val="none" w:sz="0" w:space="0" w:color="auto"/>
        <w:left w:val="none" w:sz="0" w:space="0" w:color="auto"/>
        <w:bottom w:val="none" w:sz="0" w:space="0" w:color="auto"/>
        <w:right w:val="none" w:sz="0" w:space="0" w:color="auto"/>
      </w:divBdr>
    </w:div>
    <w:div w:id="1411780203">
      <w:bodyDiv w:val="1"/>
      <w:marLeft w:val="0"/>
      <w:marRight w:val="0"/>
      <w:marTop w:val="0"/>
      <w:marBottom w:val="0"/>
      <w:divBdr>
        <w:top w:val="none" w:sz="0" w:space="0" w:color="auto"/>
        <w:left w:val="none" w:sz="0" w:space="0" w:color="auto"/>
        <w:bottom w:val="none" w:sz="0" w:space="0" w:color="auto"/>
        <w:right w:val="none" w:sz="0" w:space="0" w:color="auto"/>
      </w:divBdr>
    </w:div>
    <w:div w:id="1485733604">
      <w:bodyDiv w:val="1"/>
      <w:marLeft w:val="0"/>
      <w:marRight w:val="0"/>
      <w:marTop w:val="0"/>
      <w:marBottom w:val="0"/>
      <w:divBdr>
        <w:top w:val="none" w:sz="0" w:space="0" w:color="auto"/>
        <w:left w:val="none" w:sz="0" w:space="0" w:color="auto"/>
        <w:bottom w:val="none" w:sz="0" w:space="0" w:color="auto"/>
        <w:right w:val="none" w:sz="0" w:space="0" w:color="auto"/>
      </w:divBdr>
    </w:div>
    <w:div w:id="1589653236">
      <w:bodyDiv w:val="1"/>
      <w:marLeft w:val="0"/>
      <w:marRight w:val="0"/>
      <w:marTop w:val="0"/>
      <w:marBottom w:val="0"/>
      <w:divBdr>
        <w:top w:val="none" w:sz="0" w:space="0" w:color="auto"/>
        <w:left w:val="none" w:sz="0" w:space="0" w:color="auto"/>
        <w:bottom w:val="none" w:sz="0" w:space="0" w:color="auto"/>
        <w:right w:val="none" w:sz="0" w:space="0" w:color="auto"/>
      </w:divBdr>
      <w:divsChild>
        <w:div w:id="1545287052">
          <w:marLeft w:val="0"/>
          <w:marRight w:val="0"/>
          <w:marTop w:val="0"/>
          <w:marBottom w:val="0"/>
          <w:divBdr>
            <w:top w:val="none" w:sz="0" w:space="0" w:color="auto"/>
            <w:left w:val="none" w:sz="0" w:space="0" w:color="auto"/>
            <w:bottom w:val="none" w:sz="0" w:space="0" w:color="auto"/>
            <w:right w:val="none" w:sz="0" w:space="0" w:color="auto"/>
          </w:divBdr>
          <w:divsChild>
            <w:div w:id="295258031">
              <w:marLeft w:val="0"/>
              <w:marRight w:val="0"/>
              <w:marTop w:val="0"/>
              <w:marBottom w:val="0"/>
              <w:divBdr>
                <w:top w:val="none" w:sz="0" w:space="0" w:color="auto"/>
                <w:left w:val="none" w:sz="0" w:space="0" w:color="auto"/>
                <w:bottom w:val="none" w:sz="0" w:space="0" w:color="auto"/>
                <w:right w:val="none" w:sz="0" w:space="0" w:color="auto"/>
              </w:divBdr>
              <w:divsChild>
                <w:div w:id="118309052">
                  <w:marLeft w:val="0"/>
                  <w:marRight w:val="0"/>
                  <w:marTop w:val="0"/>
                  <w:marBottom w:val="0"/>
                  <w:divBdr>
                    <w:top w:val="none" w:sz="0" w:space="0" w:color="auto"/>
                    <w:left w:val="none" w:sz="0" w:space="0" w:color="auto"/>
                    <w:bottom w:val="none" w:sz="0" w:space="0" w:color="auto"/>
                    <w:right w:val="none" w:sz="0" w:space="0" w:color="auto"/>
                  </w:divBdr>
                </w:div>
                <w:div w:id="197668546">
                  <w:marLeft w:val="0"/>
                  <w:marRight w:val="0"/>
                  <w:marTop w:val="0"/>
                  <w:marBottom w:val="0"/>
                  <w:divBdr>
                    <w:top w:val="none" w:sz="0" w:space="0" w:color="auto"/>
                    <w:left w:val="none" w:sz="0" w:space="0" w:color="auto"/>
                    <w:bottom w:val="none" w:sz="0" w:space="0" w:color="auto"/>
                    <w:right w:val="none" w:sz="0" w:space="0" w:color="auto"/>
                  </w:divBdr>
                </w:div>
                <w:div w:id="319382279">
                  <w:marLeft w:val="0"/>
                  <w:marRight w:val="0"/>
                  <w:marTop w:val="0"/>
                  <w:marBottom w:val="0"/>
                  <w:divBdr>
                    <w:top w:val="none" w:sz="0" w:space="0" w:color="auto"/>
                    <w:left w:val="none" w:sz="0" w:space="0" w:color="auto"/>
                    <w:bottom w:val="none" w:sz="0" w:space="0" w:color="auto"/>
                    <w:right w:val="none" w:sz="0" w:space="0" w:color="auto"/>
                  </w:divBdr>
                </w:div>
                <w:div w:id="621770978">
                  <w:marLeft w:val="0"/>
                  <w:marRight w:val="0"/>
                  <w:marTop w:val="0"/>
                  <w:marBottom w:val="0"/>
                  <w:divBdr>
                    <w:top w:val="none" w:sz="0" w:space="0" w:color="auto"/>
                    <w:left w:val="none" w:sz="0" w:space="0" w:color="auto"/>
                    <w:bottom w:val="none" w:sz="0" w:space="0" w:color="auto"/>
                    <w:right w:val="none" w:sz="0" w:space="0" w:color="auto"/>
                  </w:divBdr>
                </w:div>
                <w:div w:id="786630347">
                  <w:marLeft w:val="0"/>
                  <w:marRight w:val="0"/>
                  <w:marTop w:val="0"/>
                  <w:marBottom w:val="0"/>
                  <w:divBdr>
                    <w:top w:val="none" w:sz="0" w:space="0" w:color="auto"/>
                    <w:left w:val="none" w:sz="0" w:space="0" w:color="auto"/>
                    <w:bottom w:val="none" w:sz="0" w:space="0" w:color="auto"/>
                    <w:right w:val="none" w:sz="0" w:space="0" w:color="auto"/>
                  </w:divBdr>
                </w:div>
                <w:div w:id="882182421">
                  <w:marLeft w:val="0"/>
                  <w:marRight w:val="0"/>
                  <w:marTop w:val="0"/>
                  <w:marBottom w:val="0"/>
                  <w:divBdr>
                    <w:top w:val="none" w:sz="0" w:space="0" w:color="auto"/>
                    <w:left w:val="none" w:sz="0" w:space="0" w:color="auto"/>
                    <w:bottom w:val="none" w:sz="0" w:space="0" w:color="auto"/>
                    <w:right w:val="none" w:sz="0" w:space="0" w:color="auto"/>
                  </w:divBdr>
                </w:div>
                <w:div w:id="1807626257">
                  <w:marLeft w:val="0"/>
                  <w:marRight w:val="0"/>
                  <w:marTop w:val="0"/>
                  <w:marBottom w:val="0"/>
                  <w:divBdr>
                    <w:top w:val="none" w:sz="0" w:space="0" w:color="auto"/>
                    <w:left w:val="none" w:sz="0" w:space="0" w:color="auto"/>
                    <w:bottom w:val="none" w:sz="0" w:space="0" w:color="auto"/>
                    <w:right w:val="none" w:sz="0" w:space="0" w:color="auto"/>
                  </w:divBdr>
                </w:div>
                <w:div w:id="1812087994">
                  <w:marLeft w:val="0"/>
                  <w:marRight w:val="0"/>
                  <w:marTop w:val="0"/>
                  <w:marBottom w:val="0"/>
                  <w:divBdr>
                    <w:top w:val="none" w:sz="0" w:space="0" w:color="auto"/>
                    <w:left w:val="none" w:sz="0" w:space="0" w:color="auto"/>
                    <w:bottom w:val="none" w:sz="0" w:space="0" w:color="auto"/>
                    <w:right w:val="none" w:sz="0" w:space="0" w:color="auto"/>
                  </w:divBdr>
                </w:div>
              </w:divsChild>
            </w:div>
            <w:div w:id="2050451195">
              <w:marLeft w:val="0"/>
              <w:marRight w:val="0"/>
              <w:marTop w:val="0"/>
              <w:marBottom w:val="0"/>
              <w:divBdr>
                <w:top w:val="none" w:sz="0" w:space="0" w:color="auto"/>
                <w:left w:val="none" w:sz="0" w:space="0" w:color="auto"/>
                <w:bottom w:val="none" w:sz="0" w:space="0" w:color="auto"/>
                <w:right w:val="none" w:sz="0" w:space="0" w:color="auto"/>
              </w:divBdr>
              <w:divsChild>
                <w:div w:id="1097477933">
                  <w:marLeft w:val="0"/>
                  <w:marRight w:val="0"/>
                  <w:marTop w:val="0"/>
                  <w:marBottom w:val="0"/>
                  <w:divBdr>
                    <w:top w:val="none" w:sz="0" w:space="0" w:color="auto"/>
                    <w:left w:val="none" w:sz="0" w:space="0" w:color="auto"/>
                    <w:bottom w:val="none" w:sz="0" w:space="0" w:color="auto"/>
                    <w:right w:val="none" w:sz="0" w:space="0" w:color="auto"/>
                  </w:divBdr>
                </w:div>
                <w:div w:id="1488934638">
                  <w:marLeft w:val="0"/>
                  <w:marRight w:val="0"/>
                  <w:marTop w:val="0"/>
                  <w:marBottom w:val="0"/>
                  <w:divBdr>
                    <w:top w:val="none" w:sz="0" w:space="0" w:color="auto"/>
                    <w:left w:val="none" w:sz="0" w:space="0" w:color="auto"/>
                    <w:bottom w:val="none" w:sz="0" w:space="0" w:color="auto"/>
                    <w:right w:val="none" w:sz="0" w:space="0" w:color="auto"/>
                  </w:divBdr>
                </w:div>
                <w:div w:id="1493526702">
                  <w:marLeft w:val="0"/>
                  <w:marRight w:val="0"/>
                  <w:marTop w:val="0"/>
                  <w:marBottom w:val="0"/>
                  <w:divBdr>
                    <w:top w:val="none" w:sz="0" w:space="0" w:color="auto"/>
                    <w:left w:val="none" w:sz="0" w:space="0" w:color="auto"/>
                    <w:bottom w:val="none" w:sz="0" w:space="0" w:color="auto"/>
                    <w:right w:val="none" w:sz="0" w:space="0" w:color="auto"/>
                  </w:divBdr>
                </w:div>
                <w:div w:id="1525897278">
                  <w:marLeft w:val="0"/>
                  <w:marRight w:val="0"/>
                  <w:marTop w:val="0"/>
                  <w:marBottom w:val="0"/>
                  <w:divBdr>
                    <w:top w:val="none" w:sz="0" w:space="0" w:color="auto"/>
                    <w:left w:val="none" w:sz="0" w:space="0" w:color="auto"/>
                    <w:bottom w:val="none" w:sz="0" w:space="0" w:color="auto"/>
                    <w:right w:val="none" w:sz="0" w:space="0" w:color="auto"/>
                  </w:divBdr>
                </w:div>
                <w:div w:id="1751389331">
                  <w:marLeft w:val="0"/>
                  <w:marRight w:val="0"/>
                  <w:marTop w:val="0"/>
                  <w:marBottom w:val="0"/>
                  <w:divBdr>
                    <w:top w:val="none" w:sz="0" w:space="0" w:color="auto"/>
                    <w:left w:val="none" w:sz="0" w:space="0" w:color="auto"/>
                    <w:bottom w:val="none" w:sz="0" w:space="0" w:color="auto"/>
                    <w:right w:val="none" w:sz="0" w:space="0" w:color="auto"/>
                  </w:divBdr>
                </w:div>
                <w:div w:id="200855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064823">
      <w:bodyDiv w:val="1"/>
      <w:marLeft w:val="0"/>
      <w:marRight w:val="0"/>
      <w:marTop w:val="0"/>
      <w:marBottom w:val="0"/>
      <w:divBdr>
        <w:top w:val="none" w:sz="0" w:space="0" w:color="auto"/>
        <w:left w:val="none" w:sz="0" w:space="0" w:color="auto"/>
        <w:bottom w:val="none" w:sz="0" w:space="0" w:color="auto"/>
        <w:right w:val="none" w:sz="0" w:space="0" w:color="auto"/>
      </w:divBdr>
    </w:div>
    <w:div w:id="1676691771">
      <w:bodyDiv w:val="1"/>
      <w:marLeft w:val="0"/>
      <w:marRight w:val="0"/>
      <w:marTop w:val="0"/>
      <w:marBottom w:val="0"/>
      <w:divBdr>
        <w:top w:val="none" w:sz="0" w:space="0" w:color="auto"/>
        <w:left w:val="none" w:sz="0" w:space="0" w:color="auto"/>
        <w:bottom w:val="none" w:sz="0" w:space="0" w:color="auto"/>
        <w:right w:val="none" w:sz="0" w:space="0" w:color="auto"/>
      </w:divBdr>
    </w:div>
    <w:div w:id="1833176994">
      <w:bodyDiv w:val="1"/>
      <w:marLeft w:val="0"/>
      <w:marRight w:val="0"/>
      <w:marTop w:val="0"/>
      <w:marBottom w:val="0"/>
      <w:divBdr>
        <w:top w:val="none" w:sz="0" w:space="0" w:color="auto"/>
        <w:left w:val="none" w:sz="0" w:space="0" w:color="auto"/>
        <w:bottom w:val="none" w:sz="0" w:space="0" w:color="auto"/>
        <w:right w:val="none" w:sz="0" w:space="0" w:color="auto"/>
      </w:divBdr>
    </w:div>
    <w:div w:id="1895775239">
      <w:bodyDiv w:val="1"/>
      <w:marLeft w:val="0"/>
      <w:marRight w:val="0"/>
      <w:marTop w:val="0"/>
      <w:marBottom w:val="0"/>
      <w:divBdr>
        <w:top w:val="none" w:sz="0" w:space="0" w:color="auto"/>
        <w:left w:val="none" w:sz="0" w:space="0" w:color="auto"/>
        <w:bottom w:val="none" w:sz="0" w:space="0" w:color="auto"/>
        <w:right w:val="none" w:sz="0" w:space="0" w:color="auto"/>
      </w:divBdr>
      <w:divsChild>
        <w:div w:id="1114136442">
          <w:marLeft w:val="0"/>
          <w:marRight w:val="0"/>
          <w:marTop w:val="0"/>
          <w:marBottom w:val="0"/>
          <w:divBdr>
            <w:top w:val="none" w:sz="0" w:space="0" w:color="auto"/>
            <w:left w:val="none" w:sz="0" w:space="0" w:color="auto"/>
            <w:bottom w:val="none" w:sz="0" w:space="0" w:color="auto"/>
            <w:right w:val="none" w:sz="0" w:space="0" w:color="auto"/>
          </w:divBdr>
          <w:divsChild>
            <w:div w:id="530070095">
              <w:marLeft w:val="0"/>
              <w:marRight w:val="0"/>
              <w:marTop w:val="0"/>
              <w:marBottom w:val="0"/>
              <w:divBdr>
                <w:top w:val="none" w:sz="0" w:space="0" w:color="auto"/>
                <w:left w:val="none" w:sz="0" w:space="0" w:color="auto"/>
                <w:bottom w:val="none" w:sz="0" w:space="0" w:color="auto"/>
                <w:right w:val="none" w:sz="0" w:space="0" w:color="auto"/>
              </w:divBdr>
              <w:divsChild>
                <w:div w:id="591010653">
                  <w:marLeft w:val="0"/>
                  <w:marRight w:val="0"/>
                  <w:marTop w:val="0"/>
                  <w:marBottom w:val="0"/>
                  <w:divBdr>
                    <w:top w:val="none" w:sz="0" w:space="0" w:color="auto"/>
                    <w:left w:val="none" w:sz="0" w:space="0" w:color="auto"/>
                    <w:bottom w:val="none" w:sz="0" w:space="0" w:color="auto"/>
                    <w:right w:val="none" w:sz="0" w:space="0" w:color="auto"/>
                  </w:divBdr>
                </w:div>
                <w:div w:id="849369090">
                  <w:marLeft w:val="0"/>
                  <w:marRight w:val="0"/>
                  <w:marTop w:val="0"/>
                  <w:marBottom w:val="0"/>
                  <w:divBdr>
                    <w:top w:val="none" w:sz="0" w:space="0" w:color="auto"/>
                    <w:left w:val="none" w:sz="0" w:space="0" w:color="auto"/>
                    <w:bottom w:val="none" w:sz="0" w:space="0" w:color="auto"/>
                    <w:right w:val="none" w:sz="0" w:space="0" w:color="auto"/>
                  </w:divBdr>
                </w:div>
                <w:div w:id="1089960568">
                  <w:marLeft w:val="0"/>
                  <w:marRight w:val="0"/>
                  <w:marTop w:val="0"/>
                  <w:marBottom w:val="0"/>
                  <w:divBdr>
                    <w:top w:val="none" w:sz="0" w:space="0" w:color="auto"/>
                    <w:left w:val="none" w:sz="0" w:space="0" w:color="auto"/>
                    <w:bottom w:val="none" w:sz="0" w:space="0" w:color="auto"/>
                    <w:right w:val="none" w:sz="0" w:space="0" w:color="auto"/>
                  </w:divBdr>
                </w:div>
                <w:div w:id="1417901208">
                  <w:marLeft w:val="0"/>
                  <w:marRight w:val="0"/>
                  <w:marTop w:val="0"/>
                  <w:marBottom w:val="0"/>
                  <w:divBdr>
                    <w:top w:val="none" w:sz="0" w:space="0" w:color="auto"/>
                    <w:left w:val="none" w:sz="0" w:space="0" w:color="auto"/>
                    <w:bottom w:val="none" w:sz="0" w:space="0" w:color="auto"/>
                    <w:right w:val="none" w:sz="0" w:space="0" w:color="auto"/>
                  </w:divBdr>
                </w:div>
                <w:div w:id="1504247957">
                  <w:marLeft w:val="0"/>
                  <w:marRight w:val="0"/>
                  <w:marTop w:val="0"/>
                  <w:marBottom w:val="0"/>
                  <w:divBdr>
                    <w:top w:val="none" w:sz="0" w:space="0" w:color="auto"/>
                    <w:left w:val="none" w:sz="0" w:space="0" w:color="auto"/>
                    <w:bottom w:val="none" w:sz="0" w:space="0" w:color="auto"/>
                    <w:right w:val="none" w:sz="0" w:space="0" w:color="auto"/>
                  </w:divBdr>
                </w:div>
                <w:div w:id="1644576213">
                  <w:marLeft w:val="0"/>
                  <w:marRight w:val="0"/>
                  <w:marTop w:val="0"/>
                  <w:marBottom w:val="0"/>
                  <w:divBdr>
                    <w:top w:val="none" w:sz="0" w:space="0" w:color="auto"/>
                    <w:left w:val="none" w:sz="0" w:space="0" w:color="auto"/>
                    <w:bottom w:val="none" w:sz="0" w:space="0" w:color="auto"/>
                    <w:right w:val="none" w:sz="0" w:space="0" w:color="auto"/>
                  </w:divBdr>
                </w:div>
                <w:div w:id="1777099727">
                  <w:marLeft w:val="0"/>
                  <w:marRight w:val="0"/>
                  <w:marTop w:val="0"/>
                  <w:marBottom w:val="0"/>
                  <w:divBdr>
                    <w:top w:val="none" w:sz="0" w:space="0" w:color="auto"/>
                    <w:left w:val="none" w:sz="0" w:space="0" w:color="auto"/>
                    <w:bottom w:val="none" w:sz="0" w:space="0" w:color="auto"/>
                    <w:right w:val="none" w:sz="0" w:space="0" w:color="auto"/>
                  </w:divBdr>
                </w:div>
                <w:div w:id="2067678431">
                  <w:marLeft w:val="0"/>
                  <w:marRight w:val="0"/>
                  <w:marTop w:val="0"/>
                  <w:marBottom w:val="0"/>
                  <w:divBdr>
                    <w:top w:val="none" w:sz="0" w:space="0" w:color="auto"/>
                    <w:left w:val="none" w:sz="0" w:space="0" w:color="auto"/>
                    <w:bottom w:val="none" w:sz="0" w:space="0" w:color="auto"/>
                    <w:right w:val="none" w:sz="0" w:space="0" w:color="auto"/>
                  </w:divBdr>
                </w:div>
              </w:divsChild>
            </w:div>
            <w:div w:id="2054114695">
              <w:marLeft w:val="0"/>
              <w:marRight w:val="0"/>
              <w:marTop w:val="0"/>
              <w:marBottom w:val="0"/>
              <w:divBdr>
                <w:top w:val="none" w:sz="0" w:space="0" w:color="auto"/>
                <w:left w:val="none" w:sz="0" w:space="0" w:color="auto"/>
                <w:bottom w:val="none" w:sz="0" w:space="0" w:color="auto"/>
                <w:right w:val="none" w:sz="0" w:space="0" w:color="auto"/>
              </w:divBdr>
              <w:divsChild>
                <w:div w:id="380402610">
                  <w:marLeft w:val="0"/>
                  <w:marRight w:val="0"/>
                  <w:marTop w:val="0"/>
                  <w:marBottom w:val="0"/>
                  <w:divBdr>
                    <w:top w:val="none" w:sz="0" w:space="0" w:color="auto"/>
                    <w:left w:val="none" w:sz="0" w:space="0" w:color="auto"/>
                    <w:bottom w:val="none" w:sz="0" w:space="0" w:color="auto"/>
                    <w:right w:val="none" w:sz="0" w:space="0" w:color="auto"/>
                  </w:divBdr>
                </w:div>
                <w:div w:id="741871168">
                  <w:marLeft w:val="0"/>
                  <w:marRight w:val="0"/>
                  <w:marTop w:val="0"/>
                  <w:marBottom w:val="0"/>
                  <w:divBdr>
                    <w:top w:val="none" w:sz="0" w:space="0" w:color="auto"/>
                    <w:left w:val="none" w:sz="0" w:space="0" w:color="auto"/>
                    <w:bottom w:val="none" w:sz="0" w:space="0" w:color="auto"/>
                    <w:right w:val="none" w:sz="0" w:space="0" w:color="auto"/>
                  </w:divBdr>
                </w:div>
                <w:div w:id="830021433">
                  <w:marLeft w:val="0"/>
                  <w:marRight w:val="0"/>
                  <w:marTop w:val="0"/>
                  <w:marBottom w:val="0"/>
                  <w:divBdr>
                    <w:top w:val="none" w:sz="0" w:space="0" w:color="auto"/>
                    <w:left w:val="none" w:sz="0" w:space="0" w:color="auto"/>
                    <w:bottom w:val="none" w:sz="0" w:space="0" w:color="auto"/>
                    <w:right w:val="none" w:sz="0" w:space="0" w:color="auto"/>
                  </w:divBdr>
                </w:div>
                <w:div w:id="1642147717">
                  <w:marLeft w:val="0"/>
                  <w:marRight w:val="0"/>
                  <w:marTop w:val="0"/>
                  <w:marBottom w:val="0"/>
                  <w:divBdr>
                    <w:top w:val="none" w:sz="0" w:space="0" w:color="auto"/>
                    <w:left w:val="none" w:sz="0" w:space="0" w:color="auto"/>
                    <w:bottom w:val="none" w:sz="0" w:space="0" w:color="auto"/>
                    <w:right w:val="none" w:sz="0" w:space="0" w:color="auto"/>
                  </w:divBdr>
                </w:div>
                <w:div w:id="1958415513">
                  <w:marLeft w:val="0"/>
                  <w:marRight w:val="0"/>
                  <w:marTop w:val="0"/>
                  <w:marBottom w:val="0"/>
                  <w:divBdr>
                    <w:top w:val="none" w:sz="0" w:space="0" w:color="auto"/>
                    <w:left w:val="none" w:sz="0" w:space="0" w:color="auto"/>
                    <w:bottom w:val="none" w:sz="0" w:space="0" w:color="auto"/>
                    <w:right w:val="none" w:sz="0" w:space="0" w:color="auto"/>
                  </w:divBdr>
                </w:div>
                <w:div w:id="206610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0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transportenvironment.org/uploads/files/20241014_TE-Company-car-fossil-fuel-subsidies_Final-report_Addressed_Comments_2024-10-15-100425_uqws.pdf" TargetMode="External"/><Relationship Id="rId2" Type="http://schemas.openxmlformats.org/officeDocument/2006/relationships/hyperlink" Target="https://www.ejustice.just.fgov.be/eli/loi/2021/11/25/2021033910/justel" TargetMode="External"/><Relationship Id="rId1" Type="http://schemas.openxmlformats.org/officeDocument/2006/relationships/hyperlink" Target="https://ec.europa.eu/info/law/better-regulation/have-your-say/initiatives/14111-Greening-corporate-fleets_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740A7-CDF3-4FC7-98BE-979FAEBBE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7371</Words>
  <Characters>42017</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49290</CharactersWithSpaces>
  <SharedDoc>false</SharedDoc>
  <HLinks>
    <vt:vector size="24" baseType="variant">
      <vt:variant>
        <vt:i4>2097254</vt:i4>
      </vt:variant>
      <vt:variant>
        <vt:i4>6</vt:i4>
      </vt:variant>
      <vt:variant>
        <vt:i4>0</vt:i4>
      </vt:variant>
      <vt:variant>
        <vt:i4>5</vt:i4>
      </vt:variant>
      <vt:variant>
        <vt:lpwstr>https://publications.tno.nl/publication/34642358/YuUfgl/TNO-2023-R12726.pdf</vt:lpwstr>
      </vt:variant>
      <vt:variant>
        <vt:lpwstr/>
      </vt:variant>
      <vt:variant>
        <vt:i4>5636162</vt:i4>
      </vt:variant>
      <vt:variant>
        <vt:i4>3</vt:i4>
      </vt:variant>
      <vt:variant>
        <vt:i4>0</vt:i4>
      </vt:variant>
      <vt:variant>
        <vt:i4>5</vt:i4>
      </vt:variant>
      <vt:variant>
        <vt:lpwstr>https://www.transportenvironment.org/uploads/files/20241014_TE-Company-car-fossil-fuel-subsidies_Final-report_Addressed_Comments_2024-10-15-100425_uqws.pdf</vt:lpwstr>
      </vt:variant>
      <vt:variant>
        <vt:lpwstr/>
      </vt:variant>
      <vt:variant>
        <vt:i4>7274599</vt:i4>
      </vt:variant>
      <vt:variant>
        <vt:i4>0</vt:i4>
      </vt:variant>
      <vt:variant>
        <vt:i4>0</vt:i4>
      </vt:variant>
      <vt:variant>
        <vt:i4>5</vt:i4>
      </vt:variant>
      <vt:variant>
        <vt:lpwstr>https://www.ejustice.just.fgov.be/eli/loi/2021/11/25/2021033910/justel</vt:lpwstr>
      </vt:variant>
      <vt:variant>
        <vt:lpwstr/>
      </vt:variant>
      <vt:variant>
        <vt:i4>4653132</vt:i4>
      </vt:variant>
      <vt:variant>
        <vt:i4>0</vt:i4>
      </vt:variant>
      <vt:variant>
        <vt:i4>0</vt:i4>
      </vt:variant>
      <vt:variant>
        <vt:i4>5</vt:i4>
      </vt:variant>
      <vt:variant>
        <vt:lpwstr>https://ec.europa.eu/eurostat/web/products-eurostat-news/w/ddn-20250114-1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2025-03-04T19:29:00Z</dcterms:created>
  <dcterms:modified xsi:type="dcterms:W3CDTF">2025-03-24T15:05:00Z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2025-02-03T09:17:56Z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9c8d8f91-7884-444d-b51d-15ae37ce132e</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9.1, Build 20240808</vt:lpwstr>
  </property>
  <property fmtid="{D5CDD505-2E9C-101B-9397-08002B2CF9AE}" pid="15" name="Created using">
    <vt:lpwstr>LW 9.1, Build 20240808</vt:lpwstr>
  </property>
</Properties>
</file>