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438DBF" w14:textId="069A33D6" w:rsidR="00360108" w:rsidRDefault="007A0020" w:rsidP="007A0020">
      <w:pPr>
        <w:pStyle w:val="Pagedecouverture"/>
        <w:rPr>
          <w:noProof/>
        </w:rPr>
      </w:pPr>
      <w:bookmarkStart w:id="0" w:name="LW_BM_COVERPAGE"/>
      <w:r>
        <w:rPr>
          <w:noProof/>
        </w:rPr>
        <w:pict w14:anchorId="200F8D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3F1C9FCF-A6C3-487D-8BDD-7A29A71820AE" style="width:455.25pt;height:296.25pt">
            <v:imagedata r:id="rId14" o:title=""/>
          </v:shape>
        </w:pict>
      </w:r>
    </w:p>
    <w:bookmarkEnd w:id="0"/>
    <w:p w14:paraId="2F35D273" w14:textId="60240B89" w:rsidR="002B0602" w:rsidRPr="002B0602" w:rsidRDefault="002B0602" w:rsidP="002B0602">
      <w:pPr>
        <w:pStyle w:val="Pagedecouverture"/>
        <w:rPr>
          <w:noProof/>
        </w:rPr>
        <w:sectPr w:rsidR="002B0602" w:rsidRPr="002B0602" w:rsidSect="007A0020">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1"/>
          <w:cols w:space="720"/>
          <w:docGrid w:linePitch="326"/>
        </w:sectPr>
      </w:pPr>
    </w:p>
    <w:tbl>
      <w:tblPr>
        <w:tblStyle w:val="TableLetterhead"/>
        <w:tblW w:w="68" w:type="dxa"/>
        <w:tblLook w:val="0620" w:firstRow="1" w:lastRow="0" w:firstColumn="0" w:lastColumn="0" w:noHBand="1" w:noVBand="1"/>
        <w:tblDescription w:val="В посочената таблица се съдържа логото на Европейската комисия в лявата колона, както и информация за организационната структура на подписващия или автора в дясната колона."/>
      </w:tblPr>
      <w:tblGrid>
        <w:gridCol w:w="10"/>
        <w:gridCol w:w="29"/>
        <w:gridCol w:w="29"/>
      </w:tblGrid>
      <w:tr w:rsidR="00360108" w14:paraId="3AD29B8A" w14:textId="77777777" w:rsidTr="00360108">
        <w:trPr>
          <w:cantSplit/>
          <w:trHeight w:val="205"/>
        </w:trPr>
        <w:tc>
          <w:tcPr>
            <w:tcW w:w="10" w:type="dxa"/>
          </w:tcPr>
          <w:p w14:paraId="279157C2" w14:textId="41239113" w:rsidR="00360108" w:rsidRDefault="00360108">
            <w:pPr>
              <w:pStyle w:val="ZFlag"/>
              <w:rPr>
                <w:noProof/>
              </w:rPr>
            </w:pPr>
            <w:bookmarkStart w:id="1" w:name="_GoBack"/>
            <w:bookmarkEnd w:id="1"/>
          </w:p>
        </w:tc>
        <w:tc>
          <w:tcPr>
            <w:tcW w:w="29" w:type="dxa"/>
          </w:tcPr>
          <w:p w14:paraId="1051B132" w14:textId="77777777" w:rsidR="00360108" w:rsidRDefault="00360108">
            <w:pPr>
              <w:pStyle w:val="ZDGName"/>
              <w:rPr>
                <w:b/>
                <w:noProof/>
              </w:rPr>
            </w:pPr>
          </w:p>
        </w:tc>
        <w:tc>
          <w:tcPr>
            <w:tcW w:w="29" w:type="dxa"/>
          </w:tcPr>
          <w:p w14:paraId="59E17F04" w14:textId="19BA04AA" w:rsidR="00360108" w:rsidRDefault="00360108">
            <w:pPr>
              <w:pStyle w:val="ZDGName"/>
              <w:rPr>
                <w:b/>
                <w:noProof/>
              </w:rPr>
            </w:pPr>
          </w:p>
        </w:tc>
      </w:tr>
    </w:tbl>
    <w:p w14:paraId="3F817054" w14:textId="695CD016" w:rsidR="003C442D" w:rsidRPr="00360108" w:rsidRDefault="00D905D6" w:rsidP="00360108">
      <w:pPr>
        <w:rPr>
          <w:noProof/>
        </w:rPr>
      </w:pPr>
      <w:r>
        <w:rPr>
          <w:b/>
          <w:noProof/>
          <w:color w:val="000000"/>
        </w:rPr>
        <w:t>Arachne</w:t>
      </w:r>
    </w:p>
    <w:p w14:paraId="045CC0B1" w14:textId="46121A22" w:rsidR="00D905D6" w:rsidRPr="003C442D" w:rsidRDefault="00D905D6" w:rsidP="003C442D">
      <w:pPr>
        <w:spacing w:before="240" w:line="259" w:lineRule="auto"/>
        <w:rPr>
          <w:rFonts w:eastAsia="Calibri"/>
          <w:b/>
          <w:bCs/>
          <w:noProof/>
          <w:color w:val="000000"/>
        </w:rPr>
      </w:pPr>
      <w:r>
        <w:rPr>
          <w:noProof/>
        </w:rPr>
        <w:t>Arachne е интегриран информационен инструмент, разработен от Европейската комисия за извличане на данни, обогатяване на данни и измерване на риска. Целта на Arachne е да предостави на органите на държавите членки оперативен инструмент за установяване на рисковете, както и да ги подпомогне при осъществяването на административен контрол и проверки на управлението.</w:t>
      </w:r>
    </w:p>
    <w:p w14:paraId="7559053D" w14:textId="7D1256AD" w:rsidR="00D905D6" w:rsidRDefault="003C442D" w:rsidP="00400D84">
      <w:pPr>
        <w:spacing w:before="240" w:after="0"/>
        <w:rPr>
          <w:b/>
          <w:bCs/>
          <w:noProof/>
        </w:rPr>
      </w:pPr>
      <w:r>
        <w:rPr>
          <w:b/>
          <w:noProof/>
        </w:rPr>
        <w:t>Списък на съкращенията</w:t>
      </w:r>
    </w:p>
    <w:p w14:paraId="24F412AD" w14:textId="77777777" w:rsidR="003C442D" w:rsidRPr="003C442D" w:rsidRDefault="003C442D" w:rsidP="00400D84">
      <w:pPr>
        <w:spacing w:before="240" w:after="0"/>
        <w:rPr>
          <w:b/>
          <w:bCs/>
          <w:noProof/>
        </w:rPr>
      </w:pPr>
    </w:p>
    <w:p w14:paraId="732AF38C" w14:textId="77777777" w:rsidR="00D905D6" w:rsidRDefault="00D905D6" w:rsidP="00400D84">
      <w:pPr>
        <w:spacing w:before="240" w:line="259" w:lineRule="auto"/>
        <w:rPr>
          <w:rFonts w:eastAsia="Calibri"/>
          <w:noProof/>
          <w:color w:val="000000"/>
        </w:rPr>
      </w:pPr>
      <w:r>
        <w:rPr>
          <w:noProof/>
          <w:color w:val="000000"/>
        </w:rPr>
        <w:t>ОСП — Обща селскостопанска политика</w:t>
      </w:r>
    </w:p>
    <w:p w14:paraId="7344CB1A" w14:textId="2CDCF502" w:rsidR="00ED796E" w:rsidRPr="003C442D" w:rsidRDefault="00ED796E" w:rsidP="00400D84">
      <w:pPr>
        <w:spacing w:before="240" w:line="259" w:lineRule="auto"/>
        <w:rPr>
          <w:rFonts w:eastAsia="Calibri"/>
          <w:noProof/>
          <w:color w:val="000000"/>
        </w:rPr>
      </w:pPr>
      <w:r>
        <w:rPr>
          <w:noProof/>
          <w:color w:val="000000"/>
        </w:rPr>
        <w:t>ГД „Земеделие и развитие на селските райони“ — генерална дирекция „Земеделие и развитие на селските райони”</w:t>
      </w:r>
    </w:p>
    <w:p w14:paraId="51CE3B9E" w14:textId="77777777" w:rsidR="00D905D6" w:rsidRPr="003C442D" w:rsidRDefault="00D905D6" w:rsidP="00400D84">
      <w:pPr>
        <w:spacing w:before="240" w:line="259" w:lineRule="auto"/>
        <w:rPr>
          <w:rFonts w:eastAsia="Calibri"/>
          <w:noProof/>
          <w:color w:val="000000"/>
        </w:rPr>
      </w:pPr>
      <w:r>
        <w:rPr>
          <w:noProof/>
          <w:color w:val="000000"/>
        </w:rPr>
        <w:t>ЕФГЗ — Европейски фонд за гарантиране на земеделието</w:t>
      </w:r>
    </w:p>
    <w:p w14:paraId="6FD1FCAE" w14:textId="427D4D9D" w:rsidR="00D905D6" w:rsidRPr="003C442D" w:rsidRDefault="00D905D6" w:rsidP="00400D84">
      <w:pPr>
        <w:spacing w:before="240" w:line="259" w:lineRule="auto"/>
        <w:rPr>
          <w:rFonts w:eastAsia="Calibri"/>
          <w:noProof/>
          <w:color w:val="000000"/>
        </w:rPr>
      </w:pPr>
      <w:r>
        <w:rPr>
          <w:noProof/>
          <w:color w:val="000000"/>
        </w:rPr>
        <w:t>ЕЗФРСР — Европейски земеделски фонд за развитие на селските райони</w:t>
      </w:r>
    </w:p>
    <w:p w14:paraId="65D788B5" w14:textId="186587B8" w:rsidR="00D905D6" w:rsidRPr="003C442D" w:rsidRDefault="00D905D6" w:rsidP="00400D84">
      <w:pPr>
        <w:spacing w:before="240" w:line="259" w:lineRule="auto"/>
        <w:rPr>
          <w:rFonts w:eastAsia="Calibri"/>
          <w:noProof/>
          <w:color w:val="000000"/>
        </w:rPr>
      </w:pPr>
      <w:r>
        <w:rPr>
          <w:noProof/>
          <w:color w:val="000000"/>
        </w:rPr>
        <w:t>ИСАК — Интегрирана система за администриране и контрол (интегрирана система съгласно член 65, параграф 2 от Регламент (ЕС) 2021/2116)</w:t>
      </w:r>
    </w:p>
    <w:p w14:paraId="18A47E5E" w14:textId="01321DF4" w:rsidR="00D905D6" w:rsidRPr="003C442D" w:rsidRDefault="00D905D6" w:rsidP="00400D84">
      <w:pPr>
        <w:spacing w:before="240" w:line="259" w:lineRule="auto"/>
        <w:rPr>
          <w:rFonts w:eastAsia="Calibri"/>
          <w:noProof/>
          <w:color w:val="000000"/>
        </w:rPr>
      </w:pPr>
      <w:r>
        <w:rPr>
          <w:noProof/>
          <w:color w:val="000000"/>
        </w:rPr>
        <w:t>Извън обхвата на ИСАК — всички мерки и интервенции, свързани с ОСП съгласно Регламент (ЕС) 2021/2115, които не са в рамките на посочената интегрирана система</w:t>
      </w:r>
    </w:p>
    <w:p w14:paraId="7990A43A" w14:textId="77777777" w:rsidR="00D905D6" w:rsidRPr="003C442D" w:rsidRDefault="00D905D6" w:rsidP="00400D84">
      <w:pPr>
        <w:spacing w:before="240" w:line="259" w:lineRule="auto"/>
        <w:rPr>
          <w:rFonts w:eastAsia="Calibri"/>
          <w:b/>
          <w:bCs/>
          <w:noProof/>
          <w:color w:val="000000"/>
        </w:rPr>
      </w:pPr>
    </w:p>
    <w:p w14:paraId="3CF93B3C" w14:textId="77777777" w:rsidR="00D905D6" w:rsidRDefault="00D905D6" w:rsidP="00400D84">
      <w:pPr>
        <w:rPr>
          <w:noProof/>
        </w:rPr>
      </w:pPr>
      <w:r>
        <w:rPr>
          <w:noProof/>
        </w:rPr>
        <w:br w:type="page"/>
      </w:r>
    </w:p>
    <w:p w14:paraId="40623182" w14:textId="77777777" w:rsidR="00D905D6" w:rsidRPr="0008402A" w:rsidRDefault="517CEC9A" w:rsidP="00400D84">
      <w:pPr>
        <w:spacing w:before="240"/>
        <w:jc w:val="center"/>
        <w:rPr>
          <w:b/>
          <w:bCs/>
          <w:noProof/>
          <w:sz w:val="28"/>
          <w:szCs w:val="28"/>
        </w:rPr>
      </w:pPr>
      <w:r>
        <w:rPr>
          <w:b/>
          <w:noProof/>
          <w:sz w:val="28"/>
        </w:rPr>
        <w:t>Съдържание</w:t>
      </w:r>
    </w:p>
    <w:sdt>
      <w:sdtPr>
        <w:rPr>
          <w:noProof/>
        </w:rPr>
        <w:id w:val="2088081110"/>
        <w:docPartObj>
          <w:docPartGallery w:val="Table of Contents"/>
          <w:docPartUnique/>
        </w:docPartObj>
      </w:sdtPr>
      <w:sdtEndPr/>
      <w:sdtContent>
        <w:p w14:paraId="3210BBE8" w14:textId="2E55536D" w:rsidR="009935D5" w:rsidRDefault="7B2D6861">
          <w:pPr>
            <w:pStyle w:val="TOC1"/>
            <w:tabs>
              <w:tab w:val="right" w:leader="dot" w:pos="8608"/>
            </w:tabs>
            <w:rPr>
              <w:rFonts w:asciiTheme="minorHAnsi" w:eastAsiaTheme="minorEastAsia" w:hAnsiTheme="minorHAnsi" w:cstheme="minorBidi"/>
              <w:noProof/>
              <w:kern w:val="2"/>
              <w:szCs w:val="24"/>
              <w:lang w:val="en-IE"/>
              <w14:ligatures w14:val="standardContextual"/>
            </w:rPr>
          </w:pPr>
          <w:r>
            <w:rPr>
              <w:noProof/>
            </w:rPr>
            <w:fldChar w:fldCharType="begin"/>
          </w:r>
          <w:r>
            <w:rPr>
              <w:noProof/>
            </w:rPr>
            <w:instrText>TOC \o "1-2" \z \u \h</w:instrText>
          </w:r>
          <w:r>
            <w:rPr>
              <w:noProof/>
            </w:rPr>
            <w:fldChar w:fldCharType="separate"/>
          </w:r>
          <w:hyperlink w:anchor="_Toc189833017" w:history="1">
            <w:r w:rsidR="009935D5" w:rsidRPr="00F415E5">
              <w:rPr>
                <w:rStyle w:val="Hyperlink"/>
                <w:rFonts w:eastAsia="Calibri"/>
                <w:noProof/>
              </w:rPr>
              <w:t>1.</w:t>
            </w:r>
            <w:r w:rsidR="009935D5">
              <w:rPr>
                <w:rFonts w:asciiTheme="minorHAnsi" w:eastAsiaTheme="minorEastAsia" w:hAnsiTheme="minorHAnsi" w:cstheme="minorBidi"/>
                <w:noProof/>
                <w:kern w:val="2"/>
                <w:szCs w:val="24"/>
                <w:lang w:val="en-IE"/>
                <w14:ligatures w14:val="standardContextual"/>
              </w:rPr>
              <w:tab/>
            </w:r>
            <w:r w:rsidR="009935D5" w:rsidRPr="00F415E5">
              <w:rPr>
                <w:rStyle w:val="Hyperlink"/>
                <w:noProof/>
              </w:rPr>
              <w:t>Въведение</w:t>
            </w:r>
            <w:r w:rsidR="009935D5">
              <w:rPr>
                <w:noProof/>
                <w:webHidden/>
              </w:rPr>
              <w:tab/>
            </w:r>
            <w:r w:rsidR="009935D5">
              <w:rPr>
                <w:noProof/>
                <w:webHidden/>
              </w:rPr>
              <w:fldChar w:fldCharType="begin"/>
            </w:r>
            <w:r w:rsidR="009935D5">
              <w:rPr>
                <w:noProof/>
                <w:webHidden/>
              </w:rPr>
              <w:instrText xml:space="preserve"> PAGEREF _Toc189833017 \h </w:instrText>
            </w:r>
            <w:r w:rsidR="009935D5">
              <w:rPr>
                <w:noProof/>
                <w:webHidden/>
              </w:rPr>
            </w:r>
            <w:r w:rsidR="009935D5">
              <w:rPr>
                <w:noProof/>
                <w:webHidden/>
              </w:rPr>
              <w:fldChar w:fldCharType="separate"/>
            </w:r>
            <w:r w:rsidR="009935D5">
              <w:rPr>
                <w:noProof/>
                <w:webHidden/>
              </w:rPr>
              <w:t>3</w:t>
            </w:r>
            <w:r w:rsidR="009935D5">
              <w:rPr>
                <w:noProof/>
                <w:webHidden/>
              </w:rPr>
              <w:fldChar w:fldCharType="end"/>
            </w:r>
          </w:hyperlink>
        </w:p>
        <w:p w14:paraId="4705948A" w14:textId="283CA1D0" w:rsidR="009935D5" w:rsidRDefault="007A0020">
          <w:pPr>
            <w:pStyle w:val="TOC2"/>
            <w:tabs>
              <w:tab w:val="left" w:pos="1916"/>
              <w:tab w:val="right" w:leader="dot" w:pos="8608"/>
            </w:tabs>
            <w:rPr>
              <w:rFonts w:asciiTheme="minorHAnsi" w:eastAsiaTheme="minorEastAsia" w:hAnsiTheme="minorHAnsi" w:cstheme="minorBidi"/>
              <w:kern w:val="2"/>
              <w:szCs w:val="24"/>
              <w:lang w:val="en-IE"/>
              <w14:ligatures w14:val="standardContextual"/>
            </w:rPr>
          </w:pPr>
          <w:hyperlink w:anchor="_Toc189833018" w:history="1">
            <w:r w:rsidR="009935D5" w:rsidRPr="00F415E5">
              <w:rPr>
                <w:rStyle w:val="Hyperlink"/>
                <w:rFonts w:eastAsia="Aptos"/>
              </w:rPr>
              <w:t>1.1.</w:t>
            </w:r>
            <w:r w:rsidR="009935D5">
              <w:rPr>
                <w:rFonts w:asciiTheme="minorHAnsi" w:eastAsiaTheme="minorEastAsia" w:hAnsiTheme="minorHAnsi" w:cstheme="minorBidi"/>
                <w:kern w:val="2"/>
                <w:szCs w:val="24"/>
                <w:lang w:val="en-IE"/>
                <w14:ligatures w14:val="standardContextual"/>
              </w:rPr>
              <w:tab/>
            </w:r>
            <w:r w:rsidR="009935D5" w:rsidRPr="00F415E5">
              <w:rPr>
                <w:rStyle w:val="Hyperlink"/>
              </w:rPr>
              <w:t>Предистория и контекст</w:t>
            </w:r>
            <w:r w:rsidR="009935D5">
              <w:rPr>
                <w:webHidden/>
              </w:rPr>
              <w:tab/>
            </w:r>
            <w:r w:rsidR="009935D5">
              <w:rPr>
                <w:webHidden/>
              </w:rPr>
              <w:fldChar w:fldCharType="begin"/>
            </w:r>
            <w:r w:rsidR="009935D5">
              <w:rPr>
                <w:webHidden/>
              </w:rPr>
              <w:instrText xml:space="preserve"> PAGEREF _Toc189833018 \h </w:instrText>
            </w:r>
            <w:r w:rsidR="009935D5">
              <w:rPr>
                <w:webHidden/>
              </w:rPr>
            </w:r>
            <w:r w:rsidR="009935D5">
              <w:rPr>
                <w:webHidden/>
              </w:rPr>
              <w:fldChar w:fldCharType="separate"/>
            </w:r>
            <w:r w:rsidR="009935D5">
              <w:rPr>
                <w:webHidden/>
              </w:rPr>
              <w:t>3</w:t>
            </w:r>
            <w:r w:rsidR="009935D5">
              <w:rPr>
                <w:webHidden/>
              </w:rPr>
              <w:fldChar w:fldCharType="end"/>
            </w:r>
          </w:hyperlink>
        </w:p>
        <w:p w14:paraId="3C204321" w14:textId="738B80AD" w:rsidR="009935D5" w:rsidRDefault="007A0020">
          <w:pPr>
            <w:pStyle w:val="TOC2"/>
            <w:tabs>
              <w:tab w:val="left" w:pos="1916"/>
              <w:tab w:val="right" w:leader="dot" w:pos="8608"/>
            </w:tabs>
            <w:rPr>
              <w:rFonts w:asciiTheme="minorHAnsi" w:eastAsiaTheme="minorEastAsia" w:hAnsiTheme="minorHAnsi" w:cstheme="minorBidi"/>
              <w:kern w:val="2"/>
              <w:szCs w:val="24"/>
              <w:lang w:val="en-IE"/>
              <w14:ligatures w14:val="standardContextual"/>
            </w:rPr>
          </w:pPr>
          <w:hyperlink w:anchor="_Toc189833019" w:history="1">
            <w:r w:rsidR="009935D5" w:rsidRPr="00F415E5">
              <w:rPr>
                <w:rStyle w:val="Hyperlink"/>
              </w:rPr>
              <w:t>1.2.</w:t>
            </w:r>
            <w:r w:rsidR="009935D5">
              <w:rPr>
                <w:rFonts w:asciiTheme="minorHAnsi" w:eastAsiaTheme="minorEastAsia" w:hAnsiTheme="minorHAnsi" w:cstheme="minorBidi"/>
                <w:kern w:val="2"/>
                <w:szCs w:val="24"/>
                <w:lang w:val="en-IE"/>
                <w14:ligatures w14:val="standardContextual"/>
              </w:rPr>
              <w:tab/>
            </w:r>
            <w:r w:rsidR="009935D5" w:rsidRPr="00F415E5">
              <w:rPr>
                <w:rStyle w:val="Hyperlink"/>
              </w:rPr>
              <w:t>Цели и приложно поле на доклада</w:t>
            </w:r>
            <w:r w:rsidR="009935D5">
              <w:rPr>
                <w:webHidden/>
              </w:rPr>
              <w:tab/>
            </w:r>
            <w:r w:rsidR="009935D5">
              <w:rPr>
                <w:webHidden/>
              </w:rPr>
              <w:fldChar w:fldCharType="begin"/>
            </w:r>
            <w:r w:rsidR="009935D5">
              <w:rPr>
                <w:webHidden/>
              </w:rPr>
              <w:instrText xml:space="preserve"> PAGEREF _Toc189833019 \h </w:instrText>
            </w:r>
            <w:r w:rsidR="009935D5">
              <w:rPr>
                <w:webHidden/>
              </w:rPr>
            </w:r>
            <w:r w:rsidR="009935D5">
              <w:rPr>
                <w:webHidden/>
              </w:rPr>
              <w:fldChar w:fldCharType="separate"/>
            </w:r>
            <w:r w:rsidR="009935D5">
              <w:rPr>
                <w:webHidden/>
              </w:rPr>
              <w:t>4</w:t>
            </w:r>
            <w:r w:rsidR="009935D5">
              <w:rPr>
                <w:webHidden/>
              </w:rPr>
              <w:fldChar w:fldCharType="end"/>
            </w:r>
          </w:hyperlink>
        </w:p>
        <w:p w14:paraId="3CBC3064" w14:textId="08A3E175" w:rsidR="009935D5" w:rsidRDefault="007A0020">
          <w:pPr>
            <w:pStyle w:val="TOC1"/>
            <w:tabs>
              <w:tab w:val="right" w:leader="dot" w:pos="8608"/>
            </w:tabs>
            <w:rPr>
              <w:rFonts w:asciiTheme="minorHAnsi" w:eastAsiaTheme="minorEastAsia" w:hAnsiTheme="minorHAnsi" w:cstheme="minorBidi"/>
              <w:noProof/>
              <w:kern w:val="2"/>
              <w:szCs w:val="24"/>
              <w:lang w:val="en-IE"/>
              <w14:ligatures w14:val="standardContextual"/>
            </w:rPr>
          </w:pPr>
          <w:hyperlink w:anchor="_Toc189833020" w:history="1">
            <w:r w:rsidR="009935D5" w:rsidRPr="00F415E5">
              <w:rPr>
                <w:rStyle w:val="Hyperlink"/>
                <w:noProof/>
              </w:rPr>
              <w:t>2.</w:t>
            </w:r>
            <w:r w:rsidR="009935D5">
              <w:rPr>
                <w:rFonts w:asciiTheme="minorHAnsi" w:eastAsiaTheme="minorEastAsia" w:hAnsiTheme="minorHAnsi" w:cstheme="minorBidi"/>
                <w:noProof/>
                <w:kern w:val="2"/>
                <w:szCs w:val="24"/>
                <w:lang w:val="en-IE"/>
                <w14:ligatures w14:val="standardContextual"/>
              </w:rPr>
              <w:tab/>
            </w:r>
            <w:r w:rsidR="009935D5" w:rsidRPr="00F415E5">
              <w:rPr>
                <w:rStyle w:val="Hyperlink"/>
                <w:noProof/>
              </w:rPr>
              <w:t>Предприети от Комисията действия, с които става възможно и се насърчава използването на Arachne в рамките на ОСП</w:t>
            </w:r>
            <w:r w:rsidR="009935D5">
              <w:rPr>
                <w:noProof/>
                <w:webHidden/>
              </w:rPr>
              <w:tab/>
            </w:r>
            <w:r w:rsidR="009935D5">
              <w:rPr>
                <w:noProof/>
                <w:webHidden/>
              </w:rPr>
              <w:fldChar w:fldCharType="begin"/>
            </w:r>
            <w:r w:rsidR="009935D5">
              <w:rPr>
                <w:noProof/>
                <w:webHidden/>
              </w:rPr>
              <w:instrText xml:space="preserve"> PAGEREF _Toc189833020 \h </w:instrText>
            </w:r>
            <w:r w:rsidR="009935D5">
              <w:rPr>
                <w:noProof/>
                <w:webHidden/>
              </w:rPr>
            </w:r>
            <w:r w:rsidR="009935D5">
              <w:rPr>
                <w:noProof/>
                <w:webHidden/>
              </w:rPr>
              <w:fldChar w:fldCharType="separate"/>
            </w:r>
            <w:r w:rsidR="009935D5">
              <w:rPr>
                <w:noProof/>
                <w:webHidden/>
              </w:rPr>
              <w:t>5</w:t>
            </w:r>
            <w:r w:rsidR="009935D5">
              <w:rPr>
                <w:noProof/>
                <w:webHidden/>
              </w:rPr>
              <w:fldChar w:fldCharType="end"/>
            </w:r>
          </w:hyperlink>
        </w:p>
        <w:p w14:paraId="1A993948" w14:textId="12E67E33" w:rsidR="009935D5" w:rsidRDefault="007A0020">
          <w:pPr>
            <w:pStyle w:val="TOC1"/>
            <w:tabs>
              <w:tab w:val="right" w:leader="dot" w:pos="8608"/>
            </w:tabs>
            <w:rPr>
              <w:rFonts w:asciiTheme="minorHAnsi" w:eastAsiaTheme="minorEastAsia" w:hAnsiTheme="minorHAnsi" w:cstheme="minorBidi"/>
              <w:noProof/>
              <w:kern w:val="2"/>
              <w:szCs w:val="24"/>
              <w:lang w:val="en-IE"/>
              <w14:ligatures w14:val="standardContextual"/>
            </w:rPr>
          </w:pPr>
          <w:hyperlink w:anchor="_Toc189833021" w:history="1">
            <w:r w:rsidR="009935D5" w:rsidRPr="00F415E5">
              <w:rPr>
                <w:rStyle w:val="Hyperlink"/>
                <w:noProof/>
              </w:rPr>
              <w:t>3.</w:t>
            </w:r>
            <w:r w:rsidR="009935D5">
              <w:rPr>
                <w:rFonts w:asciiTheme="minorHAnsi" w:eastAsiaTheme="minorEastAsia" w:hAnsiTheme="minorHAnsi" w:cstheme="minorBidi"/>
                <w:noProof/>
                <w:kern w:val="2"/>
                <w:szCs w:val="24"/>
                <w:lang w:val="en-IE"/>
                <w14:ligatures w14:val="standardContextual"/>
              </w:rPr>
              <w:tab/>
            </w:r>
            <w:r w:rsidR="009935D5" w:rsidRPr="00F415E5">
              <w:rPr>
                <w:rStyle w:val="Hyperlink"/>
                <w:noProof/>
              </w:rPr>
              <w:t>Актуално състояние: Текущо използване на инструмента за извличане на данни</w:t>
            </w:r>
            <w:r w:rsidR="009935D5">
              <w:rPr>
                <w:noProof/>
                <w:webHidden/>
              </w:rPr>
              <w:tab/>
            </w:r>
            <w:r w:rsidR="009935D5">
              <w:rPr>
                <w:noProof/>
                <w:webHidden/>
              </w:rPr>
              <w:fldChar w:fldCharType="begin"/>
            </w:r>
            <w:r w:rsidR="009935D5">
              <w:rPr>
                <w:noProof/>
                <w:webHidden/>
              </w:rPr>
              <w:instrText xml:space="preserve"> PAGEREF _Toc189833021 \h </w:instrText>
            </w:r>
            <w:r w:rsidR="009935D5">
              <w:rPr>
                <w:noProof/>
                <w:webHidden/>
              </w:rPr>
            </w:r>
            <w:r w:rsidR="009935D5">
              <w:rPr>
                <w:noProof/>
                <w:webHidden/>
              </w:rPr>
              <w:fldChar w:fldCharType="separate"/>
            </w:r>
            <w:r w:rsidR="009935D5">
              <w:rPr>
                <w:noProof/>
                <w:webHidden/>
              </w:rPr>
              <w:t>6</w:t>
            </w:r>
            <w:r w:rsidR="009935D5">
              <w:rPr>
                <w:noProof/>
                <w:webHidden/>
              </w:rPr>
              <w:fldChar w:fldCharType="end"/>
            </w:r>
          </w:hyperlink>
        </w:p>
        <w:p w14:paraId="0337478B" w14:textId="7CA43DDD" w:rsidR="009935D5" w:rsidRDefault="007A0020">
          <w:pPr>
            <w:pStyle w:val="TOC2"/>
            <w:tabs>
              <w:tab w:val="left" w:pos="1916"/>
              <w:tab w:val="right" w:leader="dot" w:pos="8608"/>
            </w:tabs>
            <w:rPr>
              <w:rFonts w:asciiTheme="minorHAnsi" w:eastAsiaTheme="minorEastAsia" w:hAnsiTheme="minorHAnsi" w:cstheme="minorBidi"/>
              <w:kern w:val="2"/>
              <w:szCs w:val="24"/>
              <w:lang w:val="en-IE"/>
              <w14:ligatures w14:val="standardContextual"/>
            </w:rPr>
          </w:pPr>
          <w:hyperlink w:anchor="_Toc189833022" w:history="1">
            <w:r w:rsidR="009935D5" w:rsidRPr="00F415E5">
              <w:rPr>
                <w:rStyle w:val="Hyperlink"/>
              </w:rPr>
              <w:t>3.1.</w:t>
            </w:r>
            <w:r w:rsidR="009935D5">
              <w:rPr>
                <w:rFonts w:asciiTheme="minorHAnsi" w:eastAsiaTheme="minorEastAsia" w:hAnsiTheme="minorHAnsi" w:cstheme="minorBidi"/>
                <w:kern w:val="2"/>
                <w:szCs w:val="24"/>
                <w:lang w:val="en-IE"/>
                <w14:ligatures w14:val="standardContextual"/>
              </w:rPr>
              <w:tab/>
            </w:r>
            <w:r w:rsidR="009935D5" w:rsidRPr="00F415E5">
              <w:rPr>
                <w:rStyle w:val="Hyperlink"/>
              </w:rPr>
              <w:t>Преглед на прилагането и внедряването на инструмента</w:t>
            </w:r>
            <w:r w:rsidR="009935D5">
              <w:rPr>
                <w:webHidden/>
              </w:rPr>
              <w:tab/>
            </w:r>
            <w:r w:rsidR="009935D5">
              <w:rPr>
                <w:webHidden/>
              </w:rPr>
              <w:fldChar w:fldCharType="begin"/>
            </w:r>
            <w:r w:rsidR="009935D5">
              <w:rPr>
                <w:webHidden/>
              </w:rPr>
              <w:instrText xml:space="preserve"> PAGEREF _Toc189833022 \h </w:instrText>
            </w:r>
            <w:r w:rsidR="009935D5">
              <w:rPr>
                <w:webHidden/>
              </w:rPr>
            </w:r>
            <w:r w:rsidR="009935D5">
              <w:rPr>
                <w:webHidden/>
              </w:rPr>
              <w:fldChar w:fldCharType="separate"/>
            </w:r>
            <w:r w:rsidR="009935D5">
              <w:rPr>
                <w:webHidden/>
              </w:rPr>
              <w:t>6</w:t>
            </w:r>
            <w:r w:rsidR="009935D5">
              <w:rPr>
                <w:webHidden/>
              </w:rPr>
              <w:fldChar w:fldCharType="end"/>
            </w:r>
          </w:hyperlink>
        </w:p>
        <w:p w14:paraId="7AC03E70" w14:textId="79AEBFA2" w:rsidR="009935D5" w:rsidRDefault="007A0020">
          <w:pPr>
            <w:pStyle w:val="TOC2"/>
            <w:tabs>
              <w:tab w:val="left" w:pos="1916"/>
              <w:tab w:val="right" w:leader="dot" w:pos="8608"/>
            </w:tabs>
            <w:rPr>
              <w:rFonts w:asciiTheme="minorHAnsi" w:eastAsiaTheme="minorEastAsia" w:hAnsiTheme="minorHAnsi" w:cstheme="minorBidi"/>
              <w:kern w:val="2"/>
              <w:szCs w:val="24"/>
              <w:lang w:val="en-IE"/>
              <w14:ligatures w14:val="standardContextual"/>
            </w:rPr>
          </w:pPr>
          <w:hyperlink w:anchor="_Toc189833023" w:history="1">
            <w:r w:rsidR="009935D5" w:rsidRPr="00F415E5">
              <w:rPr>
                <w:rStyle w:val="Hyperlink"/>
              </w:rPr>
              <w:t>3.2.</w:t>
            </w:r>
            <w:r w:rsidR="009935D5">
              <w:rPr>
                <w:rFonts w:asciiTheme="minorHAnsi" w:eastAsiaTheme="minorEastAsia" w:hAnsiTheme="minorHAnsi" w:cstheme="minorBidi"/>
                <w:kern w:val="2"/>
                <w:szCs w:val="24"/>
                <w:lang w:val="en-IE"/>
                <w14:ligatures w14:val="standardContextual"/>
              </w:rPr>
              <w:tab/>
            </w:r>
            <w:r w:rsidR="009935D5" w:rsidRPr="00F415E5">
              <w:rPr>
                <w:rStyle w:val="Hyperlink"/>
              </w:rPr>
              <w:t>Функционалност и ефективност на инструмента</w:t>
            </w:r>
            <w:r w:rsidR="009935D5">
              <w:rPr>
                <w:webHidden/>
              </w:rPr>
              <w:tab/>
            </w:r>
            <w:r w:rsidR="009935D5">
              <w:rPr>
                <w:webHidden/>
              </w:rPr>
              <w:fldChar w:fldCharType="begin"/>
            </w:r>
            <w:r w:rsidR="009935D5">
              <w:rPr>
                <w:webHidden/>
              </w:rPr>
              <w:instrText xml:space="preserve"> PAGEREF _Toc189833023 \h </w:instrText>
            </w:r>
            <w:r w:rsidR="009935D5">
              <w:rPr>
                <w:webHidden/>
              </w:rPr>
            </w:r>
            <w:r w:rsidR="009935D5">
              <w:rPr>
                <w:webHidden/>
              </w:rPr>
              <w:fldChar w:fldCharType="separate"/>
            </w:r>
            <w:r w:rsidR="009935D5">
              <w:rPr>
                <w:webHidden/>
              </w:rPr>
              <w:t>10</w:t>
            </w:r>
            <w:r w:rsidR="009935D5">
              <w:rPr>
                <w:webHidden/>
              </w:rPr>
              <w:fldChar w:fldCharType="end"/>
            </w:r>
          </w:hyperlink>
        </w:p>
        <w:p w14:paraId="3C284F91" w14:textId="6D3D923B" w:rsidR="009935D5" w:rsidRDefault="007A0020">
          <w:pPr>
            <w:pStyle w:val="TOC1"/>
            <w:tabs>
              <w:tab w:val="right" w:leader="dot" w:pos="8608"/>
            </w:tabs>
            <w:rPr>
              <w:rFonts w:asciiTheme="minorHAnsi" w:eastAsiaTheme="minorEastAsia" w:hAnsiTheme="minorHAnsi" w:cstheme="minorBidi"/>
              <w:noProof/>
              <w:kern w:val="2"/>
              <w:szCs w:val="24"/>
              <w:lang w:val="en-IE"/>
              <w14:ligatures w14:val="standardContextual"/>
            </w:rPr>
          </w:pPr>
          <w:hyperlink w:anchor="_Toc189833024" w:history="1">
            <w:r w:rsidR="009935D5" w:rsidRPr="00F415E5">
              <w:rPr>
                <w:rStyle w:val="Hyperlink"/>
                <w:rFonts w:eastAsia="Aptos" w:cs="Aptos"/>
                <w:noProof/>
              </w:rPr>
              <w:t>4.</w:t>
            </w:r>
            <w:r w:rsidR="009935D5">
              <w:rPr>
                <w:rFonts w:asciiTheme="minorHAnsi" w:eastAsiaTheme="minorEastAsia" w:hAnsiTheme="minorHAnsi" w:cstheme="minorBidi"/>
                <w:noProof/>
                <w:kern w:val="2"/>
                <w:szCs w:val="24"/>
                <w:lang w:val="en-IE"/>
                <w14:ligatures w14:val="standardContextual"/>
              </w:rPr>
              <w:tab/>
            </w:r>
            <w:r w:rsidR="009935D5" w:rsidRPr="00F415E5">
              <w:rPr>
                <w:rStyle w:val="Hyperlink"/>
                <w:noProof/>
              </w:rPr>
              <w:t>Използване от страна на държавите членки въз основа на проучването: Възможности и предизвикателства</w:t>
            </w:r>
            <w:r w:rsidR="009935D5">
              <w:rPr>
                <w:noProof/>
                <w:webHidden/>
              </w:rPr>
              <w:tab/>
            </w:r>
            <w:r w:rsidR="009935D5">
              <w:rPr>
                <w:noProof/>
                <w:webHidden/>
              </w:rPr>
              <w:fldChar w:fldCharType="begin"/>
            </w:r>
            <w:r w:rsidR="009935D5">
              <w:rPr>
                <w:noProof/>
                <w:webHidden/>
              </w:rPr>
              <w:instrText xml:space="preserve"> PAGEREF _Toc189833024 \h </w:instrText>
            </w:r>
            <w:r w:rsidR="009935D5">
              <w:rPr>
                <w:noProof/>
                <w:webHidden/>
              </w:rPr>
            </w:r>
            <w:r w:rsidR="009935D5">
              <w:rPr>
                <w:noProof/>
                <w:webHidden/>
              </w:rPr>
              <w:fldChar w:fldCharType="separate"/>
            </w:r>
            <w:r w:rsidR="009935D5">
              <w:rPr>
                <w:noProof/>
                <w:webHidden/>
              </w:rPr>
              <w:t>11</w:t>
            </w:r>
            <w:r w:rsidR="009935D5">
              <w:rPr>
                <w:noProof/>
                <w:webHidden/>
              </w:rPr>
              <w:fldChar w:fldCharType="end"/>
            </w:r>
          </w:hyperlink>
        </w:p>
        <w:p w14:paraId="71814869" w14:textId="311C4C43" w:rsidR="009935D5" w:rsidRDefault="007A0020">
          <w:pPr>
            <w:pStyle w:val="TOC1"/>
            <w:tabs>
              <w:tab w:val="right" w:leader="dot" w:pos="8608"/>
            </w:tabs>
            <w:rPr>
              <w:rFonts w:asciiTheme="minorHAnsi" w:eastAsiaTheme="minorEastAsia" w:hAnsiTheme="minorHAnsi" w:cstheme="minorBidi"/>
              <w:noProof/>
              <w:kern w:val="2"/>
              <w:szCs w:val="24"/>
              <w:lang w:val="en-IE"/>
              <w14:ligatures w14:val="standardContextual"/>
            </w:rPr>
          </w:pPr>
          <w:hyperlink w:anchor="_Toc189833025" w:history="1">
            <w:r w:rsidR="009935D5" w:rsidRPr="00F415E5">
              <w:rPr>
                <w:rStyle w:val="Hyperlink"/>
                <w:rFonts w:eastAsia="Aptos" w:cs="Aptos"/>
                <w:noProof/>
              </w:rPr>
              <w:t>5.</w:t>
            </w:r>
            <w:r w:rsidR="009935D5">
              <w:rPr>
                <w:rFonts w:asciiTheme="minorHAnsi" w:eastAsiaTheme="minorEastAsia" w:hAnsiTheme="minorHAnsi" w:cstheme="minorBidi"/>
                <w:noProof/>
                <w:kern w:val="2"/>
                <w:szCs w:val="24"/>
                <w:lang w:val="en-IE"/>
                <w14:ligatures w14:val="standardContextual"/>
              </w:rPr>
              <w:tab/>
            </w:r>
            <w:r w:rsidR="009935D5" w:rsidRPr="00F415E5">
              <w:rPr>
                <w:rStyle w:val="Hyperlink"/>
                <w:noProof/>
              </w:rPr>
              <w:t>Оценка на оперативната съвместимост</w:t>
            </w:r>
            <w:r w:rsidR="009935D5">
              <w:rPr>
                <w:noProof/>
                <w:webHidden/>
              </w:rPr>
              <w:tab/>
            </w:r>
            <w:r w:rsidR="009935D5">
              <w:rPr>
                <w:noProof/>
                <w:webHidden/>
              </w:rPr>
              <w:fldChar w:fldCharType="begin"/>
            </w:r>
            <w:r w:rsidR="009935D5">
              <w:rPr>
                <w:noProof/>
                <w:webHidden/>
              </w:rPr>
              <w:instrText xml:space="preserve"> PAGEREF _Toc189833025 \h </w:instrText>
            </w:r>
            <w:r w:rsidR="009935D5">
              <w:rPr>
                <w:noProof/>
                <w:webHidden/>
              </w:rPr>
            </w:r>
            <w:r w:rsidR="009935D5">
              <w:rPr>
                <w:noProof/>
                <w:webHidden/>
              </w:rPr>
              <w:fldChar w:fldCharType="separate"/>
            </w:r>
            <w:r w:rsidR="009935D5">
              <w:rPr>
                <w:noProof/>
                <w:webHidden/>
              </w:rPr>
              <w:t>14</w:t>
            </w:r>
            <w:r w:rsidR="009935D5">
              <w:rPr>
                <w:noProof/>
                <w:webHidden/>
              </w:rPr>
              <w:fldChar w:fldCharType="end"/>
            </w:r>
          </w:hyperlink>
        </w:p>
        <w:p w14:paraId="07C3E314" w14:textId="2D302F22" w:rsidR="009935D5" w:rsidRDefault="007A0020">
          <w:pPr>
            <w:pStyle w:val="TOC2"/>
            <w:tabs>
              <w:tab w:val="left" w:pos="1916"/>
              <w:tab w:val="right" w:leader="dot" w:pos="8608"/>
            </w:tabs>
            <w:rPr>
              <w:rFonts w:asciiTheme="minorHAnsi" w:eastAsiaTheme="minorEastAsia" w:hAnsiTheme="minorHAnsi" w:cstheme="minorBidi"/>
              <w:kern w:val="2"/>
              <w:szCs w:val="24"/>
              <w:lang w:val="en-IE"/>
              <w14:ligatures w14:val="standardContextual"/>
            </w:rPr>
          </w:pPr>
          <w:hyperlink w:anchor="_Toc189833026" w:history="1">
            <w:r w:rsidR="009935D5" w:rsidRPr="00F415E5">
              <w:rPr>
                <w:rStyle w:val="Hyperlink"/>
              </w:rPr>
              <w:t>5.1.</w:t>
            </w:r>
            <w:r w:rsidR="009935D5">
              <w:rPr>
                <w:rFonts w:asciiTheme="minorHAnsi" w:eastAsiaTheme="minorEastAsia" w:hAnsiTheme="minorHAnsi" w:cstheme="minorBidi"/>
                <w:kern w:val="2"/>
                <w:szCs w:val="24"/>
                <w:lang w:val="en-IE"/>
                <w14:ligatures w14:val="standardContextual"/>
              </w:rPr>
              <w:tab/>
            </w:r>
            <w:r w:rsidR="009935D5" w:rsidRPr="00F415E5">
              <w:rPr>
                <w:rStyle w:val="Hyperlink"/>
              </w:rPr>
              <w:t>Техническа оперативна съвместимост</w:t>
            </w:r>
            <w:r w:rsidR="009935D5">
              <w:rPr>
                <w:webHidden/>
              </w:rPr>
              <w:tab/>
            </w:r>
            <w:r w:rsidR="009935D5">
              <w:rPr>
                <w:webHidden/>
              </w:rPr>
              <w:fldChar w:fldCharType="begin"/>
            </w:r>
            <w:r w:rsidR="009935D5">
              <w:rPr>
                <w:webHidden/>
              </w:rPr>
              <w:instrText xml:space="preserve"> PAGEREF _Toc189833026 \h </w:instrText>
            </w:r>
            <w:r w:rsidR="009935D5">
              <w:rPr>
                <w:webHidden/>
              </w:rPr>
            </w:r>
            <w:r w:rsidR="009935D5">
              <w:rPr>
                <w:webHidden/>
              </w:rPr>
              <w:fldChar w:fldCharType="separate"/>
            </w:r>
            <w:r w:rsidR="009935D5">
              <w:rPr>
                <w:webHidden/>
              </w:rPr>
              <w:t>14</w:t>
            </w:r>
            <w:r w:rsidR="009935D5">
              <w:rPr>
                <w:webHidden/>
              </w:rPr>
              <w:fldChar w:fldCharType="end"/>
            </w:r>
          </w:hyperlink>
        </w:p>
        <w:p w14:paraId="00EB1E5B" w14:textId="773DACC7" w:rsidR="009935D5" w:rsidRDefault="007A0020">
          <w:pPr>
            <w:pStyle w:val="TOC2"/>
            <w:tabs>
              <w:tab w:val="left" w:pos="1916"/>
              <w:tab w:val="right" w:leader="dot" w:pos="8608"/>
            </w:tabs>
            <w:rPr>
              <w:rFonts w:asciiTheme="minorHAnsi" w:eastAsiaTheme="minorEastAsia" w:hAnsiTheme="minorHAnsi" w:cstheme="minorBidi"/>
              <w:kern w:val="2"/>
              <w:szCs w:val="24"/>
              <w:lang w:val="en-IE"/>
              <w14:ligatures w14:val="standardContextual"/>
            </w:rPr>
          </w:pPr>
          <w:hyperlink w:anchor="_Toc189833027" w:history="1">
            <w:r w:rsidR="009935D5" w:rsidRPr="00F415E5">
              <w:rPr>
                <w:rStyle w:val="Hyperlink"/>
              </w:rPr>
              <w:t>5.2.</w:t>
            </w:r>
            <w:r w:rsidR="009935D5">
              <w:rPr>
                <w:rFonts w:asciiTheme="minorHAnsi" w:eastAsiaTheme="minorEastAsia" w:hAnsiTheme="minorHAnsi" w:cstheme="minorBidi"/>
                <w:kern w:val="2"/>
                <w:szCs w:val="24"/>
                <w:lang w:val="en-IE"/>
                <w14:ligatures w14:val="standardContextual"/>
              </w:rPr>
              <w:tab/>
            </w:r>
            <w:r w:rsidR="009935D5" w:rsidRPr="00F415E5">
              <w:rPr>
                <w:rStyle w:val="Hyperlink"/>
              </w:rPr>
              <w:t>Семантична оперативна съвместимост</w:t>
            </w:r>
            <w:r w:rsidR="009935D5">
              <w:rPr>
                <w:webHidden/>
              </w:rPr>
              <w:tab/>
            </w:r>
            <w:r w:rsidR="009935D5">
              <w:rPr>
                <w:webHidden/>
              </w:rPr>
              <w:fldChar w:fldCharType="begin"/>
            </w:r>
            <w:r w:rsidR="009935D5">
              <w:rPr>
                <w:webHidden/>
              </w:rPr>
              <w:instrText xml:space="preserve"> PAGEREF _Toc189833027 \h </w:instrText>
            </w:r>
            <w:r w:rsidR="009935D5">
              <w:rPr>
                <w:webHidden/>
              </w:rPr>
            </w:r>
            <w:r w:rsidR="009935D5">
              <w:rPr>
                <w:webHidden/>
              </w:rPr>
              <w:fldChar w:fldCharType="separate"/>
            </w:r>
            <w:r w:rsidR="009935D5">
              <w:rPr>
                <w:webHidden/>
              </w:rPr>
              <w:t>14</w:t>
            </w:r>
            <w:r w:rsidR="009935D5">
              <w:rPr>
                <w:webHidden/>
              </w:rPr>
              <w:fldChar w:fldCharType="end"/>
            </w:r>
          </w:hyperlink>
        </w:p>
        <w:p w14:paraId="56F8435A" w14:textId="68DDF9BA" w:rsidR="009935D5" w:rsidRDefault="007A0020">
          <w:pPr>
            <w:pStyle w:val="TOC2"/>
            <w:tabs>
              <w:tab w:val="left" w:pos="1916"/>
              <w:tab w:val="right" w:leader="dot" w:pos="8608"/>
            </w:tabs>
            <w:rPr>
              <w:rFonts w:asciiTheme="minorHAnsi" w:eastAsiaTheme="minorEastAsia" w:hAnsiTheme="minorHAnsi" w:cstheme="minorBidi"/>
              <w:kern w:val="2"/>
              <w:szCs w:val="24"/>
              <w:lang w:val="en-IE"/>
              <w14:ligatures w14:val="standardContextual"/>
            </w:rPr>
          </w:pPr>
          <w:hyperlink w:anchor="_Toc189833028" w:history="1">
            <w:r w:rsidR="009935D5" w:rsidRPr="00F415E5">
              <w:rPr>
                <w:rStyle w:val="Hyperlink"/>
              </w:rPr>
              <w:t>5.3.</w:t>
            </w:r>
            <w:r w:rsidR="009935D5">
              <w:rPr>
                <w:rFonts w:asciiTheme="minorHAnsi" w:eastAsiaTheme="minorEastAsia" w:hAnsiTheme="minorHAnsi" w:cstheme="minorBidi"/>
                <w:kern w:val="2"/>
                <w:szCs w:val="24"/>
                <w:lang w:val="en-IE"/>
                <w14:ligatures w14:val="standardContextual"/>
              </w:rPr>
              <w:tab/>
            </w:r>
            <w:r w:rsidR="009935D5" w:rsidRPr="00F415E5">
              <w:rPr>
                <w:rStyle w:val="Hyperlink"/>
              </w:rPr>
              <w:t>Организационна оперативна съвместимост</w:t>
            </w:r>
            <w:r w:rsidR="009935D5">
              <w:rPr>
                <w:webHidden/>
              </w:rPr>
              <w:tab/>
            </w:r>
            <w:r w:rsidR="009935D5">
              <w:rPr>
                <w:webHidden/>
              </w:rPr>
              <w:fldChar w:fldCharType="begin"/>
            </w:r>
            <w:r w:rsidR="009935D5">
              <w:rPr>
                <w:webHidden/>
              </w:rPr>
              <w:instrText xml:space="preserve"> PAGEREF _Toc189833028 \h </w:instrText>
            </w:r>
            <w:r w:rsidR="009935D5">
              <w:rPr>
                <w:webHidden/>
              </w:rPr>
            </w:r>
            <w:r w:rsidR="009935D5">
              <w:rPr>
                <w:webHidden/>
              </w:rPr>
              <w:fldChar w:fldCharType="separate"/>
            </w:r>
            <w:r w:rsidR="009935D5">
              <w:rPr>
                <w:webHidden/>
              </w:rPr>
              <w:t>15</w:t>
            </w:r>
            <w:r w:rsidR="009935D5">
              <w:rPr>
                <w:webHidden/>
              </w:rPr>
              <w:fldChar w:fldCharType="end"/>
            </w:r>
          </w:hyperlink>
        </w:p>
        <w:p w14:paraId="0D3CB9AD" w14:textId="337855FD" w:rsidR="009935D5" w:rsidRDefault="007A0020">
          <w:pPr>
            <w:pStyle w:val="TOC1"/>
            <w:tabs>
              <w:tab w:val="right" w:leader="dot" w:pos="8608"/>
            </w:tabs>
            <w:rPr>
              <w:rFonts w:asciiTheme="minorHAnsi" w:eastAsiaTheme="minorEastAsia" w:hAnsiTheme="minorHAnsi" w:cstheme="minorBidi"/>
              <w:noProof/>
              <w:kern w:val="2"/>
              <w:szCs w:val="24"/>
              <w:lang w:val="en-IE"/>
              <w14:ligatures w14:val="standardContextual"/>
            </w:rPr>
          </w:pPr>
          <w:hyperlink w:anchor="_Toc189833029" w:history="1">
            <w:r w:rsidR="009935D5" w:rsidRPr="00F415E5">
              <w:rPr>
                <w:rStyle w:val="Hyperlink"/>
                <w:rFonts w:eastAsia="Aptos" w:cs="Aptos"/>
                <w:noProof/>
              </w:rPr>
              <w:t>6.</w:t>
            </w:r>
            <w:r w:rsidR="009935D5">
              <w:rPr>
                <w:rFonts w:asciiTheme="minorHAnsi" w:eastAsiaTheme="minorEastAsia" w:hAnsiTheme="minorHAnsi" w:cstheme="minorBidi"/>
                <w:noProof/>
                <w:kern w:val="2"/>
                <w:szCs w:val="24"/>
                <w:lang w:val="en-IE"/>
                <w14:ligatures w14:val="standardContextual"/>
              </w:rPr>
              <w:tab/>
            </w:r>
            <w:r w:rsidR="009935D5" w:rsidRPr="00F415E5">
              <w:rPr>
                <w:rStyle w:val="Hyperlink"/>
                <w:noProof/>
              </w:rPr>
              <w:t>Следващи стъпки и перспективи</w:t>
            </w:r>
            <w:r w:rsidR="009935D5">
              <w:rPr>
                <w:noProof/>
                <w:webHidden/>
              </w:rPr>
              <w:tab/>
            </w:r>
            <w:r w:rsidR="009935D5">
              <w:rPr>
                <w:noProof/>
                <w:webHidden/>
              </w:rPr>
              <w:fldChar w:fldCharType="begin"/>
            </w:r>
            <w:r w:rsidR="009935D5">
              <w:rPr>
                <w:noProof/>
                <w:webHidden/>
              </w:rPr>
              <w:instrText xml:space="preserve"> PAGEREF _Toc189833029 \h </w:instrText>
            </w:r>
            <w:r w:rsidR="009935D5">
              <w:rPr>
                <w:noProof/>
                <w:webHidden/>
              </w:rPr>
            </w:r>
            <w:r w:rsidR="009935D5">
              <w:rPr>
                <w:noProof/>
                <w:webHidden/>
              </w:rPr>
              <w:fldChar w:fldCharType="separate"/>
            </w:r>
            <w:r w:rsidR="009935D5">
              <w:rPr>
                <w:noProof/>
                <w:webHidden/>
              </w:rPr>
              <w:t>16</w:t>
            </w:r>
            <w:r w:rsidR="009935D5">
              <w:rPr>
                <w:noProof/>
                <w:webHidden/>
              </w:rPr>
              <w:fldChar w:fldCharType="end"/>
            </w:r>
          </w:hyperlink>
        </w:p>
        <w:p w14:paraId="6DABE8F4" w14:textId="0E238CDD" w:rsidR="009935D5" w:rsidRDefault="007A0020">
          <w:pPr>
            <w:pStyle w:val="TOC2"/>
            <w:tabs>
              <w:tab w:val="left" w:pos="1916"/>
              <w:tab w:val="right" w:leader="dot" w:pos="8608"/>
            </w:tabs>
            <w:rPr>
              <w:rFonts w:asciiTheme="minorHAnsi" w:eastAsiaTheme="minorEastAsia" w:hAnsiTheme="minorHAnsi" w:cstheme="minorBidi"/>
              <w:kern w:val="2"/>
              <w:szCs w:val="24"/>
              <w:lang w:val="en-IE"/>
              <w14:ligatures w14:val="standardContextual"/>
            </w:rPr>
          </w:pPr>
          <w:hyperlink w:anchor="_Toc189833030" w:history="1">
            <w:r w:rsidR="009935D5" w:rsidRPr="00F415E5">
              <w:rPr>
                <w:rStyle w:val="Hyperlink"/>
              </w:rPr>
              <w:t>6.1.</w:t>
            </w:r>
            <w:r w:rsidR="009935D5">
              <w:rPr>
                <w:rFonts w:asciiTheme="minorHAnsi" w:eastAsiaTheme="minorEastAsia" w:hAnsiTheme="minorHAnsi" w:cstheme="minorBidi"/>
                <w:kern w:val="2"/>
                <w:szCs w:val="24"/>
                <w:lang w:val="en-IE"/>
                <w14:ligatures w14:val="standardContextual"/>
              </w:rPr>
              <w:tab/>
            </w:r>
            <w:r w:rsidR="009935D5" w:rsidRPr="00F415E5">
              <w:rPr>
                <w:rStyle w:val="Hyperlink"/>
              </w:rPr>
              <w:t>Следващи стъпки</w:t>
            </w:r>
            <w:r w:rsidR="009935D5">
              <w:rPr>
                <w:webHidden/>
              </w:rPr>
              <w:tab/>
            </w:r>
            <w:r w:rsidR="009935D5">
              <w:rPr>
                <w:webHidden/>
              </w:rPr>
              <w:fldChar w:fldCharType="begin"/>
            </w:r>
            <w:r w:rsidR="009935D5">
              <w:rPr>
                <w:webHidden/>
              </w:rPr>
              <w:instrText xml:space="preserve"> PAGEREF _Toc189833030 \h </w:instrText>
            </w:r>
            <w:r w:rsidR="009935D5">
              <w:rPr>
                <w:webHidden/>
              </w:rPr>
            </w:r>
            <w:r w:rsidR="009935D5">
              <w:rPr>
                <w:webHidden/>
              </w:rPr>
              <w:fldChar w:fldCharType="separate"/>
            </w:r>
            <w:r w:rsidR="009935D5">
              <w:rPr>
                <w:webHidden/>
              </w:rPr>
              <w:t>16</w:t>
            </w:r>
            <w:r w:rsidR="009935D5">
              <w:rPr>
                <w:webHidden/>
              </w:rPr>
              <w:fldChar w:fldCharType="end"/>
            </w:r>
          </w:hyperlink>
        </w:p>
        <w:p w14:paraId="7714C0F0" w14:textId="0F384F1A" w:rsidR="009935D5" w:rsidRDefault="007A0020">
          <w:pPr>
            <w:pStyle w:val="TOC2"/>
            <w:tabs>
              <w:tab w:val="left" w:pos="1916"/>
              <w:tab w:val="right" w:leader="dot" w:pos="8608"/>
            </w:tabs>
            <w:rPr>
              <w:rFonts w:asciiTheme="minorHAnsi" w:eastAsiaTheme="minorEastAsia" w:hAnsiTheme="minorHAnsi" w:cstheme="minorBidi"/>
              <w:kern w:val="2"/>
              <w:szCs w:val="24"/>
              <w:lang w:val="en-IE"/>
              <w14:ligatures w14:val="standardContextual"/>
            </w:rPr>
          </w:pPr>
          <w:hyperlink w:anchor="_Toc189833031" w:history="1">
            <w:r w:rsidR="009935D5" w:rsidRPr="00F415E5">
              <w:rPr>
                <w:rStyle w:val="Hyperlink"/>
              </w:rPr>
              <w:t>6.2.</w:t>
            </w:r>
            <w:r w:rsidR="009935D5">
              <w:rPr>
                <w:rFonts w:asciiTheme="minorHAnsi" w:eastAsiaTheme="minorEastAsia" w:hAnsiTheme="minorHAnsi" w:cstheme="minorBidi"/>
                <w:kern w:val="2"/>
                <w:szCs w:val="24"/>
                <w:lang w:val="en-IE"/>
                <w14:ligatures w14:val="standardContextual"/>
              </w:rPr>
              <w:tab/>
            </w:r>
            <w:r w:rsidR="009935D5" w:rsidRPr="00F415E5">
              <w:rPr>
                <w:rStyle w:val="Hyperlink"/>
              </w:rPr>
              <w:t>Дългосрочни перспективи</w:t>
            </w:r>
            <w:r w:rsidR="009935D5">
              <w:rPr>
                <w:webHidden/>
              </w:rPr>
              <w:tab/>
            </w:r>
            <w:r w:rsidR="009935D5">
              <w:rPr>
                <w:webHidden/>
              </w:rPr>
              <w:fldChar w:fldCharType="begin"/>
            </w:r>
            <w:r w:rsidR="009935D5">
              <w:rPr>
                <w:webHidden/>
              </w:rPr>
              <w:instrText xml:space="preserve"> PAGEREF _Toc189833031 \h </w:instrText>
            </w:r>
            <w:r w:rsidR="009935D5">
              <w:rPr>
                <w:webHidden/>
              </w:rPr>
            </w:r>
            <w:r w:rsidR="009935D5">
              <w:rPr>
                <w:webHidden/>
              </w:rPr>
              <w:fldChar w:fldCharType="separate"/>
            </w:r>
            <w:r w:rsidR="009935D5">
              <w:rPr>
                <w:webHidden/>
              </w:rPr>
              <w:t>17</w:t>
            </w:r>
            <w:r w:rsidR="009935D5">
              <w:rPr>
                <w:webHidden/>
              </w:rPr>
              <w:fldChar w:fldCharType="end"/>
            </w:r>
          </w:hyperlink>
        </w:p>
        <w:p w14:paraId="28C99233" w14:textId="723AB165" w:rsidR="7B2D6861" w:rsidRDefault="7B2D6861" w:rsidP="7B2D6861">
          <w:pPr>
            <w:pStyle w:val="TOC2"/>
            <w:tabs>
              <w:tab w:val="left" w:pos="720"/>
              <w:tab w:val="right" w:leader="dot" w:pos="8610"/>
            </w:tabs>
            <w:rPr>
              <w:rStyle w:val="Hyperlink"/>
            </w:rPr>
          </w:pPr>
          <w:r>
            <w:fldChar w:fldCharType="end"/>
          </w:r>
        </w:p>
      </w:sdtContent>
    </w:sdt>
    <w:p w14:paraId="5C7F7FE9" w14:textId="5F1ECB51" w:rsidR="00D905D6" w:rsidRDefault="00D905D6" w:rsidP="7B2D6861">
      <w:pPr>
        <w:pStyle w:val="TOC1"/>
        <w:tabs>
          <w:tab w:val="right" w:leader="dot" w:pos="9360"/>
        </w:tabs>
        <w:spacing w:before="0" w:after="240"/>
        <w:ind w:left="0" w:firstLine="0"/>
        <w:rPr>
          <w:rStyle w:val="Hyperlink"/>
          <w:noProof/>
        </w:rPr>
      </w:pPr>
    </w:p>
    <w:p w14:paraId="225AF5CC" w14:textId="77777777" w:rsidR="00D905D6" w:rsidRDefault="00D905D6" w:rsidP="00400D84">
      <w:pPr>
        <w:spacing w:before="240"/>
        <w:rPr>
          <w:noProof/>
        </w:rPr>
      </w:pPr>
    </w:p>
    <w:p w14:paraId="16945905" w14:textId="77777777" w:rsidR="00D905D6" w:rsidRDefault="00D905D6" w:rsidP="00400D84">
      <w:pPr>
        <w:spacing w:before="240"/>
        <w:rPr>
          <w:noProof/>
        </w:rPr>
      </w:pPr>
      <w:r>
        <w:rPr>
          <w:noProof/>
        </w:rPr>
        <w:br w:type="page"/>
      </w:r>
    </w:p>
    <w:p w14:paraId="5427DA59" w14:textId="77777777" w:rsidR="00D905D6" w:rsidRDefault="00D905D6" w:rsidP="00400D84">
      <w:pPr>
        <w:spacing w:before="240"/>
        <w:rPr>
          <w:noProof/>
        </w:rPr>
      </w:pPr>
    </w:p>
    <w:p w14:paraId="17F077C1" w14:textId="66A13CCE" w:rsidR="00D905D6" w:rsidRPr="003C442D" w:rsidRDefault="517CEC9A" w:rsidP="003C442D">
      <w:pPr>
        <w:pStyle w:val="Heading1"/>
        <w:rPr>
          <w:rFonts w:eastAsia="Calibri"/>
          <w:noProof/>
        </w:rPr>
      </w:pPr>
      <w:bookmarkStart w:id="2" w:name="_Toc468753468"/>
      <w:bookmarkStart w:id="3" w:name="_Toc189833017"/>
      <w:r>
        <w:rPr>
          <w:noProof/>
        </w:rPr>
        <w:t>Въведение</w:t>
      </w:r>
      <w:bookmarkEnd w:id="2"/>
      <w:bookmarkEnd w:id="3"/>
      <w:r>
        <w:rPr>
          <w:noProof/>
        </w:rPr>
        <w:t xml:space="preserve"> </w:t>
      </w:r>
    </w:p>
    <w:p w14:paraId="7F2EDE68" w14:textId="576C2040" w:rsidR="00D905D6" w:rsidRPr="003C442D" w:rsidRDefault="517CEC9A" w:rsidP="00400D84">
      <w:pPr>
        <w:pStyle w:val="Heading2"/>
        <w:rPr>
          <w:rFonts w:eastAsia="Aptos"/>
          <w:noProof/>
        </w:rPr>
      </w:pPr>
      <w:bookmarkStart w:id="4" w:name="_Toc1759064829"/>
      <w:bookmarkStart w:id="5" w:name="_Toc189833018"/>
      <w:r>
        <w:rPr>
          <w:noProof/>
        </w:rPr>
        <w:t>Предистория и контекст</w:t>
      </w:r>
      <w:bookmarkEnd w:id="4"/>
      <w:bookmarkEnd w:id="5"/>
      <w:r>
        <w:rPr>
          <w:noProof/>
        </w:rPr>
        <w:t xml:space="preserve"> </w:t>
      </w:r>
    </w:p>
    <w:p w14:paraId="44173DEF" w14:textId="77777777" w:rsidR="00D905D6" w:rsidRDefault="00D905D6" w:rsidP="00400D84">
      <w:pPr>
        <w:spacing w:after="0"/>
        <w:rPr>
          <w:rFonts w:eastAsia="Aptos" w:cs="Aptos"/>
          <w:noProof/>
        </w:rPr>
      </w:pPr>
    </w:p>
    <w:p w14:paraId="4AAFC0EE" w14:textId="07D13787" w:rsidR="00D905D6" w:rsidRDefault="00D905D6" w:rsidP="00400D84">
      <w:pPr>
        <w:spacing w:after="0"/>
        <w:rPr>
          <w:rFonts w:eastAsia="Aptos" w:cs="Aptos"/>
          <w:i/>
          <w:iCs/>
          <w:noProof/>
        </w:rPr>
      </w:pPr>
      <w:r>
        <w:rPr>
          <w:noProof/>
        </w:rPr>
        <w:t>В член 59, параграф 2 от Регламент (ЕС) 2021/2116 на Европейския парламент и на Съвета (</w:t>
      </w:r>
      <w:r w:rsidR="00DB1AC3">
        <w:rPr>
          <w:rStyle w:val="FootnoteReference"/>
          <w:rFonts w:eastAsia="Aptos" w:cs="Aptos"/>
          <w:noProof/>
        </w:rPr>
        <w:footnoteReference w:id="2"/>
      </w:r>
      <w:r>
        <w:rPr>
          <w:noProof/>
        </w:rPr>
        <w:t>) се посочва, че „[...], Комисията предоставя на държавите членки инструмент за извличане на данни с цел оценка на рисковете, свързани с проектите, бенефициерите, изпълнителите и договорите, като същевременно се гарантира минимална административна тежест и ефективна защита на финансовите интереси на Съюза.</w:t>
      </w:r>
      <w:r>
        <w:rPr>
          <w:i/>
          <w:noProof/>
        </w:rPr>
        <w:t xml:space="preserve"> [...] До 2025 г. Комисията представя доклад, в който се оценява използването на единния инструмент за извличане на данни и неговата оперативна съвместимост с оглед на общото му използване от държавите членки.“</w:t>
      </w:r>
    </w:p>
    <w:p w14:paraId="538952C3" w14:textId="77777777" w:rsidR="00D905D6" w:rsidRDefault="00D905D6" w:rsidP="00400D84">
      <w:pPr>
        <w:spacing w:after="0"/>
        <w:rPr>
          <w:rFonts w:eastAsia="Aptos" w:cs="Aptos"/>
          <w:noProof/>
        </w:rPr>
      </w:pPr>
    </w:p>
    <w:p w14:paraId="5638D6AF" w14:textId="55C5DFC5" w:rsidR="00D905D6" w:rsidRDefault="00D905D6" w:rsidP="00400D84">
      <w:pPr>
        <w:spacing w:after="0"/>
        <w:rPr>
          <w:rFonts w:eastAsia="Aptos" w:cs="Aptos"/>
          <w:noProof/>
        </w:rPr>
      </w:pPr>
      <w:r>
        <w:rPr>
          <w:noProof/>
        </w:rPr>
        <w:t>Държавите членки трябва да създадат ефикасни системи за управление и контрол, за да гарантират спазването на законодателството на Съюза, с което се уреждат интервенциите на Съюза.</w:t>
      </w:r>
      <w:r>
        <w:rPr>
          <w:i/>
          <w:noProof/>
        </w:rPr>
        <w:t xml:space="preserve">  </w:t>
      </w:r>
      <w:r>
        <w:rPr>
          <w:noProof/>
        </w:rPr>
        <w:t>За да се гарантира правилното функциониране на техните системи за управление и контрол, както и законосъобразността и редовността на разходите, декларирани пред Комисията, те трябва да се предприемат необходимите действия. По отношение на земеделските фондове на ЕС (ЕФГЗ и ЕЗФРСР) разплащателните агенции отговарят за плащането на свързаните с ОСП разходи, като по този начин създават системите за управление и контрол на равнището на държавите членки или на еквивалентно административно равнище.</w:t>
      </w:r>
    </w:p>
    <w:p w14:paraId="5D90DB3A" w14:textId="77777777" w:rsidR="00D905D6" w:rsidRDefault="00D905D6" w:rsidP="00400D84">
      <w:pPr>
        <w:spacing w:after="0"/>
        <w:rPr>
          <w:rFonts w:eastAsia="Aptos" w:cs="Aptos"/>
          <w:i/>
          <w:iCs/>
          <w:noProof/>
        </w:rPr>
      </w:pPr>
    </w:p>
    <w:p w14:paraId="1937303E" w14:textId="539DA20F" w:rsidR="00D905D6" w:rsidRDefault="00D905D6" w:rsidP="00400D84">
      <w:pPr>
        <w:spacing w:after="0"/>
        <w:rPr>
          <w:rFonts w:eastAsia="Aptos" w:cs="Aptos"/>
          <w:noProof/>
        </w:rPr>
      </w:pPr>
      <w:r>
        <w:rPr>
          <w:noProof/>
        </w:rPr>
        <w:t xml:space="preserve">Във връзка с това Комисията трябва да предостави инструмент за извличане на данни с цел подпомагане на държавите членки при въвеждането на ефективни системи за управление и контрол на ОСП. В изпълнение на това правно изискване Комисията реши да използва инструмента Arachne. </w:t>
      </w:r>
    </w:p>
    <w:p w14:paraId="75426AC6" w14:textId="77777777" w:rsidR="00D905D6" w:rsidRDefault="00D905D6" w:rsidP="00400D84">
      <w:pPr>
        <w:spacing w:after="0"/>
        <w:rPr>
          <w:rFonts w:eastAsia="Aptos" w:cs="Aptos"/>
          <w:noProof/>
        </w:rPr>
      </w:pPr>
    </w:p>
    <w:p w14:paraId="10072D3C" w14:textId="11DC399F" w:rsidR="00D905D6" w:rsidRDefault="517CEC9A" w:rsidP="00400D84">
      <w:pPr>
        <w:spacing w:after="0"/>
        <w:rPr>
          <w:rFonts w:eastAsia="Aptos" w:cs="Aptos"/>
          <w:noProof/>
        </w:rPr>
      </w:pPr>
      <w:r>
        <w:rPr>
          <w:noProof/>
        </w:rPr>
        <w:t>Arachne е разработен от Европейската комисия интегриран информационен инструмент за извличане на данни и измерване на риска чрез обогатяване на данни. Той има за цел да се подпомогнат държавите членки при осъществяването на административен контрол и проверки на управлението. Чрез Arachne данните се обогатяват с публично достъпна информация, за да се установи въз основа на набор от показатели за риск кои проекти, бенефициери, договори, изпълнители и подизпълнители са податливите на риск от измами, конфликти на интереси или други нередности (</w:t>
      </w:r>
      <w:r w:rsidR="00D905D6" w:rsidRPr="22D8C6FC">
        <w:rPr>
          <w:rStyle w:val="FootnoteReference"/>
          <w:noProof/>
        </w:rPr>
        <w:footnoteReference w:id="3"/>
      </w:r>
      <w:r>
        <w:rPr>
          <w:noProof/>
        </w:rPr>
        <w:t>). Въпреки това чрез него не се прави оценка на индивидуалното поведение на получателите на средства, а бенефициерите или потенциалните бенефициери не се изключват автоматично от фондовете на ЕС. Чрез инструмента се изпращат сигнали за риск до разплащателните агенции, за да се обогатят техните проверки на управлението, но при тях не постъпват доказателства за грешки, нередности или измами.</w:t>
      </w:r>
    </w:p>
    <w:p w14:paraId="7E5F21A6" w14:textId="77777777" w:rsidR="00D905D6" w:rsidRDefault="00D905D6" w:rsidP="00400D84">
      <w:pPr>
        <w:spacing w:after="0"/>
        <w:rPr>
          <w:noProof/>
        </w:rPr>
      </w:pPr>
    </w:p>
    <w:p w14:paraId="229AC8C1" w14:textId="489B4D49" w:rsidR="00D905D6" w:rsidRDefault="00D905D6" w:rsidP="00400D84">
      <w:pPr>
        <w:spacing w:after="0"/>
        <w:rPr>
          <w:rFonts w:eastAsia="Aptos" w:cs="Aptos"/>
          <w:noProof/>
        </w:rPr>
      </w:pPr>
      <w:r>
        <w:rPr>
          <w:noProof/>
        </w:rPr>
        <w:t xml:space="preserve">При изпълнението на интервенциите и мерките, свързани с ОСП, използването на Arachne придобива значение за анализа на риска, който се извършва на равнището на разплащателните агенции по отношение на техните основни функции и по-точно на техните процедури за предотвратяване, разкриване и управление на измамите. Разплащателните агенции следва да отчетат, че докладите за риска от Arachne се използват в комбинация с други налични в системите за управление и контрол на ОСП на национално равнище данни и че използването на инструмента е интегрирано в техните процедури.  </w:t>
      </w:r>
    </w:p>
    <w:p w14:paraId="271459E0" w14:textId="77777777" w:rsidR="00D905D6" w:rsidRDefault="00D905D6" w:rsidP="00400D84">
      <w:pPr>
        <w:spacing w:after="0"/>
        <w:rPr>
          <w:noProof/>
        </w:rPr>
      </w:pPr>
    </w:p>
    <w:p w14:paraId="52C89DF9" w14:textId="359D0519" w:rsidR="00D905D6" w:rsidRDefault="2DA5F926">
      <w:pPr>
        <w:spacing w:after="0" w:line="259" w:lineRule="auto"/>
        <w:rPr>
          <w:noProof/>
        </w:rPr>
      </w:pPr>
      <w:r>
        <w:rPr>
          <w:noProof/>
        </w:rPr>
        <w:t>Оперативните данни от разплащателните агенции се предават към Arachne, за да се определи и установи рискът за финансовите интереси на ЕС. В посочените данни се съдържа информация относно бенефициерите, партньорите по проекта, подизпълнителите, доставчиците на услуги, членовете на консорциума и други участващи страни. Посочените оперативни данни се допълват в Arachne с информация от външни източници на данни — базите данни Orbis и World Compliance, в които се съдържат официално публикувани и публично достъпни данни относно участващите дружества и лица.</w:t>
      </w:r>
    </w:p>
    <w:p w14:paraId="75612AC0" w14:textId="77777777" w:rsidR="00D905D6" w:rsidRDefault="00D905D6" w:rsidP="00400D84">
      <w:pPr>
        <w:spacing w:after="0"/>
        <w:rPr>
          <w:noProof/>
        </w:rPr>
      </w:pPr>
    </w:p>
    <w:p w14:paraId="2BB20B07" w14:textId="1FDCE4C0" w:rsidR="00D905D6" w:rsidRDefault="00D905D6" w:rsidP="00400D84">
      <w:pPr>
        <w:spacing w:after="0"/>
        <w:rPr>
          <w:noProof/>
        </w:rPr>
      </w:pPr>
      <w:r>
        <w:rPr>
          <w:noProof/>
        </w:rPr>
        <w:t>В Orbis се съдържа информация относно компаниите, като например финансови данни, адреси, данни за минали периоди, както и информация относно акционерите, ръководството и служителите на ключови длъжности. В World Compliance се съдържа информация, като например профили на видни политически личности, техните семейства, както и свързани с тях лица; списък със санкции, включително лица и компании с най-висока степен на риск; и списък с принудителни мерки, включително информация, получена от регулаторни и правителствени органи, и съдържанието на предупреждения и действия срещу лица и компании.</w:t>
      </w:r>
    </w:p>
    <w:p w14:paraId="685DC802" w14:textId="77777777" w:rsidR="00D905D6" w:rsidRDefault="00D905D6" w:rsidP="00400D84">
      <w:pPr>
        <w:spacing w:after="0"/>
        <w:rPr>
          <w:noProof/>
        </w:rPr>
      </w:pPr>
    </w:p>
    <w:p w14:paraId="4C32DBAE" w14:textId="77777777" w:rsidR="00D905D6" w:rsidRDefault="00D905D6" w:rsidP="00400D84">
      <w:pPr>
        <w:spacing w:after="0"/>
        <w:rPr>
          <w:rFonts w:eastAsia="Aptos" w:cs="Aptos"/>
          <w:noProof/>
        </w:rPr>
      </w:pPr>
    </w:p>
    <w:p w14:paraId="5622771B" w14:textId="57E787CB" w:rsidR="00D905D6" w:rsidRDefault="00D905D6" w:rsidP="00400D84">
      <w:pPr>
        <w:spacing w:after="0"/>
        <w:rPr>
          <w:rFonts w:eastAsia="Aptos" w:cs="Aptos"/>
          <w:noProof/>
        </w:rPr>
      </w:pPr>
      <w:r>
        <w:rPr>
          <w:noProof/>
        </w:rPr>
        <w:t>Европейската комисия предоставя безплатно Arachne на разплащателните агенции и гарантира техническа помощ и обучение в държавите членки.</w:t>
      </w:r>
    </w:p>
    <w:p w14:paraId="034018EF" w14:textId="77777777" w:rsidR="00D905D6" w:rsidRDefault="00D905D6" w:rsidP="00400D84">
      <w:pPr>
        <w:spacing w:after="0"/>
        <w:rPr>
          <w:rFonts w:eastAsia="Aptos" w:cs="Aptos"/>
          <w:noProof/>
        </w:rPr>
      </w:pPr>
    </w:p>
    <w:p w14:paraId="4D093F4C" w14:textId="77777777" w:rsidR="00D905D6" w:rsidRDefault="00D905D6" w:rsidP="00400D84">
      <w:pPr>
        <w:pStyle w:val="ListParagraph"/>
        <w:spacing w:after="0"/>
        <w:jc w:val="both"/>
        <w:rPr>
          <w:noProof/>
        </w:rPr>
      </w:pPr>
    </w:p>
    <w:p w14:paraId="5D0D60F5" w14:textId="4EC93C0C" w:rsidR="00D905D6" w:rsidRPr="003C442D" w:rsidRDefault="517CEC9A" w:rsidP="003C442D">
      <w:pPr>
        <w:pStyle w:val="Heading2"/>
        <w:rPr>
          <w:noProof/>
        </w:rPr>
      </w:pPr>
      <w:bookmarkStart w:id="6" w:name="_Toc1072142022"/>
      <w:bookmarkStart w:id="7" w:name="_Toc189833019"/>
      <w:r>
        <w:rPr>
          <w:noProof/>
        </w:rPr>
        <w:t>Цели и приложно поле на доклада</w:t>
      </w:r>
      <w:bookmarkEnd w:id="6"/>
      <w:bookmarkEnd w:id="7"/>
      <w:r>
        <w:rPr>
          <w:noProof/>
        </w:rPr>
        <w:t xml:space="preserve"> </w:t>
      </w:r>
    </w:p>
    <w:p w14:paraId="654D9182" w14:textId="7DC10008" w:rsidR="00D905D6" w:rsidRDefault="00D905D6" w:rsidP="00400D84">
      <w:pPr>
        <w:spacing w:after="0"/>
        <w:rPr>
          <w:rFonts w:eastAsia="Aptos" w:cs="Aptos"/>
          <w:noProof/>
        </w:rPr>
      </w:pPr>
      <w:r>
        <w:rPr>
          <w:noProof/>
        </w:rPr>
        <w:t xml:space="preserve">Целта на настоящия доклад е да се оцени текущото използване на Arachne в рамките на ОСП, оперативната му съвместимост с настоящите инструменти и системи, използвани от държавите членки, както и да се предоставят препоръки относно бъдещото му използване. </w:t>
      </w:r>
    </w:p>
    <w:p w14:paraId="561FAA3B" w14:textId="77777777" w:rsidR="00E57B31" w:rsidRDefault="00E57B31" w:rsidP="00400D84">
      <w:pPr>
        <w:spacing w:after="0"/>
        <w:rPr>
          <w:rFonts w:eastAsia="Aptos" w:cs="Aptos"/>
          <w:noProof/>
        </w:rPr>
      </w:pPr>
    </w:p>
    <w:p w14:paraId="26D16878" w14:textId="0E563E41" w:rsidR="00E57B31" w:rsidRDefault="1AA4BA69" w:rsidP="00E57B31">
      <w:pPr>
        <w:spacing w:after="0"/>
        <w:rPr>
          <w:rFonts w:eastAsia="Aptos" w:cs="Aptos"/>
          <w:noProof/>
        </w:rPr>
      </w:pPr>
      <w:r>
        <w:rPr>
          <w:noProof/>
        </w:rPr>
        <w:t xml:space="preserve">За изготвянето на настоящия доклад през юли 2024 г. службите на Комисията (ГД „Земеделие и развитие на селските райони“) изпратиха до всички държави членки проучване относно използването на Arachne и неговата оперативна съвместимост. От държавите членки бе поискана информация относно това как използват системата. От тях бяха поискани и предложения за подобрения или изисквания, които биха улеснили използването на Arachne. Резултатите от посоченото проучване бяха представени на държавите членки по време на заседание на експертната група на 20 септември 2024 г., а резултатите от обсъжданията са включени в настоящия доклад. </w:t>
      </w:r>
    </w:p>
    <w:p w14:paraId="6BD427C1" w14:textId="77777777" w:rsidR="00D905D6" w:rsidRDefault="00D905D6" w:rsidP="00400D84">
      <w:pPr>
        <w:spacing w:after="0"/>
        <w:rPr>
          <w:rFonts w:eastAsia="Aptos" w:cs="Aptos"/>
          <w:noProof/>
        </w:rPr>
      </w:pPr>
    </w:p>
    <w:p w14:paraId="4505F6CC" w14:textId="15EBB55F" w:rsidR="00D905D6" w:rsidRDefault="067465A4" w:rsidP="00400D84">
      <w:pPr>
        <w:spacing w:after="0"/>
        <w:rPr>
          <w:rFonts w:eastAsia="Aptos" w:cs="Aptos"/>
          <w:noProof/>
        </w:rPr>
      </w:pPr>
      <w:r>
        <w:rPr>
          <w:noProof/>
        </w:rPr>
        <w:t>Настоящият доклад е разделен на шест части. В глава 2 са обяснени предприетите от Комисията действия, с които става възможно и се насърчава използването на Arachne. В третата и четвъртата част на доклада се описва актуалното състояние на Arachne и се посочват възможностите и предизвикателствата, свързани с неговото използването. В петия раздел се посочва оперативната съвместимост с настоящите инструменти, използвани от държавите членки. Докладът завършва със следващите стъпки и дългосрочната перспектива за използването на Arachne, както и с визия за бъдещето развитие и внедряване на инструмента.</w:t>
      </w:r>
    </w:p>
    <w:p w14:paraId="10D9C84E" w14:textId="77777777" w:rsidR="00D905D6" w:rsidRDefault="00D905D6" w:rsidP="00400D84">
      <w:pPr>
        <w:spacing w:after="0"/>
        <w:rPr>
          <w:rFonts w:eastAsia="Aptos" w:cs="Aptos"/>
          <w:noProof/>
        </w:rPr>
      </w:pPr>
    </w:p>
    <w:p w14:paraId="0DE603CC" w14:textId="20B09276" w:rsidR="00D905D6" w:rsidRPr="0044611E" w:rsidRDefault="517CEC9A" w:rsidP="0044611E">
      <w:pPr>
        <w:pStyle w:val="Heading1"/>
        <w:rPr>
          <w:noProof/>
        </w:rPr>
      </w:pPr>
      <w:bookmarkStart w:id="8" w:name="_Toc721472382"/>
      <w:bookmarkStart w:id="9" w:name="_Toc189833020"/>
      <w:r>
        <w:rPr>
          <w:noProof/>
        </w:rPr>
        <w:t>Предприети от Комисията действия, с които става възможно и се насърчава използването на Arachne в рамките на ОСП</w:t>
      </w:r>
      <w:bookmarkEnd w:id="8"/>
      <w:bookmarkEnd w:id="9"/>
    </w:p>
    <w:p w14:paraId="4C2C6A12" w14:textId="77777777" w:rsidR="00D905D6" w:rsidRDefault="00D905D6" w:rsidP="00400D84">
      <w:pPr>
        <w:spacing w:after="0"/>
        <w:rPr>
          <w:rFonts w:eastAsia="Aptos" w:cs="Aptos"/>
          <w:noProof/>
        </w:rPr>
      </w:pPr>
    </w:p>
    <w:p w14:paraId="5EEE20E2" w14:textId="0C41AC2F" w:rsidR="00D905D6" w:rsidRDefault="00D905D6" w:rsidP="00400D84">
      <w:pPr>
        <w:spacing w:line="278" w:lineRule="auto"/>
        <w:rPr>
          <w:noProof/>
        </w:rPr>
      </w:pPr>
      <w:r>
        <w:rPr>
          <w:noProof/>
        </w:rPr>
        <w:t>В съответствие със законодателната рамка Комисията предприема различни действия, с които става възможно и се насърчава използването на Arachne от държавите членки за разходите по ОСП.</w:t>
      </w:r>
    </w:p>
    <w:p w14:paraId="707070F7" w14:textId="554BD40F" w:rsidR="00D905D6" w:rsidRDefault="31F31385" w:rsidP="55001977">
      <w:pPr>
        <w:spacing w:after="0"/>
        <w:rPr>
          <w:noProof/>
        </w:rPr>
      </w:pPr>
      <w:r>
        <w:rPr>
          <w:noProof/>
        </w:rPr>
        <w:t xml:space="preserve">За да стане възможно използването на инструмента за разходите по ОСП, през 2021 г. Комисията определи спецификации на изискванията за разработване (краен собственик и други измервания на риска, свързани с плащанията по ИСАК). Разработването е основно насочено към функция, с която става възможно автоматичното качване и изтегляне на данни, като се има предвид обемът на данните за плащанията в рамките на ИСАК. Автоматичното качване на данни е възможно от февруари 2024 г. Към датата на изготвяне на настоящия доклад някои държави членки подлагат на изпитване автоматичното изтегляне. </w:t>
      </w:r>
    </w:p>
    <w:p w14:paraId="24AA9F08" w14:textId="77777777" w:rsidR="00D905D6" w:rsidRDefault="00D905D6" w:rsidP="00400D84">
      <w:pPr>
        <w:spacing w:after="0"/>
        <w:rPr>
          <w:noProof/>
        </w:rPr>
      </w:pPr>
    </w:p>
    <w:p w14:paraId="40A3AD94" w14:textId="46E43B91" w:rsidR="00D905D6" w:rsidRDefault="00D905D6" w:rsidP="55001977">
      <w:pPr>
        <w:spacing w:after="0"/>
        <w:rPr>
          <w:noProof/>
        </w:rPr>
      </w:pPr>
      <w:r>
        <w:rPr>
          <w:noProof/>
        </w:rPr>
        <w:t>В хода на посочения процес Комисията непрекъснато предоставя на органите на държавите членки обучения и изпълнява ролята на информационно бюро както преди, така и по време на използването на инструмента. Освен това се организират обсъждания и обмен на най-добри практики в рамките на срещите на експертните групи по хоризонталните въпроси, свързани с ОСП (например проведената на 20 септември 2024 г. среща за органите на държавите членки, най-вече разплащателните агенции), и Мрежата за обучение на разплащателните агенции (подгрупа за борба с измамите и конфликта на интереси), както и допълнителни двустранни обсъждания и работни срещи по искане на държавите членки.</w:t>
      </w:r>
    </w:p>
    <w:p w14:paraId="6246DF08" w14:textId="77777777" w:rsidR="00D905D6" w:rsidRDefault="00D905D6" w:rsidP="00400D84">
      <w:pPr>
        <w:spacing w:after="0"/>
        <w:rPr>
          <w:noProof/>
        </w:rPr>
      </w:pPr>
    </w:p>
    <w:p w14:paraId="53E70EB2" w14:textId="6DC4ED4F" w:rsidR="00D905D6" w:rsidRDefault="00D905D6" w:rsidP="00400D84">
      <w:pPr>
        <w:spacing w:after="0"/>
        <w:rPr>
          <w:noProof/>
        </w:rPr>
      </w:pPr>
      <w:r>
        <w:rPr>
          <w:noProof/>
        </w:rPr>
        <w:t>По-голямата част от посочените обсъждания се отнасят до политиката и процедурите на разплащателните агенции, свързани с борбата с измамите, конфликта на интереси и заобикалянето на разпоредбите.</w:t>
      </w:r>
    </w:p>
    <w:p w14:paraId="622BA5DE" w14:textId="77777777" w:rsidR="00D905D6" w:rsidRDefault="00D905D6" w:rsidP="00400D84">
      <w:pPr>
        <w:spacing w:after="0"/>
        <w:rPr>
          <w:noProof/>
        </w:rPr>
      </w:pPr>
    </w:p>
    <w:p w14:paraId="3F87225F" w14:textId="36D0E93C" w:rsidR="00D905D6" w:rsidRDefault="00D905D6" w:rsidP="00400D84">
      <w:pPr>
        <w:spacing w:after="0"/>
        <w:rPr>
          <w:noProof/>
        </w:rPr>
      </w:pPr>
      <w:r>
        <w:rPr>
          <w:noProof/>
        </w:rPr>
        <w:t>Усилията в тази посока ще продължат до постигане на пълноценно използване на Arachne за разходите по ОСП.</w:t>
      </w:r>
    </w:p>
    <w:p w14:paraId="6F9D01F5" w14:textId="77777777" w:rsidR="00862B78" w:rsidRDefault="00862B78" w:rsidP="00400D84">
      <w:pPr>
        <w:spacing w:after="0"/>
        <w:rPr>
          <w:noProof/>
        </w:rPr>
      </w:pPr>
    </w:p>
    <w:p w14:paraId="3E3E5F7E" w14:textId="77777777" w:rsidR="00D905D6" w:rsidRDefault="00D905D6" w:rsidP="00400D84">
      <w:pPr>
        <w:spacing w:after="0"/>
        <w:rPr>
          <w:noProof/>
        </w:rPr>
      </w:pPr>
    </w:p>
    <w:p w14:paraId="79E23B76" w14:textId="70562814" w:rsidR="00D905D6" w:rsidRPr="0044611E" w:rsidRDefault="517CEC9A" w:rsidP="0044611E">
      <w:pPr>
        <w:pStyle w:val="Heading1"/>
        <w:rPr>
          <w:noProof/>
        </w:rPr>
      </w:pPr>
      <w:bookmarkStart w:id="10" w:name="_Toc1578211476"/>
      <w:bookmarkStart w:id="11" w:name="_Toc189833021"/>
      <w:r>
        <w:rPr>
          <w:noProof/>
        </w:rPr>
        <w:t>Актуално състояние: Текущо използване на инструмента за извличане на данни</w:t>
      </w:r>
      <w:bookmarkEnd w:id="10"/>
      <w:bookmarkEnd w:id="11"/>
      <w:r>
        <w:rPr>
          <w:noProof/>
        </w:rPr>
        <w:t xml:space="preserve"> </w:t>
      </w:r>
    </w:p>
    <w:p w14:paraId="77102423" w14:textId="77777777" w:rsidR="00D905D6" w:rsidRDefault="00D905D6" w:rsidP="00400D84">
      <w:pPr>
        <w:spacing w:after="0"/>
        <w:rPr>
          <w:rFonts w:eastAsia="Aptos" w:cs="Aptos"/>
          <w:b/>
          <w:bCs/>
          <w:noProof/>
        </w:rPr>
      </w:pPr>
    </w:p>
    <w:p w14:paraId="6564F439" w14:textId="3F9127E2" w:rsidR="00D905D6" w:rsidRPr="0041611A" w:rsidRDefault="517CEC9A" w:rsidP="0041611A">
      <w:pPr>
        <w:pStyle w:val="Heading2"/>
        <w:rPr>
          <w:noProof/>
        </w:rPr>
      </w:pPr>
      <w:bookmarkStart w:id="12" w:name="_Toc181571939"/>
      <w:bookmarkEnd w:id="12"/>
      <w:r>
        <w:rPr>
          <w:noProof/>
        </w:rPr>
        <w:t xml:space="preserve"> </w:t>
      </w:r>
      <w:bookmarkStart w:id="13" w:name="_Toc1064182989"/>
      <w:bookmarkStart w:id="14" w:name="_Toc189833022"/>
      <w:r>
        <w:rPr>
          <w:noProof/>
        </w:rPr>
        <w:t>Преглед на прилагането и внедряването на инструмента</w:t>
      </w:r>
      <w:bookmarkEnd w:id="13"/>
      <w:bookmarkEnd w:id="14"/>
      <w:r>
        <w:rPr>
          <w:noProof/>
        </w:rPr>
        <w:t xml:space="preserve"> </w:t>
      </w:r>
    </w:p>
    <w:p w14:paraId="6CFA223E" w14:textId="77777777" w:rsidR="00D905D6" w:rsidRDefault="00D905D6" w:rsidP="00400D84">
      <w:pPr>
        <w:pStyle w:val="ListParagraph"/>
        <w:spacing w:after="0"/>
        <w:rPr>
          <w:rFonts w:eastAsia="Aptos" w:cs="Aptos"/>
          <w:b/>
          <w:bCs/>
          <w:noProof/>
        </w:rPr>
      </w:pPr>
    </w:p>
    <w:p w14:paraId="3E94A3BA" w14:textId="430F2F07" w:rsidR="00D905D6" w:rsidRPr="0041611A" w:rsidRDefault="00D905D6">
      <w:pPr>
        <w:spacing w:after="0" w:line="259" w:lineRule="auto"/>
        <w:rPr>
          <w:noProof/>
        </w:rPr>
      </w:pPr>
      <w:r>
        <w:rPr>
          <w:noProof/>
        </w:rPr>
        <w:t>Arachne използва модел „субект-връзка“ за организиране и управляване на предоставените му данни. В системата се обединяват вътрешни данни от държавите членки и външни данни от източници като Orbis и World Compliance. След това данните се съпоставят и обогатяват, за да се измери рискът, свързан с проекти и договори, като по този начин потребителят получава подробна оценка на риска за исканите данни. В системата е включен и модул за управление на потребителите за изолиране на данните и удостоверяване на автентичността.</w:t>
      </w:r>
    </w:p>
    <w:p w14:paraId="42C7AD11" w14:textId="77777777" w:rsidR="0044611E" w:rsidRDefault="0044611E" w:rsidP="00400D84">
      <w:pPr>
        <w:spacing w:after="0"/>
        <w:rPr>
          <w:rFonts w:eastAsia="Aptos" w:cs="Aptos"/>
          <w:b/>
          <w:bCs/>
          <w:i/>
          <w:iCs/>
          <w:noProof/>
        </w:rPr>
      </w:pPr>
    </w:p>
    <w:p w14:paraId="27883443" w14:textId="77777777" w:rsidR="0044611E" w:rsidRDefault="0044611E" w:rsidP="00400D84">
      <w:pPr>
        <w:spacing w:after="0"/>
        <w:rPr>
          <w:rFonts w:eastAsia="Aptos" w:cs="Aptos"/>
          <w:b/>
          <w:bCs/>
          <w:i/>
          <w:iCs/>
          <w:noProof/>
        </w:rPr>
      </w:pPr>
    </w:p>
    <w:p w14:paraId="39B74ABC" w14:textId="77777777" w:rsidR="0044611E" w:rsidRDefault="0044611E" w:rsidP="00400D84">
      <w:pPr>
        <w:spacing w:after="0"/>
        <w:rPr>
          <w:rFonts w:eastAsia="Aptos" w:cs="Aptos"/>
          <w:b/>
          <w:bCs/>
          <w:i/>
          <w:iCs/>
          <w:noProof/>
        </w:rPr>
      </w:pPr>
    </w:p>
    <w:p w14:paraId="25D8A374" w14:textId="77777777" w:rsidR="00862B78" w:rsidRDefault="00862B78">
      <w:pPr>
        <w:spacing w:after="0"/>
        <w:jc w:val="left"/>
        <w:rPr>
          <w:rFonts w:eastAsia="Aptos" w:cs="Aptos"/>
          <w:b/>
          <w:bCs/>
          <w:i/>
          <w:iCs/>
          <w:noProof/>
        </w:rPr>
      </w:pPr>
      <w:r>
        <w:rPr>
          <w:noProof/>
        </w:rPr>
        <w:br w:type="page"/>
      </w:r>
    </w:p>
    <w:p w14:paraId="7F82C829" w14:textId="756103B8" w:rsidR="00D905D6" w:rsidRDefault="00D905D6" w:rsidP="00400D84">
      <w:pPr>
        <w:spacing w:after="0"/>
        <w:rPr>
          <w:rFonts w:eastAsia="Aptos" w:cs="Aptos"/>
          <w:b/>
          <w:bCs/>
          <w:i/>
          <w:iCs/>
          <w:noProof/>
        </w:rPr>
      </w:pPr>
      <w:r>
        <w:rPr>
          <w:b/>
          <w:i/>
          <w:noProof/>
        </w:rPr>
        <w:t>Статистика относно използването на Arachne в рамките на CAP (</w:t>
      </w:r>
      <w:r w:rsidR="004C6397">
        <w:rPr>
          <w:rStyle w:val="FootnoteReference"/>
          <w:rFonts w:eastAsia="Aptos" w:cs="Aptos"/>
          <w:b/>
          <w:bCs/>
          <w:i/>
          <w:iCs/>
          <w:noProof/>
        </w:rPr>
        <w:footnoteReference w:id="4"/>
      </w:r>
      <w:r>
        <w:rPr>
          <w:b/>
          <w:i/>
          <w:noProof/>
        </w:rPr>
        <w:t xml:space="preserve">) </w:t>
      </w:r>
    </w:p>
    <w:p w14:paraId="5745BD10" w14:textId="77777777" w:rsidR="00D905D6" w:rsidRDefault="00D905D6" w:rsidP="00400D84">
      <w:pPr>
        <w:spacing w:after="0" w:line="257" w:lineRule="auto"/>
        <w:rPr>
          <w:rFonts w:eastAsia="Aptos" w:cs="Aptos"/>
          <w:b/>
          <w:bCs/>
          <w:noProof/>
        </w:rPr>
      </w:pPr>
    </w:p>
    <w:p w14:paraId="2972E582" w14:textId="2E74DD6B" w:rsidR="00D905D6" w:rsidRDefault="00EB6564" w:rsidP="00400D84">
      <w:pPr>
        <w:spacing w:line="257" w:lineRule="auto"/>
        <w:rPr>
          <w:noProof/>
        </w:rPr>
      </w:pPr>
      <w:r w:rsidRPr="00EB6564">
        <w:rPr>
          <w:noProof/>
          <w:lang w:val="en-GB" w:eastAsia="en-GB"/>
        </w:rPr>
        <w:drawing>
          <wp:inline distT="0" distB="0" distL="0" distR="0" wp14:anchorId="4616F2EF" wp14:editId="6F985422">
            <wp:extent cx="5472430" cy="2958465"/>
            <wp:effectExtent l="0" t="0" r="0" b="0"/>
            <wp:docPr id="1961422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72430" cy="2958465"/>
                    </a:xfrm>
                    <a:prstGeom prst="rect">
                      <a:avLst/>
                    </a:prstGeom>
                    <a:noFill/>
                    <a:ln>
                      <a:noFill/>
                    </a:ln>
                  </pic:spPr>
                </pic:pic>
              </a:graphicData>
            </a:graphic>
          </wp:inline>
        </w:drawing>
      </w:r>
    </w:p>
    <w:p w14:paraId="37DB65C6" w14:textId="23528683" w:rsidR="00D905D6" w:rsidRDefault="75EBAA29" w:rsidP="00400D84">
      <w:pPr>
        <w:spacing w:after="0" w:line="257" w:lineRule="auto"/>
        <w:rPr>
          <w:noProof/>
        </w:rPr>
      </w:pPr>
      <w:r>
        <w:rPr>
          <w:noProof/>
        </w:rPr>
        <w:t xml:space="preserve">В графиката се посочва, че 11 държави членки използват пълния потенциал на инструмента (качване и използване) по отношение на разходите по ОСП. Още три държави членки вече качват данни в инструмента. Те обаче все още не използват обогатените данни, налични в Arachne. Седем държави членки са преминали единствено въвеждащото обучение, като все още предстои да започнат да качват данни в инструмента и да го използват. Останалите шест държави членки поискаха провеждането на въвеждащо обучение към момента на изготвяне на настоящия доклад. </w:t>
      </w:r>
    </w:p>
    <w:p w14:paraId="4C7C61BD" w14:textId="77777777" w:rsidR="002A65D9" w:rsidRDefault="002A65D9" w:rsidP="00400D84">
      <w:pPr>
        <w:spacing w:after="0" w:line="257" w:lineRule="auto"/>
        <w:rPr>
          <w:noProof/>
        </w:rPr>
      </w:pPr>
    </w:p>
    <w:p w14:paraId="7C692D14" w14:textId="2FFF028B" w:rsidR="00944039" w:rsidRDefault="75A47F4C" w:rsidP="00400D84">
      <w:pPr>
        <w:spacing w:after="0" w:line="257" w:lineRule="auto"/>
        <w:rPr>
          <w:noProof/>
        </w:rPr>
      </w:pPr>
      <w:r>
        <w:rPr>
          <w:noProof/>
        </w:rPr>
        <w:t xml:space="preserve">В три от вече използващите Arachne 11 държави членки е в ход изпитване на възможностите на инструмента за интервенции по линия на ЕФГЗ ИСАК. </w:t>
      </w:r>
    </w:p>
    <w:p w14:paraId="5B9ED297" w14:textId="77777777" w:rsidR="00862B78" w:rsidRDefault="00862B78" w:rsidP="00400D84">
      <w:pPr>
        <w:spacing w:after="0" w:line="257" w:lineRule="auto"/>
        <w:rPr>
          <w:noProof/>
        </w:rPr>
      </w:pPr>
    </w:p>
    <w:p w14:paraId="76DC2396" w14:textId="65139CFC" w:rsidR="00D905D6" w:rsidRDefault="3E65B5C2" w:rsidP="00400D84">
      <w:pPr>
        <w:spacing w:after="0" w:line="257" w:lineRule="auto"/>
        <w:rPr>
          <w:noProof/>
        </w:rPr>
      </w:pPr>
      <w:r>
        <w:rPr>
          <w:noProof/>
        </w:rPr>
        <w:t xml:space="preserve">По отношение на програмния период 2014—2022 г. и във връзка с етапите „Използване и качване“ и „Качване“ Arachne е използван в 17 програми за развитие на селските райони. За текущия период 2023—2027 г. инструментът вече се използва в 1 Стратегически план на ОСП за разходите за развитие на селските райони. Това обхваща 167 731 проекта и 139 911 бенефициери. </w:t>
      </w:r>
    </w:p>
    <w:p w14:paraId="764E1658" w14:textId="77777777" w:rsidR="00D905D6" w:rsidRDefault="00D905D6" w:rsidP="00400D84">
      <w:pPr>
        <w:spacing w:line="257" w:lineRule="auto"/>
        <w:rPr>
          <w:noProof/>
        </w:rPr>
      </w:pPr>
      <w:r>
        <w:rPr>
          <w:noProof/>
          <w:sz w:val="22"/>
        </w:rPr>
        <w:t xml:space="preserve"> </w:t>
      </w:r>
    </w:p>
    <w:p w14:paraId="2CBC1AB1" w14:textId="020C88EE" w:rsidR="00D905D6" w:rsidRDefault="517CEC9A" w:rsidP="7B2D6861">
      <w:pPr>
        <w:keepNext/>
        <w:spacing w:line="257" w:lineRule="auto"/>
        <w:rPr>
          <w:rFonts w:eastAsia="Aptos" w:cs="Aptos"/>
          <w:b/>
          <w:bCs/>
          <w:i/>
          <w:iCs/>
          <w:noProof/>
        </w:rPr>
      </w:pPr>
      <w:r>
        <w:rPr>
          <w:b/>
          <w:i/>
          <w:noProof/>
        </w:rPr>
        <w:t>Статистика относно качването на данни в рамките на ОСП (</w:t>
      </w:r>
      <w:r w:rsidR="004C6397" w:rsidRPr="2E6B9931">
        <w:rPr>
          <w:rStyle w:val="FootnoteReference"/>
          <w:rFonts w:eastAsia="Aptos" w:cs="Aptos"/>
          <w:b/>
          <w:bCs/>
          <w:i/>
          <w:iCs/>
          <w:noProof/>
        </w:rPr>
        <w:footnoteReference w:id="5"/>
      </w:r>
      <w:r>
        <w:rPr>
          <w:b/>
          <w:i/>
          <w:noProof/>
        </w:rPr>
        <w:t>)</w:t>
      </w:r>
    </w:p>
    <w:p w14:paraId="3990314E" w14:textId="3B9F39EA" w:rsidR="00862B78" w:rsidRDefault="0073690A" w:rsidP="2E6B9931">
      <w:pPr>
        <w:spacing w:line="257" w:lineRule="auto"/>
        <w:rPr>
          <w:noProof/>
        </w:rPr>
      </w:pPr>
      <w:r w:rsidRPr="0073690A">
        <w:rPr>
          <w:noProof/>
          <w:lang w:val="en-GB" w:eastAsia="en-GB"/>
        </w:rPr>
        <w:drawing>
          <wp:inline distT="0" distB="0" distL="0" distR="0" wp14:anchorId="5DAD1F67" wp14:editId="449406C0">
            <wp:extent cx="5472430" cy="2662555"/>
            <wp:effectExtent l="0" t="0" r="0" b="4445"/>
            <wp:docPr id="5751925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72430" cy="2662555"/>
                    </a:xfrm>
                    <a:prstGeom prst="rect">
                      <a:avLst/>
                    </a:prstGeom>
                    <a:noFill/>
                    <a:ln>
                      <a:noFill/>
                    </a:ln>
                  </pic:spPr>
                </pic:pic>
              </a:graphicData>
            </a:graphic>
          </wp:inline>
        </w:drawing>
      </w:r>
      <w:r w:rsidR="317D8496">
        <w:rPr>
          <w:noProof/>
        </w:rPr>
        <w:cr/>
      </w:r>
      <w:r w:rsidR="317D8496">
        <w:rPr>
          <w:noProof/>
        </w:rPr>
        <w:br/>
      </w:r>
    </w:p>
    <w:p w14:paraId="421C9055" w14:textId="5C8370EE" w:rsidR="317D8496" w:rsidRDefault="65E474AF" w:rsidP="2E6B9931">
      <w:pPr>
        <w:spacing w:line="257" w:lineRule="auto"/>
        <w:rPr>
          <w:noProof/>
        </w:rPr>
      </w:pPr>
      <w:r>
        <w:rPr>
          <w:noProof/>
        </w:rPr>
        <w:t>В обогатените бази данни на инструмента се крие неговият потенциал. Завършването на този процес чрез цялостно качване на данни за всички фондове от страна на държавите членки все още предстои. Използваните в Arachne бази данни са междусекторни и взаимно допълващи се. Необходимо е държавите членки да качат данни, за да се възползват от възможностите на инструмента. От посочените статистически данни става ясно, че Arachne вече получава данни от няколко програми за развитие на селските райони по ОСП, както и от пазарните мерки. Въпреки това качването на данни, свързани с плащанията по ИСАК все още е в начален етап, включително поради факта, че функцията за автоматично качване на данни, която е необходима за качването на данни по ИСАК, е достъпна от февруари 2024 г.</w:t>
      </w:r>
    </w:p>
    <w:p w14:paraId="6D9A1E1B" w14:textId="00E0FF0A" w:rsidR="2E6B9931" w:rsidRDefault="2E6B9931" w:rsidP="2E6B9931">
      <w:pPr>
        <w:spacing w:line="257" w:lineRule="auto"/>
        <w:rPr>
          <w:noProof/>
        </w:rPr>
      </w:pPr>
    </w:p>
    <w:p w14:paraId="798A3F09" w14:textId="7B1E828E" w:rsidR="00E85772" w:rsidRDefault="00E85772" w:rsidP="00E85772">
      <w:pPr>
        <w:spacing w:line="257" w:lineRule="auto"/>
        <w:rPr>
          <w:noProof/>
        </w:rPr>
      </w:pPr>
    </w:p>
    <w:p w14:paraId="02BDE9DA" w14:textId="482A4583" w:rsidR="008649FF" w:rsidRDefault="65523C79" w:rsidP="7B2D6861">
      <w:pPr>
        <w:keepNext/>
        <w:spacing w:line="257" w:lineRule="auto"/>
        <w:rPr>
          <w:noProof/>
        </w:rPr>
      </w:pPr>
      <w:r>
        <w:rPr>
          <w:b/>
          <w:i/>
          <w:noProof/>
        </w:rPr>
        <w:t>Статистика относно използването на Arachne от потребителите в службите в областта на земеделието (</w:t>
      </w:r>
      <w:r w:rsidR="008649FF">
        <w:rPr>
          <w:rStyle w:val="FootnoteReference"/>
          <w:rFonts w:eastAsia="Aptos" w:cs="Aptos"/>
          <w:b/>
          <w:bCs/>
          <w:i/>
          <w:iCs/>
          <w:noProof/>
        </w:rPr>
        <w:footnoteReference w:id="6"/>
      </w:r>
      <w:r>
        <w:rPr>
          <w:b/>
          <w:i/>
          <w:noProof/>
        </w:rPr>
        <w:t>)</w:t>
      </w:r>
    </w:p>
    <w:p w14:paraId="6794B1AD" w14:textId="77777777" w:rsidR="00862B78" w:rsidRDefault="34F1EBEB" w:rsidP="2E6B9931">
      <w:pPr>
        <w:spacing w:line="257" w:lineRule="auto"/>
        <w:rPr>
          <w:noProof/>
        </w:rPr>
      </w:pPr>
      <w:r>
        <w:rPr>
          <w:noProof/>
          <w:lang w:val="en-GB" w:eastAsia="en-GB"/>
        </w:rPr>
        <w:drawing>
          <wp:inline distT="0" distB="0" distL="0" distR="0" wp14:anchorId="02F8381D" wp14:editId="0D5AAB2E">
            <wp:extent cx="5467348" cy="3371850"/>
            <wp:effectExtent l="0" t="0" r="0" b="0"/>
            <wp:docPr id="889618894" name="Picture 889618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467348" cy="3371850"/>
                    </a:xfrm>
                    <a:prstGeom prst="rect">
                      <a:avLst/>
                    </a:prstGeom>
                  </pic:spPr>
                </pic:pic>
              </a:graphicData>
            </a:graphic>
          </wp:inline>
        </w:drawing>
      </w:r>
    </w:p>
    <w:p w14:paraId="7FD28A08" w14:textId="4AB97EDC" w:rsidR="00E50C9B" w:rsidRDefault="15DD6C56" w:rsidP="2E6B9931">
      <w:pPr>
        <w:spacing w:line="257" w:lineRule="auto"/>
        <w:rPr>
          <w:noProof/>
        </w:rPr>
      </w:pPr>
      <w:r>
        <w:rPr>
          <w:noProof/>
        </w:rPr>
        <w:cr/>
      </w:r>
      <w:r>
        <w:rPr>
          <w:noProof/>
        </w:rPr>
        <w:br/>
      </w:r>
      <w:r w:rsidR="0073690A" w:rsidRPr="0073690A">
        <w:rPr>
          <w:noProof/>
          <w:lang w:val="en-GB" w:eastAsia="en-GB"/>
        </w:rPr>
        <w:drawing>
          <wp:inline distT="0" distB="0" distL="0" distR="0" wp14:anchorId="41B192AD" wp14:editId="021FA74D">
            <wp:extent cx="5472430" cy="3562350"/>
            <wp:effectExtent l="0" t="0" r="0" b="0"/>
            <wp:docPr id="1203903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72430" cy="3562350"/>
                    </a:xfrm>
                    <a:prstGeom prst="rect">
                      <a:avLst/>
                    </a:prstGeom>
                    <a:noFill/>
                    <a:ln>
                      <a:noFill/>
                    </a:ln>
                  </pic:spPr>
                </pic:pic>
              </a:graphicData>
            </a:graphic>
          </wp:inline>
        </w:drawing>
      </w:r>
      <w:r>
        <w:rPr>
          <w:noProof/>
        </w:rPr>
        <w:cr/>
      </w:r>
      <w:r>
        <w:rPr>
          <w:noProof/>
        </w:rPr>
        <w:br/>
      </w:r>
    </w:p>
    <w:p w14:paraId="32FE9DB8" w14:textId="59C10D27" w:rsidR="00D905D6" w:rsidRDefault="78A6092C" w:rsidP="00400D84">
      <w:pPr>
        <w:spacing w:line="257" w:lineRule="auto"/>
        <w:rPr>
          <w:noProof/>
        </w:rPr>
      </w:pPr>
      <w:r>
        <w:rPr>
          <w:noProof/>
        </w:rPr>
        <w:t xml:space="preserve">От статистиката става ясно, че не всички държави членки, които предоставят данни на инструмента, използват системата, въпреки че през годините се наблюдава постепенен напредък в броя на потребителите и връзките с инструмента по отношение на разходите по ОСП. Държавите членки полагат значителни усилия в предоставянето на данни. Комисията ще продължи да насърчава държавите членки в по-нататъшното разширено използване на потенциала на Arachne, т.е. при прилагането му в процедурите на разплащателните агенции, свързани с оценка на риска, както и с предотвратяване, разкриване и управление на измами. </w:t>
      </w:r>
    </w:p>
    <w:p w14:paraId="1FFB48E3" w14:textId="77777777" w:rsidR="00D905D6" w:rsidRPr="00F45C04" w:rsidRDefault="00D905D6" w:rsidP="00F45C04">
      <w:pPr>
        <w:spacing w:after="0"/>
        <w:rPr>
          <w:rFonts w:eastAsia="Aptos" w:cs="Aptos"/>
          <w:b/>
          <w:bCs/>
          <w:noProof/>
        </w:rPr>
      </w:pPr>
    </w:p>
    <w:p w14:paraId="0627E770" w14:textId="1678E422" w:rsidR="00D905D6" w:rsidRPr="00ED796E" w:rsidRDefault="517CEC9A" w:rsidP="00ED796E">
      <w:pPr>
        <w:pStyle w:val="Heading2"/>
        <w:rPr>
          <w:noProof/>
        </w:rPr>
      </w:pPr>
      <w:bookmarkStart w:id="15" w:name="_Toc442993428"/>
      <w:bookmarkStart w:id="16" w:name="_Toc189833023"/>
      <w:r>
        <w:rPr>
          <w:noProof/>
        </w:rPr>
        <w:t>Функционалност и ефективност на инструмента</w:t>
      </w:r>
      <w:bookmarkEnd w:id="15"/>
      <w:bookmarkEnd w:id="16"/>
      <w:r>
        <w:rPr>
          <w:noProof/>
        </w:rPr>
        <w:t xml:space="preserve">  </w:t>
      </w:r>
    </w:p>
    <w:p w14:paraId="43E6654A" w14:textId="77777777" w:rsidR="00D905D6" w:rsidRDefault="00D905D6" w:rsidP="00400D84">
      <w:pPr>
        <w:pStyle w:val="ListParagraph"/>
        <w:spacing w:after="0"/>
        <w:rPr>
          <w:rFonts w:eastAsia="Aptos" w:cs="Aptos"/>
          <w:b/>
          <w:bCs/>
          <w:noProof/>
        </w:rPr>
      </w:pPr>
    </w:p>
    <w:p w14:paraId="455B3795" w14:textId="399FB384" w:rsidR="00D905D6" w:rsidRDefault="00D905D6" w:rsidP="00400D84">
      <w:pPr>
        <w:spacing w:line="257" w:lineRule="auto"/>
        <w:rPr>
          <w:noProof/>
        </w:rPr>
      </w:pPr>
      <w:r>
        <w:rPr>
          <w:noProof/>
        </w:rPr>
        <w:t xml:space="preserve">Arachne е мощен инструмент, чрез който се цели осигуряване на показатели за риск с висока стойност, които да подобрят проверките на управлението. С него се създава цялостна и пълна база данни относно проектите, изпълнявани със средства на ЕС, като данните се обогатяват с публично достъпна информация. Що се отнася до използването на инструмента за разходите по ОСП, през 2024 г. стана достъпна разработката на изключително важните функции за автоматично качване и изтегляне на данни. Въпреки това държавите членки трябва да разработят софтуер, за да използват посочените функции за автоматично качване и изтегляне и на големи обеми данни от ИСАК. До този момент държавите членки са извършили четири пъти качване на данни от ИСАК. Две държави членки са в процес на изпитване на автоматичното изтегляне на данни от Arachne. Останалите изтегляния на данни, свързани с разходите по ИСАК и с разходите, които са извън обхвата на ИСАК, са извършени ръчно. </w:t>
      </w:r>
    </w:p>
    <w:p w14:paraId="0CF0777D" w14:textId="4D13BA53" w:rsidR="00D905D6" w:rsidRDefault="517CEC9A" w:rsidP="003A2940">
      <w:pPr>
        <w:pStyle w:val="ListParagraph"/>
        <w:spacing w:line="257" w:lineRule="auto"/>
        <w:ind w:left="0"/>
        <w:jc w:val="both"/>
        <w:rPr>
          <w:rFonts w:ascii="Times New Roman" w:hAnsi="Times New Roman" w:cs="Times New Roman"/>
          <w:noProof/>
        </w:rPr>
      </w:pPr>
      <w:r>
        <w:rPr>
          <w:rFonts w:ascii="Times New Roman" w:hAnsi="Times New Roman"/>
          <w:noProof/>
        </w:rPr>
        <w:t>В някои случаи Arachne може да представлява предизвикателство поради големия брой създадени от него показатели за риск, което затруднява използването му при липсата на задълбочено разбиране на инструмента. Освен това времето, необходимо за генериране на резултатите от инструмента, може да е продължително. След качването на данните резултатите се предоставят ежеседмично. Посоченият срок обаче може да доведе до допълнителни забавяния при процеса за даване на разрешения от страна на разплащателната агенция.</w:t>
      </w:r>
    </w:p>
    <w:p w14:paraId="6EF14EED" w14:textId="77777777" w:rsidR="00F45C04" w:rsidRPr="003A2940" w:rsidRDefault="00F45C04" w:rsidP="003A2940">
      <w:pPr>
        <w:pStyle w:val="ListParagraph"/>
        <w:spacing w:line="257" w:lineRule="auto"/>
        <w:ind w:left="0"/>
        <w:jc w:val="both"/>
        <w:rPr>
          <w:rFonts w:ascii="Times New Roman" w:eastAsia="Aptos" w:hAnsi="Times New Roman" w:cs="Times New Roman"/>
          <w:noProof/>
        </w:rPr>
      </w:pPr>
    </w:p>
    <w:p w14:paraId="0024B6C7" w14:textId="0E4EEAF6" w:rsidR="00D905D6" w:rsidRPr="0044611E" w:rsidRDefault="517CEC9A" w:rsidP="7B2D6861">
      <w:pPr>
        <w:pStyle w:val="Heading1"/>
        <w:rPr>
          <w:rFonts w:eastAsia="Aptos" w:cs="Aptos"/>
          <w:noProof/>
        </w:rPr>
      </w:pPr>
      <w:bookmarkStart w:id="17" w:name="_Toc787074574"/>
      <w:bookmarkStart w:id="18" w:name="_Toc189833024"/>
      <w:r>
        <w:rPr>
          <w:noProof/>
        </w:rPr>
        <w:t>Използване от страна на държавите членки въз основа на проучването: Възможности и предизвикателства</w:t>
      </w:r>
      <w:bookmarkEnd w:id="17"/>
      <w:bookmarkEnd w:id="18"/>
      <w:r>
        <w:rPr>
          <w:noProof/>
        </w:rPr>
        <w:t xml:space="preserve"> </w:t>
      </w:r>
    </w:p>
    <w:p w14:paraId="1B84A4E5" w14:textId="5287876F" w:rsidR="00D905D6" w:rsidRPr="00E05609" w:rsidRDefault="4FD17D5B" w:rsidP="00400D84">
      <w:pPr>
        <w:rPr>
          <w:noProof/>
        </w:rPr>
      </w:pPr>
      <w:r>
        <w:rPr>
          <w:noProof/>
        </w:rPr>
        <w:t>Както вече беше посочено, през периода юли—август 2024 г. Комисията проведе проучване относно използването на Arachne, за да се установи как бъдещите действия по проекта да задоволяват в по-висока степен нуждите на държавите членки.</w:t>
      </w:r>
    </w:p>
    <w:p w14:paraId="2D1B6598" w14:textId="4D87CC36" w:rsidR="008F3595" w:rsidRDefault="00D905D6" w:rsidP="00400D84">
      <w:pPr>
        <w:rPr>
          <w:noProof/>
        </w:rPr>
      </w:pPr>
      <w:r>
        <w:rPr>
          <w:noProof/>
        </w:rPr>
        <w:t xml:space="preserve">Предоставените общо 25 отговора са изготвени или на равнището на държавите членки (представляващи няколко разплащателни агенции), или на равнището на разплащателните агенции. Към настоящия момент използването на Arachne е декларирано от 15 държави членки/разплащателни агенции (60 %). Съгласно вътрешните процедури на 8 от тях (53 %) използването на Arachne е задължително. По отношение на честотата на използване от получените 15 отговора става ясно, че 1 държава членка/разплащателна агенция (7 %) го използва ежедневно, 40 % го използват седмично, а други 2 държави членки/разплащателни агенции — поне веднъж в месеца. </w:t>
      </w:r>
    </w:p>
    <w:p w14:paraId="68DF0DAD" w14:textId="779BF8DB" w:rsidR="002A312F" w:rsidRPr="002B5C30" w:rsidRDefault="30D17310" w:rsidP="2E6B9931">
      <w:pPr>
        <w:keepNext/>
        <w:rPr>
          <w:i/>
          <w:iCs/>
          <w:noProof/>
        </w:rPr>
      </w:pPr>
      <w:r>
        <w:rPr>
          <w:i/>
          <w:noProof/>
        </w:rPr>
        <w:t>Честота на използване на Arachne сред 15 държави членки/разплащателни агенции (ОСП) (</w:t>
      </w:r>
      <w:r w:rsidR="004C6397" w:rsidRPr="2E6B9931">
        <w:rPr>
          <w:rStyle w:val="FootnoteReference"/>
          <w:i/>
          <w:iCs/>
          <w:noProof/>
        </w:rPr>
        <w:footnoteReference w:id="7"/>
      </w:r>
      <w:r>
        <w:rPr>
          <w:i/>
          <w:noProof/>
        </w:rPr>
        <w:t>)</w:t>
      </w:r>
    </w:p>
    <w:p w14:paraId="6A38ADEA" w14:textId="5EE43625" w:rsidR="008F3595" w:rsidRDefault="0073690A" w:rsidP="00400D84">
      <w:pPr>
        <w:rPr>
          <w:noProof/>
        </w:rPr>
      </w:pPr>
      <w:r w:rsidRPr="0073690A">
        <w:rPr>
          <w:noProof/>
          <w:lang w:val="en-GB" w:eastAsia="en-GB"/>
        </w:rPr>
        <w:drawing>
          <wp:inline distT="0" distB="0" distL="0" distR="0" wp14:anchorId="5C541A30" wp14:editId="47AD5009">
            <wp:extent cx="4381500" cy="2545715"/>
            <wp:effectExtent l="0" t="0" r="0" b="6985"/>
            <wp:docPr id="14745137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81500" cy="2545715"/>
                    </a:xfrm>
                    <a:prstGeom prst="rect">
                      <a:avLst/>
                    </a:prstGeom>
                    <a:noFill/>
                    <a:ln>
                      <a:noFill/>
                    </a:ln>
                  </pic:spPr>
                </pic:pic>
              </a:graphicData>
            </a:graphic>
          </wp:inline>
        </w:drawing>
      </w:r>
    </w:p>
    <w:p w14:paraId="4AB6AC4D" w14:textId="5EC77692" w:rsidR="00D905D6" w:rsidRDefault="005D4ADB" w:rsidP="7B2D6861">
      <w:pPr>
        <w:rPr>
          <w:noProof/>
        </w:rPr>
      </w:pPr>
      <w:r>
        <w:rPr>
          <w:noProof/>
        </w:rPr>
        <w:t>По отношение на земеделските фондове на ЕС Arachne се използва предимно от разплащателните агенции. В половината от докладваните случаи обаче Arachne се използва и от сертифициращите органи, които отговарят за сертифицирането на системите за управление и контрол на разплащателните агенции.</w:t>
      </w:r>
    </w:p>
    <w:p w14:paraId="5CFCD64B" w14:textId="77777777" w:rsidR="00D905D6" w:rsidRDefault="00D905D6" w:rsidP="00400D84">
      <w:pPr>
        <w:rPr>
          <w:noProof/>
        </w:rPr>
      </w:pPr>
      <w:r>
        <w:rPr>
          <w:noProof/>
        </w:rPr>
        <w:t xml:space="preserve">27 % от разплащателните агенции, които понастоящем използват Arachne и които са взели участие в проучването, са посочили, че използват инструмента както за разходи, в обхвата на ИСАК, така и за разходи, които са извън обхвата на ИСАК, докато останалите разплащателни агенции го използват единствено за разходи, които са извън обхвата на ИСАК. </w:t>
      </w:r>
    </w:p>
    <w:p w14:paraId="6AB5F0A8" w14:textId="54F6A359" w:rsidR="00D905D6" w:rsidRDefault="00D905D6" w:rsidP="00400D84">
      <w:pPr>
        <w:rPr>
          <w:noProof/>
        </w:rPr>
      </w:pPr>
      <w:r>
        <w:rPr>
          <w:noProof/>
        </w:rPr>
        <w:t>Arachne се използва предимно за откриване на измами, конфликт на интереси и двойно финансиране. Основните показатели,които се използват, са свързани с установяване на връзките между различните заинтересовани страни, концентрацията на помощите, основателността на разходите, както и с други сигнали за неизпълнение на задължения и сигнали за репутация, както и с показатели за МСП и за новосъздадени предприятия.</w:t>
      </w:r>
    </w:p>
    <w:p w14:paraId="37A15BF4" w14:textId="1612DCE9" w:rsidR="004C6397" w:rsidRDefault="2EB0FBD1" w:rsidP="7B2D6861">
      <w:pPr>
        <w:keepNext/>
        <w:rPr>
          <w:noProof/>
        </w:rPr>
      </w:pPr>
      <w:r>
        <w:rPr>
          <w:b/>
          <w:i/>
          <w:noProof/>
        </w:rPr>
        <w:t>Основна цел на използване на Arachne (ОСП) (</w:t>
      </w:r>
      <w:r w:rsidR="004C6397" w:rsidRPr="7B2D6861">
        <w:rPr>
          <w:rStyle w:val="FootnoteReference"/>
          <w:b/>
          <w:bCs/>
          <w:i/>
          <w:iCs/>
          <w:noProof/>
        </w:rPr>
        <w:footnoteReference w:id="8"/>
      </w:r>
      <w:r>
        <w:rPr>
          <w:b/>
          <w:i/>
          <w:noProof/>
        </w:rPr>
        <w:t>)</w:t>
      </w:r>
    </w:p>
    <w:p w14:paraId="0FEC48B0" w14:textId="0BCB7DBA" w:rsidR="002A312F" w:rsidRDefault="006D25F9" w:rsidP="00400D84">
      <w:pPr>
        <w:rPr>
          <w:noProof/>
        </w:rPr>
      </w:pPr>
      <w:r>
        <w:rPr>
          <w:noProof/>
          <w:lang w:val="en-GB" w:eastAsia="en-GB"/>
        </w:rPr>
        <w:drawing>
          <wp:inline distT="0" distB="0" distL="0" distR="0" wp14:anchorId="18A311C7" wp14:editId="365F9960">
            <wp:extent cx="4579315" cy="3273748"/>
            <wp:effectExtent l="0" t="0" r="0" b="0"/>
            <wp:docPr id="1223745958" name="Picture 7" descr="A diagram of a 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45958" name="Picture 7" descr="A diagram of a bar cha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91572" cy="3282511"/>
                    </a:xfrm>
                    <a:prstGeom prst="rect">
                      <a:avLst/>
                    </a:prstGeom>
                  </pic:spPr>
                </pic:pic>
              </a:graphicData>
            </a:graphic>
          </wp:inline>
        </w:drawing>
      </w:r>
    </w:p>
    <w:p w14:paraId="60DE4F12" w14:textId="46A97355" w:rsidR="00D905D6" w:rsidRDefault="00D905D6" w:rsidP="00400D84">
      <w:pPr>
        <w:rPr>
          <w:noProof/>
        </w:rPr>
      </w:pPr>
      <w:r>
        <w:rPr>
          <w:noProof/>
        </w:rPr>
        <w:t>Използващите Arachne разплащателни агенции посочват, че го използват предимно за проверка на условията за допустимост и за получаване на извадка при извършване на контрол на място. Една трета от посочените разплащателни агенции отбелязват, че са установили случаи на нередности и измами въз основа на информация от Arachne, като по-голямата част от тях са удовлетворени от използването му.</w:t>
      </w:r>
    </w:p>
    <w:p w14:paraId="4B8C50E9" w14:textId="43264CF4" w:rsidR="00D905D6" w:rsidRDefault="00D905D6" w:rsidP="00400D84">
      <w:pPr>
        <w:rPr>
          <w:noProof/>
        </w:rPr>
      </w:pPr>
      <w:r>
        <w:rPr>
          <w:noProof/>
        </w:rPr>
        <w:t>Въпреки това използващите Arachne разплащателни агенции са установили няколко аспекта, в които има възможност за подобрение във връзка с удобството на използването му (по-интуитивен интерфейс, функционалности на екраните и информационните табла, подобряване на възможностите за търсене), във връзка с наличността на данни (по-бърз достъп до по-пълни и по-често качвани данни) и с изведените от инструмента резултати (разработване на модула за МСП, подобряване на получените отчети). Като цяло възможността за лесно извличане на данните от Arachne с цел интегриране в системите на разплащателните агенции е ниско оценена, като само половината от използващите Arachne разплащателни агенции са заявили готовност за разработване на софтуер за качване и сваляне на данни от ИСАК.</w:t>
      </w:r>
    </w:p>
    <w:p w14:paraId="6108DFA5" w14:textId="128AEB2C" w:rsidR="00D905D6" w:rsidRDefault="00D905D6" w:rsidP="00400D84">
      <w:pPr>
        <w:rPr>
          <w:noProof/>
        </w:rPr>
      </w:pPr>
      <w:r>
        <w:rPr>
          <w:noProof/>
        </w:rPr>
        <w:t xml:space="preserve">По отношение на разплащателните агенции, посочили, че не използват Arachne, нито една от тях не го е използвала преди, 7 (70 %) от тях предвиждат използването му в бъдеще, като 5 ще го използват както за разходи, в обхвата на ИСАК, така и за разходи, които са извън обхвата на ИСАК. Наличният технически капацитет на разплащателните агенции представлява ограничение за половината от тях, като в някои случаи той е причината използването на Arachne да се предвижда единствено за разходи, които са извън обхвата на ИСАК. </w:t>
      </w:r>
    </w:p>
    <w:p w14:paraId="2C78B773" w14:textId="5A69C5D5" w:rsidR="00D905D6" w:rsidRDefault="00D905D6" w:rsidP="00400D84">
      <w:pPr>
        <w:rPr>
          <w:noProof/>
        </w:rPr>
      </w:pPr>
      <w:r>
        <w:rPr>
          <w:noProof/>
        </w:rPr>
        <w:t xml:space="preserve">Накрая, половината от всички участвали в проучването разплащателни агенции посочват, че на национално равнище използват други инструменти за извличане на данни или че интегрират рисковите фактори в други свои информационни системи. Някои от тези разплащателни агенции подобряват наличността на исторически данни от национално значение за своите инструменти за разлика от Arachne. </w:t>
      </w:r>
    </w:p>
    <w:p w14:paraId="61D7637F" w14:textId="77777777" w:rsidR="004C6397" w:rsidRDefault="004C6397" w:rsidP="00400D84">
      <w:pPr>
        <w:rPr>
          <w:noProof/>
        </w:rPr>
      </w:pPr>
    </w:p>
    <w:p w14:paraId="38BDAD69" w14:textId="45A3240C" w:rsidR="004C6397" w:rsidRPr="002B5C30" w:rsidRDefault="004C6397" w:rsidP="00400D84">
      <w:pPr>
        <w:rPr>
          <w:b/>
          <w:bCs/>
          <w:i/>
          <w:iCs/>
          <w:noProof/>
        </w:rPr>
      </w:pPr>
      <w:r>
        <w:rPr>
          <w:b/>
          <w:i/>
          <w:noProof/>
        </w:rPr>
        <w:t>Обща удовлетвореност от използването на Arachne (ОСП) (</w:t>
      </w:r>
      <w:r>
        <w:rPr>
          <w:rStyle w:val="FootnoteReference"/>
          <w:b/>
          <w:bCs/>
          <w:i/>
          <w:iCs/>
          <w:noProof/>
        </w:rPr>
        <w:footnoteReference w:id="9"/>
      </w:r>
      <w:r>
        <w:rPr>
          <w:b/>
          <w:i/>
          <w:noProof/>
        </w:rPr>
        <w:t>)</w:t>
      </w:r>
    </w:p>
    <w:p w14:paraId="32C99688" w14:textId="3A62728A" w:rsidR="004C6397" w:rsidRDefault="006D25F9" w:rsidP="00400D84">
      <w:pPr>
        <w:rPr>
          <w:noProof/>
        </w:rPr>
      </w:pPr>
      <w:r w:rsidRPr="006D25F9">
        <w:rPr>
          <w:noProof/>
          <w:lang w:val="en-GB" w:eastAsia="en-GB"/>
        </w:rPr>
        <w:drawing>
          <wp:inline distT="0" distB="0" distL="0" distR="0" wp14:anchorId="28F23F7F" wp14:editId="35E3EEE4">
            <wp:extent cx="5472430" cy="1925320"/>
            <wp:effectExtent l="0" t="0" r="0" b="0"/>
            <wp:docPr id="2414218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72430" cy="192532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7848"/>
        <w:gridCol w:w="754"/>
      </w:tblGrid>
      <w:tr w:rsidR="006D25F9" w:rsidRPr="006D25F9" w14:paraId="22AE6E75" w14:textId="77777777" w:rsidTr="006D25F9">
        <w:trPr>
          <w:trHeight w:val="300"/>
        </w:trPr>
        <w:tc>
          <w:tcPr>
            <w:tcW w:w="10780" w:type="dxa"/>
            <w:noWrap/>
            <w:hideMark/>
          </w:tcPr>
          <w:p w14:paraId="0E936214" w14:textId="7BE950AA" w:rsidR="006D25F9" w:rsidRPr="006D25F9" w:rsidRDefault="006D25F9" w:rsidP="006D25F9">
            <w:pPr>
              <w:rPr>
                <w:noProof/>
              </w:rPr>
            </w:pPr>
            <w:r w:rsidRPr="000D0AF4">
              <w:rPr>
                <w:noProof/>
              </w:rPr>
              <w:t xml:space="preserve">1. </w:t>
            </w:r>
            <w:r w:rsidRPr="006D25F9">
              <w:rPr>
                <w:noProof/>
              </w:rPr>
              <w:t>Удовлетвореност от използването на Arachne</w:t>
            </w:r>
          </w:p>
        </w:tc>
        <w:tc>
          <w:tcPr>
            <w:tcW w:w="960" w:type="dxa"/>
            <w:noWrap/>
            <w:hideMark/>
          </w:tcPr>
          <w:p w14:paraId="4726483F" w14:textId="77777777" w:rsidR="006D25F9" w:rsidRPr="006D25F9" w:rsidRDefault="006D25F9" w:rsidP="006D25F9">
            <w:pPr>
              <w:rPr>
                <w:noProof/>
              </w:rPr>
            </w:pPr>
            <w:r w:rsidRPr="006D25F9">
              <w:rPr>
                <w:noProof/>
              </w:rPr>
              <w:t>6.4</w:t>
            </w:r>
          </w:p>
        </w:tc>
      </w:tr>
      <w:tr w:rsidR="006D25F9" w:rsidRPr="006D25F9" w14:paraId="5886EDAD" w14:textId="77777777" w:rsidTr="006D25F9">
        <w:trPr>
          <w:trHeight w:val="300"/>
        </w:trPr>
        <w:tc>
          <w:tcPr>
            <w:tcW w:w="10780" w:type="dxa"/>
            <w:noWrap/>
            <w:hideMark/>
          </w:tcPr>
          <w:p w14:paraId="18D0429E" w14:textId="3098E3D6" w:rsidR="006D25F9" w:rsidRPr="006D25F9" w:rsidRDefault="006D25F9" w:rsidP="006D25F9">
            <w:pPr>
              <w:rPr>
                <w:noProof/>
              </w:rPr>
            </w:pPr>
            <w:r w:rsidRPr="000D0AF4">
              <w:rPr>
                <w:noProof/>
              </w:rPr>
              <w:t xml:space="preserve">2. </w:t>
            </w:r>
            <w:r w:rsidRPr="006D25F9">
              <w:rPr>
                <w:noProof/>
              </w:rPr>
              <w:t>Удовлетвореност от помощта от екипа на Arachne</w:t>
            </w:r>
          </w:p>
        </w:tc>
        <w:tc>
          <w:tcPr>
            <w:tcW w:w="960" w:type="dxa"/>
            <w:noWrap/>
            <w:hideMark/>
          </w:tcPr>
          <w:p w14:paraId="08985F26" w14:textId="77777777" w:rsidR="006D25F9" w:rsidRPr="006D25F9" w:rsidRDefault="006D25F9" w:rsidP="006D25F9">
            <w:pPr>
              <w:rPr>
                <w:noProof/>
              </w:rPr>
            </w:pPr>
            <w:r w:rsidRPr="006D25F9">
              <w:rPr>
                <w:noProof/>
              </w:rPr>
              <w:t>7.0</w:t>
            </w:r>
          </w:p>
        </w:tc>
      </w:tr>
      <w:tr w:rsidR="006D25F9" w:rsidRPr="006D25F9" w14:paraId="3716939B" w14:textId="77777777" w:rsidTr="006D25F9">
        <w:trPr>
          <w:trHeight w:val="300"/>
        </w:trPr>
        <w:tc>
          <w:tcPr>
            <w:tcW w:w="10780" w:type="dxa"/>
            <w:noWrap/>
            <w:hideMark/>
          </w:tcPr>
          <w:p w14:paraId="4B58DA84" w14:textId="7C79F284" w:rsidR="006D25F9" w:rsidRPr="006D25F9" w:rsidRDefault="006D25F9" w:rsidP="006D25F9">
            <w:pPr>
              <w:rPr>
                <w:noProof/>
              </w:rPr>
            </w:pPr>
            <w:r w:rsidRPr="000D0AF4">
              <w:rPr>
                <w:noProof/>
              </w:rPr>
              <w:t xml:space="preserve">3. </w:t>
            </w:r>
            <w:r w:rsidRPr="006D25F9">
              <w:rPr>
                <w:noProof/>
              </w:rPr>
              <w:t>Оценка на оперативната съвместимост на Arachne със системите на разплащателните агенции</w:t>
            </w:r>
          </w:p>
        </w:tc>
        <w:tc>
          <w:tcPr>
            <w:tcW w:w="960" w:type="dxa"/>
            <w:noWrap/>
            <w:hideMark/>
          </w:tcPr>
          <w:p w14:paraId="2AC3DD89" w14:textId="77777777" w:rsidR="006D25F9" w:rsidRPr="006D25F9" w:rsidRDefault="006D25F9" w:rsidP="006D25F9">
            <w:pPr>
              <w:rPr>
                <w:noProof/>
              </w:rPr>
            </w:pPr>
            <w:r w:rsidRPr="006D25F9">
              <w:rPr>
                <w:noProof/>
              </w:rPr>
              <w:t>3.6</w:t>
            </w:r>
          </w:p>
        </w:tc>
      </w:tr>
    </w:tbl>
    <w:p w14:paraId="2D1B1BF3" w14:textId="04508131" w:rsidR="004C6397" w:rsidRDefault="004C6397" w:rsidP="00400D84">
      <w:pPr>
        <w:rPr>
          <w:noProof/>
        </w:rPr>
      </w:pPr>
    </w:p>
    <w:p w14:paraId="2E228FF2" w14:textId="2F7B903F" w:rsidR="00D905D6" w:rsidRDefault="00D905D6" w:rsidP="00400D84">
      <w:pPr>
        <w:rPr>
          <w:noProof/>
        </w:rPr>
      </w:pPr>
      <w:r>
        <w:rPr>
          <w:noProof/>
        </w:rPr>
        <w:t xml:space="preserve">Посочените обобщени резултати дават възможност за по-задълбочено разбиране на предизвикателствата и пречките, пред които са изправени държавите членки при използването на Arachne за земеделските фондове на ЕС. По някои от посочените въпроси вече се работи или в рамките на проекта на Комисията, свързан с инструмента Arachne (напр. подобряване на интерфейса, увеличаване на функционалността, ефективността на качване на данни или подобряване на докладите на Arachne), или чрез текущо осъществяваната от Комисията разработка на Arachne (напр. модула за МСП). </w:t>
      </w:r>
    </w:p>
    <w:p w14:paraId="7EF8F03B" w14:textId="0B1C1C95" w:rsidR="00D905D6" w:rsidRDefault="00D905D6" w:rsidP="00400D84">
      <w:pPr>
        <w:rPr>
          <w:noProof/>
        </w:rPr>
      </w:pPr>
      <w:r>
        <w:rPr>
          <w:noProof/>
        </w:rPr>
        <w:t>Въпросите, свързани с оперативната съвместимост и техническия капацитет, са установени като съществени пречки, с които държавите членки и ГД „Земеделие и развитие на селските райони“ трябва да се справят, за да стане възможно ефективното използване на Arachne (вж. също допълнителен анализ по този въпрос в глава 5). Това представлява приоритет и за Комисията, който е установен в член 36, параграф 6 от Регламент (ЕС, Евратом) 2024/2509 на Европейския парламент и на Съвета  (</w:t>
      </w:r>
      <w:r w:rsidR="00702D84">
        <w:rPr>
          <w:rStyle w:val="FootnoteReference"/>
          <w:noProof/>
        </w:rPr>
        <w:footnoteReference w:id="10"/>
      </w:r>
      <w:r>
        <w:rPr>
          <w:noProof/>
        </w:rPr>
        <w:t>).</w:t>
      </w:r>
    </w:p>
    <w:p w14:paraId="2F2505EA" w14:textId="6CBB4CBB" w:rsidR="00D905D6" w:rsidRDefault="00D905D6" w:rsidP="00400D84">
      <w:pPr>
        <w:spacing w:after="0"/>
        <w:rPr>
          <w:noProof/>
        </w:rPr>
      </w:pPr>
      <w:r>
        <w:rPr>
          <w:noProof/>
        </w:rPr>
        <w:t>В същото време в резултатите от проучването ясно проличава положителното послание спрямо настоящата полезност и удовлетвореност от използването на Arachne. Този аспект ще претърпи значително подобрение чрез задължителното предоставяне на данни, което също се предвижда в регламента, както е посочено по-горе. Наличието на информация от всички държави членки значително ще обогати инструмента на Комисията за извличане на данни и ще доведе до справяне със свързаните с непълни и неактуализирани данни проблеми, пред които са изправени разплащателните агенции. Очаква се този „благоприятен кръг“ да насърчи по-широкото използване от страна на държавите членки както за разходи, които са в обхвата на ИСАК, така и за разходи, които са извън обхвата на ИСАК. В съответствие с посочената разпоредба и с резултатите от проучването Комисията приоритетно ще работи в тясно сътрудничество с разплащателните агенции, за да проучи потенциалните функционалности на Arachne за разходите, които са в обхвата на ИСАК, и да насърчи оперативната съвместимост на националните системи с инструмента на Комисията за извличане на данни.</w:t>
      </w:r>
    </w:p>
    <w:p w14:paraId="0D6A08EF" w14:textId="77777777" w:rsidR="00862B78" w:rsidRDefault="00862B78" w:rsidP="00400D84">
      <w:pPr>
        <w:spacing w:after="0"/>
        <w:rPr>
          <w:noProof/>
        </w:rPr>
      </w:pPr>
    </w:p>
    <w:p w14:paraId="3A60ACDD" w14:textId="2006E4FA" w:rsidR="00D905D6" w:rsidRPr="0044611E" w:rsidRDefault="517CEC9A" w:rsidP="7B2D6861">
      <w:pPr>
        <w:pStyle w:val="Heading1"/>
        <w:rPr>
          <w:rFonts w:eastAsia="Aptos" w:cs="Aptos"/>
          <w:noProof/>
        </w:rPr>
      </w:pPr>
      <w:bookmarkStart w:id="20" w:name="_Toc1507682177"/>
      <w:bookmarkStart w:id="21" w:name="_Toc189833025"/>
      <w:r>
        <w:rPr>
          <w:noProof/>
        </w:rPr>
        <w:t>Оценка на оперативната съвместимост</w:t>
      </w:r>
      <w:bookmarkEnd w:id="20"/>
      <w:bookmarkEnd w:id="21"/>
      <w:r>
        <w:rPr>
          <w:noProof/>
        </w:rPr>
        <w:t xml:space="preserve"> </w:t>
      </w:r>
    </w:p>
    <w:p w14:paraId="29D45F5F" w14:textId="6610A25E" w:rsidR="00D905D6" w:rsidRPr="00F45C04" w:rsidRDefault="517CEC9A" w:rsidP="00F45C04">
      <w:pPr>
        <w:pStyle w:val="Heading2"/>
        <w:rPr>
          <w:noProof/>
        </w:rPr>
      </w:pPr>
      <w:bookmarkStart w:id="22" w:name="_Toc181571943"/>
      <w:bookmarkStart w:id="23" w:name="_Toc705784225"/>
      <w:bookmarkStart w:id="24" w:name="_Toc189833026"/>
      <w:bookmarkEnd w:id="22"/>
      <w:r>
        <w:rPr>
          <w:noProof/>
        </w:rPr>
        <w:t>Техническа оперативна съвместимост</w:t>
      </w:r>
      <w:bookmarkEnd w:id="23"/>
      <w:bookmarkEnd w:id="24"/>
      <w:r>
        <w:rPr>
          <w:noProof/>
        </w:rPr>
        <w:t xml:space="preserve"> </w:t>
      </w:r>
    </w:p>
    <w:p w14:paraId="536F716A" w14:textId="77777777" w:rsidR="00D905D6" w:rsidRDefault="00D905D6" w:rsidP="00400D84">
      <w:pPr>
        <w:spacing w:after="0"/>
        <w:rPr>
          <w:rFonts w:eastAsia="Aptos" w:cs="Aptos"/>
          <w:noProof/>
        </w:rPr>
      </w:pPr>
      <w:r>
        <w:rPr>
          <w:noProof/>
        </w:rPr>
        <w:t>Arachne е проектиран за обмен на данни с други системи и източници на данни чрез формата XML. Посоченият формат е широко използван и приет, което улеснява интегрирането на инструмента в други системи. Техническата архитектура на инструмента дава възможност за предаване на полета за данни в съответствие с необходимия обхват на Arachne.</w:t>
      </w:r>
    </w:p>
    <w:p w14:paraId="755EDE79" w14:textId="77777777" w:rsidR="00D905D6" w:rsidRDefault="00D905D6" w:rsidP="00400D84">
      <w:pPr>
        <w:spacing w:after="0"/>
        <w:rPr>
          <w:noProof/>
        </w:rPr>
      </w:pPr>
      <w:r>
        <w:rPr>
          <w:noProof/>
        </w:rPr>
        <w:t xml:space="preserve"> </w:t>
      </w:r>
    </w:p>
    <w:p w14:paraId="5389C888" w14:textId="44A11438" w:rsidR="00D905D6" w:rsidRDefault="00D905D6" w:rsidP="00400D84">
      <w:pPr>
        <w:spacing w:after="0"/>
        <w:rPr>
          <w:noProof/>
        </w:rPr>
      </w:pPr>
      <w:r>
        <w:rPr>
          <w:noProof/>
        </w:rPr>
        <w:t>Способността на инструмента да взаимодейства с други системи и източници на данни е допълнително подобрена чрез предоставяната от службите на Комисията техническа помощ за първоначалното инсталиране на инструмента за оценка на риска Arachne, както и техническа помощ за осигуряване на възможността разплащателната агенция да изпраща данни в необходимия формат XML.</w:t>
      </w:r>
    </w:p>
    <w:p w14:paraId="67DEFDEB" w14:textId="77777777" w:rsidR="00D905D6" w:rsidRDefault="00D905D6" w:rsidP="00400D84">
      <w:pPr>
        <w:spacing w:after="0"/>
        <w:rPr>
          <w:rFonts w:eastAsia="Aptos" w:cs="Aptos"/>
          <w:noProof/>
        </w:rPr>
      </w:pPr>
    </w:p>
    <w:p w14:paraId="70C00B84" w14:textId="0AE0E530" w:rsidR="00D905D6" w:rsidRPr="00F45C04" w:rsidRDefault="0F640502" w:rsidP="00F45C04">
      <w:pPr>
        <w:pStyle w:val="Heading2"/>
        <w:rPr>
          <w:noProof/>
        </w:rPr>
      </w:pPr>
      <w:bookmarkStart w:id="25" w:name="_Toc329005940"/>
      <w:bookmarkStart w:id="26" w:name="_Toc189833027"/>
      <w:r>
        <w:rPr>
          <w:noProof/>
        </w:rPr>
        <w:t>Семантична оперативна съвместимост</w:t>
      </w:r>
      <w:bookmarkEnd w:id="25"/>
      <w:bookmarkEnd w:id="26"/>
      <w:r>
        <w:rPr>
          <w:noProof/>
        </w:rPr>
        <w:t xml:space="preserve"> </w:t>
      </w:r>
    </w:p>
    <w:p w14:paraId="591CF096" w14:textId="050ACDB6" w:rsidR="00D905D6" w:rsidRDefault="00D905D6" w:rsidP="00400D84">
      <w:pPr>
        <w:spacing w:after="0"/>
        <w:rPr>
          <w:rFonts w:eastAsia="Aptos" w:cs="Aptos"/>
          <w:noProof/>
        </w:rPr>
      </w:pPr>
      <w:r>
        <w:rPr>
          <w:noProof/>
        </w:rPr>
        <w:t>Способността на Arachne да разбира и тълкува данни от различни източници е от ключово значение за ефективното му използване. При анализа на данните инструментът използва подход за оценка на риска, който изисква хармонизиране и стандартизиране на данните от различни източници.</w:t>
      </w:r>
    </w:p>
    <w:p w14:paraId="46469291" w14:textId="77777777" w:rsidR="00D905D6" w:rsidRDefault="00D905D6" w:rsidP="00400D84">
      <w:pPr>
        <w:spacing w:after="0"/>
        <w:rPr>
          <w:noProof/>
        </w:rPr>
      </w:pPr>
      <w:r>
        <w:rPr>
          <w:noProof/>
        </w:rPr>
        <w:t xml:space="preserve"> </w:t>
      </w:r>
    </w:p>
    <w:p w14:paraId="1C71A9FB" w14:textId="77777777" w:rsidR="00D905D6" w:rsidRPr="001B59A1" w:rsidRDefault="00D905D6" w:rsidP="00400D84">
      <w:pPr>
        <w:spacing w:after="0"/>
        <w:rPr>
          <w:noProof/>
          <w:szCs w:val="24"/>
        </w:rPr>
      </w:pPr>
      <w:r>
        <w:rPr>
          <w:noProof/>
        </w:rPr>
        <w:t>Семантичната оперативна съвместимост на инструмента се улеснява от използването на външни източници на данни — Orbis, списъци със санкции, както и World Compliance. Посочените източници на данни са официално публикувани и публично достъпни, което гарантира високо ниво на качество и надеждност на данните.</w:t>
      </w:r>
    </w:p>
    <w:p w14:paraId="4F92CBD6" w14:textId="77777777" w:rsidR="00D905D6" w:rsidRPr="001B59A1" w:rsidRDefault="00D905D6" w:rsidP="00400D84">
      <w:pPr>
        <w:spacing w:after="0"/>
        <w:rPr>
          <w:noProof/>
          <w:szCs w:val="24"/>
        </w:rPr>
      </w:pPr>
      <w:r>
        <w:rPr>
          <w:noProof/>
        </w:rPr>
        <w:t xml:space="preserve"> </w:t>
      </w:r>
    </w:p>
    <w:p w14:paraId="4DA2BFC9" w14:textId="6C38D229" w:rsidR="00D905D6" w:rsidRDefault="00D905D6" w:rsidP="00400D84">
      <w:pPr>
        <w:spacing w:after="0"/>
        <w:rPr>
          <w:noProof/>
        </w:rPr>
      </w:pPr>
      <w:r>
        <w:rPr>
          <w:noProof/>
        </w:rPr>
        <w:t>Службите на Комисията са създали и специален уебсайт (</w:t>
      </w:r>
      <w:r w:rsidRPr="71D8D88C">
        <w:rPr>
          <w:rStyle w:val="FootnoteReference"/>
          <w:rFonts w:eastAsia="Aptos" w:cs="Aptos"/>
          <w:noProof/>
        </w:rPr>
        <w:footnoteReference w:id="11"/>
      </w:r>
      <w:r>
        <w:rPr>
          <w:noProof/>
        </w:rPr>
        <w:t>), на който се обясняват процесът и целта на анализа на данни и в който е включена информация относно защитата на данните и правата на субектите на данни. Посоченият уебсайт осигурява общо разбиране на данните, използвани в инструмента, като улеснява хармонизирането и стандартизирането на данни от различни източници.</w:t>
      </w:r>
    </w:p>
    <w:p w14:paraId="77A46333" w14:textId="77777777" w:rsidR="00D905D6" w:rsidRDefault="00D905D6" w:rsidP="00400D84">
      <w:pPr>
        <w:spacing w:after="0"/>
        <w:rPr>
          <w:noProof/>
        </w:rPr>
      </w:pPr>
      <w:r>
        <w:rPr>
          <w:noProof/>
        </w:rPr>
        <w:t xml:space="preserve"> </w:t>
      </w:r>
    </w:p>
    <w:p w14:paraId="787E8BEB" w14:textId="77777777" w:rsidR="00D905D6" w:rsidRDefault="00D905D6" w:rsidP="00400D84">
      <w:pPr>
        <w:spacing w:after="0"/>
        <w:rPr>
          <w:noProof/>
        </w:rPr>
      </w:pPr>
      <w:r>
        <w:rPr>
          <w:noProof/>
        </w:rPr>
        <w:t>Въпреки това семантичната оперативна съвместимост на инструмента може да бъде допълнително подобрена чрез разработването на общи стандарти и формати за обмен на данни между различни системи и източници на данни. Това би улеснило интегрирането на инструмента в други системи и би гарантирало последователността и точността на данните, използвани в подхода за оценка на риска.</w:t>
      </w:r>
    </w:p>
    <w:p w14:paraId="29CAA1E5" w14:textId="77777777" w:rsidR="00D905D6" w:rsidRDefault="00D905D6" w:rsidP="00400D84">
      <w:pPr>
        <w:spacing w:after="0"/>
        <w:rPr>
          <w:noProof/>
        </w:rPr>
      </w:pPr>
      <w:r>
        <w:rPr>
          <w:noProof/>
        </w:rPr>
        <w:t xml:space="preserve"> </w:t>
      </w:r>
    </w:p>
    <w:p w14:paraId="5DB19AD7" w14:textId="77777777" w:rsidR="00D905D6" w:rsidRDefault="00D905D6" w:rsidP="00400D84">
      <w:pPr>
        <w:spacing w:after="0"/>
        <w:rPr>
          <w:noProof/>
        </w:rPr>
      </w:pPr>
      <w:r>
        <w:rPr>
          <w:noProof/>
        </w:rPr>
        <w:t>Като цяло инструментът за оценка на риска Arachne доказва своето добро ниво на техническа и семантична оперативна съвместимост.</w:t>
      </w:r>
    </w:p>
    <w:p w14:paraId="018E2358" w14:textId="77777777" w:rsidR="00D905D6" w:rsidRDefault="00D905D6" w:rsidP="00400D84">
      <w:pPr>
        <w:spacing w:after="0"/>
        <w:rPr>
          <w:rFonts w:eastAsia="Aptos" w:cs="Aptos"/>
          <w:noProof/>
        </w:rPr>
      </w:pPr>
    </w:p>
    <w:p w14:paraId="44EE9666" w14:textId="20114629" w:rsidR="00D905D6" w:rsidRPr="00F45C04" w:rsidRDefault="517CEC9A" w:rsidP="00F45C04">
      <w:pPr>
        <w:pStyle w:val="Heading2"/>
        <w:rPr>
          <w:noProof/>
        </w:rPr>
      </w:pPr>
      <w:bookmarkStart w:id="27" w:name="_Toc1331098484"/>
      <w:bookmarkStart w:id="28" w:name="_Toc189833028"/>
      <w:r>
        <w:rPr>
          <w:noProof/>
        </w:rPr>
        <w:t>Организационна оперативна съвместимост</w:t>
      </w:r>
      <w:bookmarkEnd w:id="27"/>
      <w:bookmarkEnd w:id="28"/>
    </w:p>
    <w:p w14:paraId="100CA013" w14:textId="77777777" w:rsidR="00D905D6" w:rsidRDefault="00D905D6" w:rsidP="00400D84">
      <w:pPr>
        <w:spacing w:after="0"/>
        <w:rPr>
          <w:rFonts w:eastAsia="Aptos" w:cs="Aptos"/>
          <w:noProof/>
          <w:lang w:val="it-IT"/>
        </w:rPr>
      </w:pPr>
    </w:p>
    <w:p w14:paraId="4F65AFC0" w14:textId="77777777" w:rsidR="00D905D6" w:rsidRDefault="00D905D6" w:rsidP="00400D84">
      <w:pPr>
        <w:spacing w:after="0"/>
        <w:rPr>
          <w:rFonts w:eastAsia="Aptos" w:cs="Aptos"/>
          <w:noProof/>
        </w:rPr>
      </w:pPr>
      <w:r>
        <w:rPr>
          <w:noProof/>
        </w:rPr>
        <w:t>Интегрирането на Arachne в съществуващите работни потоци и процеси е от решаващо значение за ефективното му приемане и използване от управляващите органи. В този раздел се оценява организационната оперативна съвместимост на инструмента и се установяват всички пречки от организационен или културен характер, които възпрепятстват приемането му.</w:t>
      </w:r>
    </w:p>
    <w:p w14:paraId="0B143118" w14:textId="77777777" w:rsidR="00D905D6" w:rsidRDefault="00D905D6" w:rsidP="00400D84">
      <w:pPr>
        <w:spacing w:after="0"/>
        <w:rPr>
          <w:rFonts w:eastAsia="Aptos" w:cs="Aptos"/>
          <w:noProof/>
        </w:rPr>
      </w:pPr>
      <w:r>
        <w:rPr>
          <w:noProof/>
        </w:rPr>
        <w:t xml:space="preserve"> </w:t>
      </w:r>
    </w:p>
    <w:p w14:paraId="20AC1F1E" w14:textId="0FC5A397" w:rsidR="00D905D6" w:rsidRDefault="00D905D6" w:rsidP="00400D84">
      <w:pPr>
        <w:spacing w:after="0"/>
        <w:rPr>
          <w:rFonts w:eastAsia="Aptos" w:cs="Aptos"/>
          <w:i/>
          <w:iCs/>
          <w:noProof/>
        </w:rPr>
      </w:pPr>
      <w:r>
        <w:rPr>
          <w:i/>
          <w:noProof/>
        </w:rPr>
        <w:t>Интеграция в съществуващите работни потоци и процеси</w:t>
      </w:r>
    </w:p>
    <w:p w14:paraId="06327A9F" w14:textId="77777777" w:rsidR="00D905D6" w:rsidRDefault="00D905D6" w:rsidP="00400D84">
      <w:pPr>
        <w:spacing w:after="0"/>
        <w:rPr>
          <w:rFonts w:eastAsia="Aptos" w:cs="Aptos"/>
          <w:noProof/>
        </w:rPr>
      </w:pPr>
      <w:r>
        <w:rPr>
          <w:noProof/>
        </w:rPr>
        <w:t xml:space="preserve"> </w:t>
      </w:r>
    </w:p>
    <w:p w14:paraId="5996EC7E" w14:textId="6DD3EAD4" w:rsidR="00D905D6" w:rsidRDefault="00D905D6" w:rsidP="00400D84">
      <w:pPr>
        <w:spacing w:after="0"/>
        <w:rPr>
          <w:rFonts w:eastAsia="Aptos" w:cs="Aptos"/>
          <w:noProof/>
        </w:rPr>
      </w:pPr>
      <w:r>
        <w:rPr>
          <w:noProof/>
        </w:rPr>
        <w:t>Arachne е предназначен за подпомагане на разплащателните агенции в техните процеси на проверки на управлението, както е посочено в член 125, параграф 4, буква в) от Регламент (ЕС) № 1303/2013 на Европейския парламент и на Съвета (</w:t>
      </w:r>
      <w:r w:rsidR="00CB605B">
        <w:rPr>
          <w:rStyle w:val="FootnoteReference"/>
          <w:rFonts w:eastAsia="Aptos" w:cs="Aptos"/>
          <w:noProof/>
        </w:rPr>
        <w:footnoteReference w:id="12"/>
      </w:r>
      <w:r>
        <w:rPr>
          <w:noProof/>
        </w:rPr>
        <w:t>). Интегрирането на инструмента в съществуващите работни потоци и процеси се улеснява от службите на Комисията, предоставящи на разплащателните агенции помощ и насоки.</w:t>
      </w:r>
    </w:p>
    <w:p w14:paraId="0DFB8999" w14:textId="77777777" w:rsidR="00D905D6" w:rsidRDefault="00D905D6" w:rsidP="00400D84">
      <w:pPr>
        <w:spacing w:after="0"/>
        <w:rPr>
          <w:rFonts w:eastAsia="Aptos" w:cs="Aptos"/>
          <w:noProof/>
        </w:rPr>
      </w:pPr>
      <w:r>
        <w:rPr>
          <w:noProof/>
        </w:rPr>
        <w:t xml:space="preserve"> </w:t>
      </w:r>
    </w:p>
    <w:p w14:paraId="05DA74AC" w14:textId="658E0D60" w:rsidR="00D905D6" w:rsidRDefault="00D905D6" w:rsidP="00400D84">
      <w:pPr>
        <w:spacing w:after="0"/>
        <w:rPr>
          <w:rFonts w:eastAsia="Aptos" w:cs="Aptos"/>
          <w:noProof/>
        </w:rPr>
      </w:pPr>
      <w:r>
        <w:rPr>
          <w:noProof/>
        </w:rPr>
        <w:t>Целта на наръчника и материалите за обучение, свързани с инструмента, е да подпомогнат разплащателните агенции в интегрирането на инструмента в техните съществуващи работни потоци и процеси. Службите на Комисията също така непрекъснато предоставят помощ за улесняване на ефективното използване на инструмента, включително съвети за това как инструментът да бъде интегриран в ежедневните процеси на проверки на управлението.</w:t>
      </w:r>
    </w:p>
    <w:p w14:paraId="28BAA5E7" w14:textId="77777777" w:rsidR="00D905D6" w:rsidRDefault="00D905D6" w:rsidP="00400D84">
      <w:pPr>
        <w:spacing w:after="0"/>
        <w:rPr>
          <w:rFonts w:eastAsia="Aptos" w:cs="Aptos"/>
          <w:noProof/>
        </w:rPr>
      </w:pPr>
      <w:r>
        <w:rPr>
          <w:noProof/>
        </w:rPr>
        <w:t xml:space="preserve"> </w:t>
      </w:r>
    </w:p>
    <w:p w14:paraId="1B7B6A55" w14:textId="1F812FF5" w:rsidR="00D905D6" w:rsidRDefault="00D905D6" w:rsidP="00400D84">
      <w:pPr>
        <w:spacing w:after="0"/>
        <w:rPr>
          <w:rFonts w:eastAsia="Aptos" w:cs="Aptos"/>
          <w:i/>
          <w:iCs/>
          <w:noProof/>
        </w:rPr>
      </w:pPr>
      <w:r>
        <w:rPr>
          <w:i/>
          <w:noProof/>
        </w:rPr>
        <w:t>Пречки от организационен или културен характер, възпрепятстващи приемането</w:t>
      </w:r>
    </w:p>
    <w:p w14:paraId="68AB096E" w14:textId="77777777" w:rsidR="00D905D6" w:rsidRDefault="00D905D6" w:rsidP="00400D84">
      <w:pPr>
        <w:spacing w:after="0"/>
        <w:rPr>
          <w:rFonts w:eastAsia="Aptos" w:cs="Aptos"/>
          <w:noProof/>
        </w:rPr>
      </w:pPr>
      <w:r>
        <w:rPr>
          <w:noProof/>
        </w:rPr>
        <w:t xml:space="preserve"> </w:t>
      </w:r>
    </w:p>
    <w:p w14:paraId="0495B6E7" w14:textId="069EC50E" w:rsidR="00D905D6" w:rsidRDefault="00D905D6" w:rsidP="00400D84">
      <w:pPr>
        <w:spacing w:after="0"/>
        <w:rPr>
          <w:rFonts w:eastAsia="Aptos" w:cs="Aptos"/>
          <w:noProof/>
        </w:rPr>
      </w:pPr>
      <w:r>
        <w:rPr>
          <w:noProof/>
        </w:rPr>
        <w:t>Възможно е да съществуват пречки от организационен или културен характер, възпрепятстващи приемането на инструмента, въпреки неговия дизайн и наличието на помощ при интегрирането му в съществуващите работни потоци и процеси Възможно е например разплащателните агенции да се наложи да адаптират своите съществуващи работни потоци и процеси, за да пасват на начина по който, инструментът измерва риска.</w:t>
      </w:r>
    </w:p>
    <w:p w14:paraId="7E966BA5" w14:textId="77777777" w:rsidR="00D905D6" w:rsidRDefault="00D905D6" w:rsidP="00400D84">
      <w:pPr>
        <w:spacing w:after="0"/>
        <w:rPr>
          <w:rFonts w:eastAsia="Aptos" w:cs="Aptos"/>
          <w:noProof/>
        </w:rPr>
      </w:pPr>
      <w:r>
        <w:rPr>
          <w:noProof/>
        </w:rPr>
        <w:t xml:space="preserve"> </w:t>
      </w:r>
    </w:p>
    <w:p w14:paraId="6BAC8DD4" w14:textId="30D931D5" w:rsidR="00D905D6" w:rsidRDefault="00D905D6" w:rsidP="00400D84">
      <w:pPr>
        <w:spacing w:after="0"/>
        <w:rPr>
          <w:rFonts w:eastAsia="Aptos" w:cs="Aptos"/>
          <w:noProof/>
        </w:rPr>
      </w:pPr>
      <w:r>
        <w:rPr>
          <w:noProof/>
        </w:rPr>
        <w:t xml:space="preserve">Освен това е възможно използването на инструмента да изисква промени в организационната култура на разплащателните агенции, като например отделяне на повече внимание върху управлението на риска и вземането на решения въз основа на данни. </w:t>
      </w:r>
    </w:p>
    <w:p w14:paraId="55C9E5A4" w14:textId="77777777" w:rsidR="00D905D6" w:rsidRDefault="00D905D6" w:rsidP="00400D84">
      <w:pPr>
        <w:spacing w:after="0"/>
        <w:rPr>
          <w:rFonts w:eastAsia="Aptos" w:cs="Aptos"/>
          <w:noProof/>
        </w:rPr>
      </w:pPr>
      <w:r>
        <w:rPr>
          <w:noProof/>
        </w:rPr>
        <w:t xml:space="preserve"> </w:t>
      </w:r>
    </w:p>
    <w:p w14:paraId="3D7BA683" w14:textId="6FFD849C" w:rsidR="00D905D6" w:rsidRDefault="00D905D6" w:rsidP="00400D84">
      <w:pPr>
        <w:spacing w:after="0"/>
        <w:rPr>
          <w:rFonts w:eastAsia="Aptos" w:cs="Aptos"/>
          <w:i/>
          <w:iCs/>
          <w:noProof/>
        </w:rPr>
      </w:pPr>
      <w:r>
        <w:rPr>
          <w:i/>
          <w:noProof/>
        </w:rPr>
        <w:t>Ползи от приемането</w:t>
      </w:r>
    </w:p>
    <w:p w14:paraId="4BAFB293" w14:textId="77777777" w:rsidR="00D905D6" w:rsidRDefault="00D905D6" w:rsidP="00400D84">
      <w:pPr>
        <w:spacing w:after="0"/>
        <w:rPr>
          <w:rFonts w:eastAsia="Aptos" w:cs="Aptos"/>
          <w:noProof/>
        </w:rPr>
      </w:pPr>
      <w:r>
        <w:rPr>
          <w:noProof/>
        </w:rPr>
        <w:t xml:space="preserve"> </w:t>
      </w:r>
    </w:p>
    <w:p w14:paraId="2E629A14" w14:textId="428958D9" w:rsidR="00D905D6" w:rsidRDefault="00D905D6" w:rsidP="00400D84">
      <w:pPr>
        <w:spacing w:after="0"/>
        <w:rPr>
          <w:rFonts w:eastAsia="Aptos" w:cs="Aptos"/>
          <w:noProof/>
        </w:rPr>
      </w:pPr>
      <w:r>
        <w:rPr>
          <w:noProof/>
        </w:rPr>
        <w:t>Въпреки потенциалните пречки пред приемането на Arachne, с него разплащателните агенции получават редица предимства, включително:</w:t>
      </w:r>
    </w:p>
    <w:p w14:paraId="17BDC197" w14:textId="77777777" w:rsidR="00D905D6" w:rsidRDefault="00D905D6" w:rsidP="003C442D">
      <w:pPr>
        <w:pStyle w:val="ListDash2"/>
        <w:rPr>
          <w:rFonts w:eastAsia="Aptos"/>
          <w:noProof/>
        </w:rPr>
      </w:pPr>
      <w:r>
        <w:rPr>
          <w:noProof/>
        </w:rPr>
        <w:t xml:space="preserve">подобрена ефективност и ефикасност на процесите за проверка на управлението; </w:t>
      </w:r>
    </w:p>
    <w:p w14:paraId="65B88CE7" w14:textId="77777777" w:rsidR="00D905D6" w:rsidRPr="003C442D" w:rsidRDefault="00D905D6" w:rsidP="003C442D">
      <w:pPr>
        <w:pStyle w:val="ListDash2"/>
        <w:numPr>
          <w:ilvl w:val="0"/>
          <w:numId w:val="23"/>
        </w:numPr>
        <w:rPr>
          <w:rFonts w:eastAsia="Aptos"/>
          <w:noProof/>
        </w:rPr>
      </w:pPr>
      <w:r>
        <w:rPr>
          <w:noProof/>
        </w:rPr>
        <w:t xml:space="preserve">усъвършенствано управление на риска и вземане на решения въз основа на данни; </w:t>
      </w:r>
    </w:p>
    <w:p w14:paraId="1BF48161" w14:textId="2DF50445" w:rsidR="00D905D6" w:rsidRPr="00876FA6" w:rsidRDefault="00D905D6" w:rsidP="00876FA6">
      <w:pPr>
        <w:pStyle w:val="ListDash2"/>
        <w:numPr>
          <w:ilvl w:val="0"/>
          <w:numId w:val="24"/>
        </w:numPr>
        <w:rPr>
          <w:rFonts w:eastAsia="Aptos"/>
          <w:noProof/>
        </w:rPr>
      </w:pPr>
      <w:r>
        <w:rPr>
          <w:noProof/>
        </w:rPr>
        <w:t>по-добро съответствие с разпоредбите и изискванията на ЕС;</w:t>
      </w:r>
    </w:p>
    <w:p w14:paraId="0E1424F5" w14:textId="5E7104FC" w:rsidR="00D905D6" w:rsidRDefault="00D905D6" w:rsidP="00400D84">
      <w:pPr>
        <w:spacing w:after="0"/>
        <w:rPr>
          <w:rFonts w:eastAsia="Aptos" w:cs="Aptos"/>
          <w:noProof/>
        </w:rPr>
      </w:pPr>
      <w:r>
        <w:rPr>
          <w:noProof/>
        </w:rPr>
        <w:t>В най-общ план Arachne демонстрира добро ниво на организационна оперативна съвместимост с дизайн и осигурена помощ, способстващи за интегрирането му в съществуващите работни процеси и потоци.  Въпреки това е възможно разплащателните агенции да са изправени пред нуждата от справяне с пречки от организационен или културен характер, възпрепятстващи приемането на инструмента, и от инвестиране на време и ресурси в обучение и изграждане на капацитет с цел гарантиране на ефективното му приемане и използване.</w:t>
      </w:r>
    </w:p>
    <w:p w14:paraId="58721111" w14:textId="77777777" w:rsidR="00876FA6" w:rsidRDefault="00876FA6" w:rsidP="00400D84">
      <w:pPr>
        <w:spacing w:after="0"/>
        <w:rPr>
          <w:rFonts w:eastAsia="Aptos" w:cs="Aptos"/>
          <w:noProof/>
        </w:rPr>
      </w:pPr>
    </w:p>
    <w:p w14:paraId="35DA7FC1" w14:textId="32598081" w:rsidR="00D905D6" w:rsidRPr="0044611E" w:rsidRDefault="25484D54" w:rsidP="7B2D6861">
      <w:pPr>
        <w:pStyle w:val="Heading1"/>
        <w:rPr>
          <w:rFonts w:eastAsia="Aptos" w:cs="Aptos"/>
          <w:noProof/>
        </w:rPr>
      </w:pPr>
      <w:bookmarkStart w:id="29" w:name="_Toc995478873"/>
      <w:bookmarkStart w:id="30" w:name="_Toc189833029"/>
      <w:r>
        <w:rPr>
          <w:noProof/>
        </w:rPr>
        <w:t>Следващи стъпки и перспективи</w:t>
      </w:r>
      <w:bookmarkEnd w:id="29"/>
      <w:bookmarkEnd w:id="30"/>
    </w:p>
    <w:p w14:paraId="51B41F73" w14:textId="208E9B35" w:rsidR="00D905D6" w:rsidRPr="008F3595" w:rsidRDefault="25484D54" w:rsidP="00F45C04">
      <w:pPr>
        <w:pStyle w:val="Heading2"/>
        <w:rPr>
          <w:noProof/>
        </w:rPr>
      </w:pPr>
      <w:bookmarkStart w:id="31" w:name="_Toc181571948"/>
      <w:bookmarkStart w:id="32" w:name="_Toc1790562789"/>
      <w:bookmarkStart w:id="33" w:name="_Toc189833030"/>
      <w:bookmarkEnd w:id="31"/>
      <w:r>
        <w:rPr>
          <w:noProof/>
        </w:rPr>
        <w:t>Следващи стъпки</w:t>
      </w:r>
      <w:bookmarkEnd w:id="32"/>
      <w:bookmarkEnd w:id="33"/>
    </w:p>
    <w:p w14:paraId="06275B64" w14:textId="77777777" w:rsidR="00D905D6" w:rsidRDefault="00D905D6" w:rsidP="00400D84">
      <w:pPr>
        <w:pStyle w:val="ListParagraph"/>
        <w:spacing w:after="0"/>
        <w:rPr>
          <w:rFonts w:eastAsia="Aptos" w:cs="Aptos"/>
          <w:noProof/>
        </w:rPr>
      </w:pPr>
    </w:p>
    <w:p w14:paraId="2EE9D249" w14:textId="0EB3DA09" w:rsidR="00D905D6" w:rsidRDefault="00D905D6" w:rsidP="003C442D">
      <w:pPr>
        <w:pStyle w:val="ListNumber2"/>
        <w:rPr>
          <w:rFonts w:eastAsia="Aptos"/>
          <w:noProof/>
        </w:rPr>
      </w:pPr>
      <w:r>
        <w:rPr>
          <w:noProof/>
          <w:u w:val="single"/>
        </w:rPr>
        <w:t>По-нататъшен обмен на практики между разплащателните агенции</w:t>
      </w:r>
      <w:r>
        <w:rPr>
          <w:noProof/>
        </w:rPr>
        <w:t xml:space="preserve"> — вече използващите Arachne държави членки следва активно да споделят своя опит и да дават съвети за ефективното използване на инструмента. Посоченият обмен може да се осъществява по време на организираните от Комисията срещи на експертните групи, чрез специални проучвания, но също и в рамките на мрежата за обучение на разплащателните агенции (подгрупа за борба с измамите и конфликта на интереси). </w:t>
      </w:r>
    </w:p>
    <w:p w14:paraId="5B3514E2" w14:textId="4C0B0504" w:rsidR="00D905D6" w:rsidRPr="005E31A6" w:rsidRDefault="00D905D6" w:rsidP="003C442D">
      <w:pPr>
        <w:pStyle w:val="ListNumber2"/>
        <w:rPr>
          <w:rFonts w:eastAsia="Aptos"/>
          <w:noProof/>
        </w:rPr>
      </w:pPr>
      <w:r>
        <w:rPr>
          <w:noProof/>
          <w:u w:val="single"/>
        </w:rPr>
        <w:t>Използване на инструмента от страна на сертифициращите органи</w:t>
      </w:r>
      <w:r>
        <w:rPr>
          <w:noProof/>
        </w:rPr>
        <w:t xml:space="preserve"> — сертифициращите органи също следва да бъдат насърчавани в използването на инструмента за постигане на последователност при одита на системите за контрол и управление.</w:t>
      </w:r>
    </w:p>
    <w:p w14:paraId="1E6EFE31" w14:textId="1EB1FAD8" w:rsidR="00D905D6" w:rsidRPr="003F1516" w:rsidRDefault="00D905D6" w:rsidP="003C442D">
      <w:pPr>
        <w:pStyle w:val="ListNumber2"/>
        <w:rPr>
          <w:rFonts w:eastAsia="Aptos"/>
          <w:noProof/>
        </w:rPr>
      </w:pPr>
      <w:r>
        <w:rPr>
          <w:noProof/>
          <w:u w:val="single"/>
        </w:rPr>
        <w:t>Автоматично интегриране в базите данни на разплащателните агенции</w:t>
      </w:r>
      <w:r>
        <w:rPr>
          <w:noProof/>
        </w:rPr>
        <w:t xml:space="preserve"> — държавите членки и Комисията следва да увеличат ресурсите за автоматизиране на прехвърлянето на данни към Arachne от националните бази данни, което ще рационализира административните процеси и ще намали тежестта за държавите членки.  </w:t>
      </w:r>
    </w:p>
    <w:p w14:paraId="231A5A58" w14:textId="299F1FE1" w:rsidR="00D905D6" w:rsidRPr="002178B8" w:rsidRDefault="00D905D6" w:rsidP="003C442D">
      <w:pPr>
        <w:pStyle w:val="ListNumber2"/>
        <w:rPr>
          <w:rFonts w:eastAsia="Aptos" w:cs="Aptos"/>
          <w:noProof/>
        </w:rPr>
      </w:pPr>
      <w:r>
        <w:rPr>
          <w:noProof/>
          <w:u w:val="single"/>
        </w:rPr>
        <w:t>Наличност на пълни и точни данни</w:t>
      </w:r>
      <w:r>
        <w:rPr>
          <w:noProof/>
        </w:rPr>
        <w:t xml:space="preserve"> — осигуряването </w:t>
      </w:r>
      <w:r>
        <w:rPr>
          <w:rStyle w:val="normaltextrun"/>
          <w:noProof/>
        </w:rPr>
        <w:t xml:space="preserve">на непрекъснато актуализиране на висококачествени, пълни и точни данни е от съществено значение за ефективността на Arachne, която зависи от това как ще бъде разгърнат проектът на Комисията, свързан с Arachne. Освен от непрекъснатите усилия на Комисията за по-нататъшно разработване на инструмента, цялостното изпълнение на проекта зависи от качваните от държавите членки данни, които всички те следва постепенно да предоставят.  </w:t>
      </w:r>
    </w:p>
    <w:p w14:paraId="4508B2D1" w14:textId="5CD70B4A" w:rsidR="00D905D6" w:rsidRPr="00796B45" w:rsidRDefault="00D905D6" w:rsidP="003C442D">
      <w:pPr>
        <w:pStyle w:val="ListNumber2"/>
        <w:rPr>
          <w:rFonts w:eastAsia="Aptos"/>
          <w:noProof/>
        </w:rPr>
      </w:pPr>
      <w:r>
        <w:rPr>
          <w:noProof/>
          <w:u w:val="single"/>
        </w:rPr>
        <w:t>Адаптиране на инструмента към земеделските фондове на ЕС</w:t>
      </w:r>
      <w:r>
        <w:rPr>
          <w:noProof/>
        </w:rPr>
        <w:t xml:space="preserve"> — наред с увеличаващия се брой държави членки, използващи Arachne, следва да е налице и постепенно адаптиране на функционалностите му към земеделските фондове на ЕС в отговор на нуждите на държавите членки и на тяхната обратна връзка. Това включва определяне на рисковите фактори, които са от най-голямо значение за земеделските фондове на ЕС. Този вид по-нататъшно развитие ще трябва да се основава на редовен обмен на най-добри практики чрез постоянни семинари и други форуми, организирани на равнището на ЕС или двустранно по искане на държавите членки. </w:t>
      </w:r>
    </w:p>
    <w:p w14:paraId="79C0D563" w14:textId="2862572C" w:rsidR="00D905D6" w:rsidRDefault="00D905D6" w:rsidP="003C442D">
      <w:pPr>
        <w:pStyle w:val="ListNumber2"/>
        <w:rPr>
          <w:rFonts w:eastAsia="Aptos"/>
          <w:noProof/>
        </w:rPr>
      </w:pPr>
      <w:r>
        <w:rPr>
          <w:noProof/>
          <w:u w:val="single"/>
        </w:rPr>
        <w:t>Технически подобрения на инструмента</w:t>
      </w:r>
      <w:r>
        <w:rPr>
          <w:noProof/>
        </w:rPr>
        <w:t xml:space="preserve"> — цялостни подобрения в проекта на Комисията, свързан с Arachne, следва да бъдат обмислени по отношение на потребителския интерфейс и опита на потребителите от използването му (като например указания за самостоятелна употреба, съвети за употреба, помощни секции, използване на чатбот, помощ от изкуствен интелект). </w:t>
      </w:r>
    </w:p>
    <w:p w14:paraId="75C73285" w14:textId="10442A92" w:rsidR="00D905D6" w:rsidRPr="00862B78" w:rsidRDefault="00D905D6" w:rsidP="00862B78">
      <w:pPr>
        <w:pStyle w:val="ListNumber2"/>
        <w:spacing w:line="259" w:lineRule="auto"/>
        <w:rPr>
          <w:rFonts w:eastAsia="Aptos"/>
          <w:noProof/>
          <w:u w:val="single"/>
        </w:rPr>
      </w:pPr>
      <w:r>
        <w:rPr>
          <w:noProof/>
          <w:u w:val="single"/>
        </w:rPr>
        <w:t>Повишаване на оперативната съвместимост между Arachne и други инструменти за извличане на данни, използвани на национално равнище</w:t>
      </w:r>
      <w:r>
        <w:rPr>
          <w:noProof/>
        </w:rPr>
        <w:t xml:space="preserve"> — държавите членки следва да проявят активна ангажираност в това отношение, за да се възползват от добавената стойност на Arachne, която дава възможност за установяване на трансгранични връзки, както и за откриване на предишно финансиране от ЕС, достъпът, до което може да е затруднен при използването на други инструменти за извличане на данни. </w:t>
      </w:r>
    </w:p>
    <w:p w14:paraId="75EA0662" w14:textId="77777777" w:rsidR="00D905D6" w:rsidRPr="005143B8" w:rsidRDefault="00D905D6" w:rsidP="00400D84">
      <w:pPr>
        <w:spacing w:after="0"/>
        <w:ind w:left="360"/>
        <w:rPr>
          <w:rFonts w:eastAsia="Aptos" w:cs="Aptos"/>
          <w:noProof/>
        </w:rPr>
      </w:pPr>
    </w:p>
    <w:p w14:paraId="07C8F367" w14:textId="34990ECD" w:rsidR="544481EC" w:rsidRDefault="544481EC" w:rsidP="00862B78">
      <w:pPr>
        <w:spacing w:after="0"/>
        <w:rPr>
          <w:rFonts w:eastAsia="Aptos" w:cs="Aptos"/>
          <w:noProof/>
        </w:rPr>
      </w:pPr>
      <w:r>
        <w:rPr>
          <w:noProof/>
        </w:rPr>
        <w:t>Според Комисията органите на държавите членки, най-вече разплащателните агенции, могат значително да подобрят своите настоящи процедури за анализ на риска и предотвратяване на измамите чрез приемането и системното използване на Arachne. В резултатите от заседанието на експертната група от 20 септември 2024 г. се вижда възможната ефикасност и ефективност на инструмента в предотвратяването и разкриването на нередности и в установяването на риска от измами в областта на ОСП. Въпреки това използването му може да се разшири и подобри.</w:t>
      </w:r>
    </w:p>
    <w:p w14:paraId="2E03D75D" w14:textId="77777777" w:rsidR="00D905D6" w:rsidRPr="00751F20" w:rsidRDefault="00D905D6" w:rsidP="00400D84">
      <w:pPr>
        <w:spacing w:after="0"/>
        <w:rPr>
          <w:rFonts w:eastAsia="Aptos" w:cs="Aptos"/>
          <w:noProof/>
        </w:rPr>
      </w:pPr>
    </w:p>
    <w:p w14:paraId="6469C4B4" w14:textId="30047473" w:rsidR="00D905D6" w:rsidRPr="00F45C04" w:rsidRDefault="517CEC9A" w:rsidP="00F45C04">
      <w:pPr>
        <w:pStyle w:val="Heading2"/>
        <w:rPr>
          <w:noProof/>
        </w:rPr>
      </w:pPr>
      <w:bookmarkStart w:id="34" w:name="_Toc1388568149"/>
      <w:bookmarkStart w:id="35" w:name="_Toc189833031"/>
      <w:r>
        <w:rPr>
          <w:noProof/>
        </w:rPr>
        <w:t>Дългосрочни перспективи</w:t>
      </w:r>
      <w:bookmarkEnd w:id="34"/>
      <w:bookmarkEnd w:id="35"/>
    </w:p>
    <w:p w14:paraId="79BE3C58" w14:textId="77777777" w:rsidR="00D905D6" w:rsidRPr="00D267AB" w:rsidRDefault="00D905D6" w:rsidP="00D267AB">
      <w:pPr>
        <w:spacing w:after="0"/>
        <w:rPr>
          <w:rFonts w:eastAsia="Aptos" w:cs="Aptos"/>
          <w:noProof/>
        </w:rPr>
      </w:pPr>
    </w:p>
    <w:p w14:paraId="3756DF16" w14:textId="50813B9F" w:rsidR="00DD2090" w:rsidRDefault="002A779D" w:rsidP="00862B78">
      <w:pPr>
        <w:pStyle w:val="ListNumber2"/>
        <w:numPr>
          <w:ilvl w:val="0"/>
          <w:numId w:val="0"/>
        </w:numPr>
        <w:spacing w:line="259" w:lineRule="auto"/>
        <w:rPr>
          <w:rFonts w:eastAsia="Aptos"/>
          <w:noProof/>
        </w:rPr>
      </w:pPr>
      <w:r>
        <w:rPr>
          <w:noProof/>
        </w:rPr>
        <w:t xml:space="preserve">В съответствие с член 36, параграф 6 и член 277, параграф 5 от Регламент (ЕС, Евратом) 2024/2509 наред с другите данни относно разходите по ОСП държавите членки ще трябва да предоставят данни на Arachne не по-късно от програмите за периода след 2027 г. Интегрираното използване на Arachne като основен инструмент в системите за управление и контрол на ОСП на равнището на държавите членки с цел подобряване на управлението на риска, наблюдението на съответствието и вземането на решения въз основа на данни е логичен и неизбежен избор от страна на националната администрация, отговаряща за разходите на ЕС в рамките на споделеното управление на ЕФГЗ и ЕЗФРСР. Служейки си с Arachne, органите могат да автоматизират откриването на потенциални рискове, като по този начин се гарантират по-бързи и по-точни оценки. В допълнение, използването на Arachne може да предостави на националните органи достъп до разнообразен и голям набор от данни. Това би намалило допълнително риска от опити за измама при достъпа до средства на ЕС. </w:t>
      </w:r>
    </w:p>
    <w:p w14:paraId="41E07774" w14:textId="5557CC6D" w:rsidR="00860301" w:rsidRPr="00862B78" w:rsidRDefault="00DD2090" w:rsidP="00862B78">
      <w:pPr>
        <w:pStyle w:val="ListNumber2"/>
        <w:numPr>
          <w:ilvl w:val="0"/>
          <w:numId w:val="0"/>
        </w:numPr>
        <w:rPr>
          <w:rFonts w:eastAsia="Aptos"/>
          <w:noProof/>
        </w:rPr>
      </w:pPr>
      <w:r>
        <w:rPr>
          <w:noProof/>
        </w:rPr>
        <w:t xml:space="preserve">С оглед на съвместните отговорности за защита на финансовите интереси на Съюза Комисията ще продължи да си сътрудничи с органите на държавите членки за постигане на пълноценно използване на Arachne. В това отношение прилагането на по-нататъшните стъпки, посочени в настоящия доклад, ще подлежи на наблюдение, като при необходимост ще се разработи допълнително или ще се преразгледа по време на цялостното разгръщане на проекта на Комисията, свързан с Arachne. </w:t>
      </w:r>
    </w:p>
    <w:sectPr w:rsidR="00860301" w:rsidRPr="00862B78" w:rsidSect="00360108">
      <w:headerReference w:type="even" r:id="rId28"/>
      <w:headerReference w:type="default" r:id="rId29"/>
      <w:footerReference w:type="even" r:id="rId30"/>
      <w:footerReference w:type="default" r:id="rId31"/>
      <w:headerReference w:type="first" r:id="rId32"/>
      <w:footerReference w:type="first" r:id="rId33"/>
      <w:endnotePr>
        <w:numFmt w:val="lowerLetter"/>
      </w:endnotePr>
      <w:pgSz w:w="11906" w:h="16838"/>
      <w:pgMar w:top="1020" w:right="1701" w:bottom="1020" w:left="1587" w:header="601" w:footer="107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CB284" w14:textId="77777777" w:rsidR="00F926AB" w:rsidRDefault="00F926AB">
      <w:pPr>
        <w:spacing w:after="0"/>
      </w:pPr>
      <w:r>
        <w:separator/>
      </w:r>
    </w:p>
  </w:endnote>
  <w:endnote w:type="continuationSeparator" w:id="0">
    <w:p w14:paraId="51F0BDB6" w14:textId="77777777" w:rsidR="00F926AB" w:rsidRDefault="00F926AB">
      <w:pPr>
        <w:spacing w:after="0"/>
      </w:pPr>
      <w:r>
        <w:continuationSeparator/>
      </w:r>
    </w:p>
  </w:endnote>
  <w:endnote w:type="continuationNotice" w:id="1">
    <w:p w14:paraId="02482C8B" w14:textId="77777777" w:rsidR="00F926AB" w:rsidRDefault="00F926A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92E0A" w14:textId="5331E58C" w:rsidR="007A0020" w:rsidRPr="007A0020" w:rsidRDefault="007A0020" w:rsidP="007A0020">
    <w:pPr>
      <w:pStyle w:val="FooterCoverPage"/>
      <w:rPr>
        <w:rFonts w:ascii="Arial" w:hAnsi="Arial" w:cs="Arial"/>
        <w:b/>
        <w:sz w:val="48"/>
      </w:rPr>
    </w:pPr>
    <w:r w:rsidRPr="007A0020">
      <w:rPr>
        <w:rFonts w:ascii="Arial" w:hAnsi="Arial" w:cs="Arial"/>
        <w:b/>
        <w:sz w:val="48"/>
      </w:rPr>
      <w:t>BG</w:t>
    </w:r>
    <w:r w:rsidRPr="007A0020">
      <w:rPr>
        <w:rFonts w:ascii="Arial" w:hAnsi="Arial" w:cs="Arial"/>
        <w:b/>
        <w:sz w:val="48"/>
      </w:rPr>
      <w:tab/>
    </w:r>
    <w:r w:rsidRPr="007A0020">
      <w:rPr>
        <w:rFonts w:ascii="Arial" w:hAnsi="Arial" w:cs="Arial"/>
        <w:b/>
        <w:sz w:val="48"/>
      </w:rPr>
      <w:tab/>
    </w:r>
    <w:r w:rsidRPr="007A0020">
      <w:tab/>
    </w:r>
    <w:r w:rsidRPr="007A0020">
      <w:rPr>
        <w:rFonts w:ascii="Arial" w:hAnsi="Arial" w:cs="Arial"/>
        <w:b/>
        <w:sz w:val="48"/>
      </w:rPr>
      <w:t>BG</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B5D60" w14:textId="01995E06" w:rsidR="007A0020" w:rsidRPr="007A0020" w:rsidRDefault="007A0020" w:rsidP="007A0020">
    <w:pPr>
      <w:pStyle w:val="FooterCoverPage"/>
      <w:rPr>
        <w:rFonts w:ascii="Arial" w:hAnsi="Arial" w:cs="Arial"/>
        <w:b/>
        <w:sz w:val="48"/>
      </w:rPr>
    </w:pPr>
    <w:r w:rsidRPr="007A0020">
      <w:rPr>
        <w:rFonts w:ascii="Arial" w:hAnsi="Arial" w:cs="Arial"/>
        <w:b/>
        <w:sz w:val="48"/>
      </w:rPr>
      <w:t>BG</w:t>
    </w:r>
    <w:r w:rsidRPr="007A0020">
      <w:rPr>
        <w:rFonts w:ascii="Arial" w:hAnsi="Arial" w:cs="Arial"/>
        <w:b/>
        <w:sz w:val="48"/>
      </w:rPr>
      <w:tab/>
    </w:r>
    <w:r w:rsidRPr="007A0020">
      <w:rPr>
        <w:rFonts w:ascii="Arial" w:hAnsi="Arial" w:cs="Arial"/>
        <w:b/>
        <w:sz w:val="48"/>
      </w:rPr>
      <w:tab/>
    </w:r>
    <w:r w:rsidRPr="007A0020">
      <w:tab/>
    </w:r>
    <w:r w:rsidRPr="007A0020">
      <w:rPr>
        <w:rFonts w:ascii="Arial" w:hAnsi="Arial" w:cs="Arial"/>
        <w:b/>
        <w:sz w:val="48"/>
      </w:rPr>
      <w:t>BG</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A832D" w14:textId="77777777" w:rsidR="007A0020" w:rsidRPr="007A0020" w:rsidRDefault="007A0020" w:rsidP="007A0020">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C6041" w14:textId="77777777" w:rsidR="00360108" w:rsidRDefault="00360108">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62599" w14:textId="1E5DCE1D" w:rsidR="00360108" w:rsidRDefault="00360108">
    <w:pPr>
      <w:pStyle w:val="FooterLine"/>
      <w:jc w:val="center"/>
    </w:pPr>
    <w:r>
      <w:fldChar w:fldCharType="begin"/>
    </w:r>
    <w:r>
      <w:instrText>PAGE   \* MERGEFORMAT</w:instrText>
    </w:r>
    <w:r>
      <w:fldChar w:fldCharType="separate"/>
    </w:r>
    <w:r w:rsidR="007A0020">
      <w:rPr>
        <w:noProof/>
      </w:rPr>
      <w:t>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7588659"/>
      <w:docPartObj>
        <w:docPartGallery w:val="Page Numbers (Bottom of Page)"/>
        <w:docPartUnique/>
      </w:docPartObj>
    </w:sdtPr>
    <w:sdtEndPr>
      <w:rPr>
        <w:noProof/>
      </w:rPr>
    </w:sdtEndPr>
    <w:sdtContent>
      <w:p w14:paraId="4C97CFA4" w14:textId="03648691" w:rsidR="001658DA" w:rsidRDefault="001658DA">
        <w:pPr>
          <w:pStyle w:val="Footer"/>
          <w:jc w:val="center"/>
        </w:pPr>
        <w:r>
          <w:fldChar w:fldCharType="begin"/>
        </w:r>
        <w:r>
          <w:instrText xml:space="preserve"> PAGE   \* MERGEFORMAT </w:instrText>
        </w:r>
        <w:r>
          <w:fldChar w:fldCharType="separate"/>
        </w:r>
        <w:r w:rsidR="007A0020">
          <w:rPr>
            <w:noProof/>
          </w:rPr>
          <w:t>1</w:t>
        </w:r>
        <w:r>
          <w:fldChar w:fldCharType="end"/>
        </w:r>
      </w:p>
    </w:sdtContent>
  </w:sdt>
  <w:p w14:paraId="6462DB49" w14:textId="670BD92F" w:rsidR="00360108" w:rsidRDefault="003601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BC97A" w14:textId="77777777" w:rsidR="00F926AB" w:rsidRDefault="00F926AB">
      <w:pPr>
        <w:spacing w:after="0"/>
      </w:pPr>
      <w:r>
        <w:separator/>
      </w:r>
    </w:p>
  </w:footnote>
  <w:footnote w:type="continuationSeparator" w:id="0">
    <w:p w14:paraId="306B5C99" w14:textId="77777777" w:rsidR="00F926AB" w:rsidRDefault="00F926AB">
      <w:pPr>
        <w:spacing w:after="0"/>
      </w:pPr>
      <w:r>
        <w:continuationSeparator/>
      </w:r>
    </w:p>
  </w:footnote>
  <w:footnote w:type="continuationNotice" w:id="1">
    <w:p w14:paraId="2EA48D06" w14:textId="77777777" w:rsidR="00F926AB" w:rsidRDefault="00F926AB">
      <w:pPr>
        <w:spacing w:after="0"/>
      </w:pPr>
    </w:p>
  </w:footnote>
  <w:footnote w:id="2">
    <w:p w14:paraId="0A18241A" w14:textId="6A2CA067" w:rsidR="00DB1AC3" w:rsidRPr="00E364A6" w:rsidRDefault="00DB1AC3">
      <w:pPr>
        <w:pStyle w:val="FootnoteText"/>
      </w:pPr>
      <w:r>
        <w:t>(</w:t>
      </w:r>
      <w:r>
        <w:rPr>
          <w:rStyle w:val="FootnoteReference"/>
        </w:rPr>
        <w:footnoteRef/>
      </w:r>
      <w:r>
        <w:t>)</w:t>
      </w:r>
      <w:r>
        <w:tab/>
        <w:t>Регламент (ЕС) 2021/2116 на Европейския парламент и на Съвета от 2 декември 2021 г. относно финансирането, управлението и мониторинга на общата селскостопанска политика и за отмяна на Регламент (ЕС) № 1306/2013 (ОВ L 435, 6.12.2021 г., стр. 187).</w:t>
      </w:r>
    </w:p>
  </w:footnote>
  <w:footnote w:id="3">
    <w:p w14:paraId="2BCE25BB" w14:textId="04646AB0" w:rsidR="00D905D6" w:rsidRPr="00705DD0" w:rsidRDefault="004C6397" w:rsidP="00400D84">
      <w:pPr>
        <w:spacing w:after="0"/>
        <w:rPr>
          <w:sz w:val="20"/>
        </w:rPr>
      </w:pPr>
      <w:r>
        <w:t>(</w:t>
      </w:r>
      <w:r>
        <w:rPr>
          <w:rStyle w:val="FootnoteReference"/>
        </w:rPr>
        <w:footnoteRef/>
      </w:r>
      <w:r>
        <w:t>) „Нередност“ означава всяко нарушение на разпоредба на правото на Общността, в резултат на действие или бездействие от икономически оператор, което е имало или би имало за резултат нарушаването на общия бюджет на Общностите или на бюджетите, управлявани от тях, или посредством намаляването или загубата на приходи, произтичащи от собствени ресурси, които се събират направо от името на Общностите или посредством извършването на неоправдан разход (член 1, параграф 2 от Регламент (ЕО, ЕВРАТОМ) 2988/95 на Съвета).</w:t>
      </w:r>
      <w:r>
        <w:rPr>
          <w:sz w:val="20"/>
        </w:rPr>
        <w:t xml:space="preserve"> </w:t>
      </w:r>
    </w:p>
    <w:p w14:paraId="1E8A42FD" w14:textId="77777777" w:rsidR="00D905D6" w:rsidRPr="00CB642F" w:rsidRDefault="00D905D6" w:rsidP="00400D84">
      <w:pPr>
        <w:spacing w:after="0"/>
        <w:rPr>
          <w:sz w:val="20"/>
        </w:rPr>
      </w:pPr>
    </w:p>
    <w:p w14:paraId="3938A566" w14:textId="77777777" w:rsidR="00D905D6" w:rsidRPr="00CB642F" w:rsidRDefault="00D905D6" w:rsidP="00400D84">
      <w:pPr>
        <w:spacing w:after="0"/>
        <w:rPr>
          <w:sz w:val="20"/>
        </w:rPr>
      </w:pPr>
      <w:r>
        <w:rPr>
          <w:sz w:val="20"/>
        </w:rPr>
        <w:t>Измамата е умишлено извършена нередност, която съставлява престъпление. При докладване на нередност пред Комисията държавите членки трябва да посочат във всеки отделен случай дали съществува подозрение за измама или е установена измама.</w:t>
      </w:r>
    </w:p>
  </w:footnote>
  <w:footnote w:id="4">
    <w:p w14:paraId="4023B258" w14:textId="359860A2" w:rsidR="004C6397" w:rsidRPr="002B5C30" w:rsidRDefault="004C6397">
      <w:pPr>
        <w:pStyle w:val="FootnoteText"/>
      </w:pPr>
      <w:r>
        <w:t>(</w:t>
      </w:r>
      <w:r>
        <w:rPr>
          <w:rStyle w:val="FootnoteReference"/>
        </w:rPr>
        <w:footnoteRef/>
      </w:r>
      <w:r>
        <w:t>)</w:t>
      </w:r>
      <w:r>
        <w:tab/>
        <w:t>Източник: Статистика относно Arachne — септември 2024 г.</w:t>
      </w:r>
    </w:p>
  </w:footnote>
  <w:footnote w:id="5">
    <w:p w14:paraId="53582D8B" w14:textId="5035FF85" w:rsidR="004C6397" w:rsidRPr="002B5C30" w:rsidRDefault="004C6397">
      <w:pPr>
        <w:pStyle w:val="FootnoteText"/>
      </w:pPr>
      <w:r>
        <w:t>(</w:t>
      </w:r>
      <w:r>
        <w:rPr>
          <w:rStyle w:val="FootnoteReference"/>
        </w:rPr>
        <w:footnoteRef/>
      </w:r>
      <w:r>
        <w:t>)</w:t>
      </w:r>
      <w:r>
        <w:tab/>
        <w:t>Източник: Статистически данни относно Arachne — септември 2024 г.</w:t>
      </w:r>
    </w:p>
  </w:footnote>
  <w:footnote w:id="6">
    <w:p w14:paraId="1DD058A2" w14:textId="0B1C3158" w:rsidR="00A10AAB" w:rsidRPr="00B14391" w:rsidRDefault="7B2D6861" w:rsidP="7B2D6861">
      <w:pPr>
        <w:rPr>
          <w:sz w:val="22"/>
          <w:szCs w:val="22"/>
        </w:rPr>
      </w:pPr>
      <w:r>
        <w:rPr>
          <w:sz w:val="22"/>
        </w:rPr>
        <w:t>(</w:t>
      </w:r>
      <w:r>
        <w:rPr>
          <w:rStyle w:val="FootnoteReference"/>
          <w:sz w:val="22"/>
          <w:szCs w:val="22"/>
        </w:rPr>
        <w:footnoteRef/>
      </w:r>
      <w:r>
        <w:rPr>
          <w:sz w:val="22"/>
        </w:rPr>
        <w:t>)</w:t>
      </w:r>
      <w:r>
        <w:tab/>
      </w:r>
      <w:r>
        <w:rPr>
          <w:sz w:val="20"/>
        </w:rPr>
        <w:t>Източник: Статистика относно Arachne — ноември 2024 г. Потребителските профили са в основата на статистиката относно потребителите. Всеки потребител с достъп до поне една земеделска програма е включен в списъка. Въпреки това, когато потребителите се свързват с Arachne, не може да се определи до кой конкретен проект или до коя конкретна програма имат достъп. В резултат на това, ако потребител има достъп както до земеделска програма, така и до програма на ЕСИФ, той ще бъде включен в списъка на потребителите на ОСП. Следователно броят на регистрираните сесии и действия може да е завишен, тъй като е възможно потребителят също да се свързва само заради проекти по ЕСИФ.</w:t>
      </w:r>
    </w:p>
  </w:footnote>
  <w:footnote w:id="7">
    <w:p w14:paraId="042C4FE7" w14:textId="5D042114" w:rsidR="004C6397" w:rsidRPr="002B5C30" w:rsidRDefault="004C6397">
      <w:pPr>
        <w:pStyle w:val="FootnoteText"/>
      </w:pPr>
      <w:r>
        <w:t>(</w:t>
      </w:r>
      <w:r>
        <w:rPr>
          <w:rStyle w:val="FootnoteReference"/>
        </w:rPr>
        <w:footnoteRef/>
      </w:r>
      <w:r>
        <w:t>)</w:t>
      </w:r>
      <w:r>
        <w:tab/>
        <w:t>Източник: Проучване на Комисията относно използването на Arachne — юли 2024 г.</w:t>
      </w:r>
    </w:p>
  </w:footnote>
  <w:footnote w:id="8">
    <w:p w14:paraId="18DD1163" w14:textId="7CA24E35" w:rsidR="004C6397" w:rsidRPr="002B5C30" w:rsidRDefault="004C6397">
      <w:pPr>
        <w:pStyle w:val="FootnoteText"/>
      </w:pPr>
      <w:r>
        <w:t>(</w:t>
      </w:r>
      <w:r>
        <w:rPr>
          <w:rStyle w:val="FootnoteReference"/>
        </w:rPr>
        <w:footnoteRef/>
      </w:r>
      <w:r>
        <w:t>)</w:t>
      </w:r>
      <w:r>
        <w:tab/>
      </w:r>
      <w:bookmarkStart w:id="19" w:name="_Hlk181979476"/>
      <w:r>
        <w:t>Източник: Проучване на Комисията относно използването на Arachne — юли 2024 г.</w:t>
      </w:r>
      <w:bookmarkEnd w:id="19"/>
    </w:p>
  </w:footnote>
  <w:footnote w:id="9">
    <w:p w14:paraId="46CD7972" w14:textId="400623EF" w:rsidR="004C6397" w:rsidRPr="002B5C30" w:rsidRDefault="004C6397">
      <w:pPr>
        <w:pStyle w:val="FootnoteText"/>
      </w:pPr>
      <w:r>
        <w:t>(</w:t>
      </w:r>
      <w:r>
        <w:rPr>
          <w:rStyle w:val="FootnoteReference"/>
        </w:rPr>
        <w:footnoteRef/>
      </w:r>
      <w:r>
        <w:t>)</w:t>
      </w:r>
      <w:r>
        <w:tab/>
        <w:t>Източник: Проучване на Комисията относно използването на Arachne — юли 2024 г.</w:t>
      </w:r>
    </w:p>
  </w:footnote>
  <w:footnote w:id="10">
    <w:p w14:paraId="06959072" w14:textId="0878C6CC" w:rsidR="00702D84" w:rsidRPr="00E364A6" w:rsidRDefault="00702D84">
      <w:pPr>
        <w:pStyle w:val="FootnoteText"/>
      </w:pPr>
      <w:r>
        <w:t>(</w:t>
      </w:r>
      <w:r>
        <w:rPr>
          <w:rStyle w:val="FootnoteReference"/>
        </w:rPr>
        <w:footnoteRef/>
      </w:r>
      <w:r>
        <w:t>)</w:t>
      </w:r>
      <w:r>
        <w:tab/>
        <w:t>Регламент (ЕС, Евратом) 2024/2509 на Европейския парламент и на Съвета от 23 септември 2024 г. за финансовите правила, приложими за общия бюджет на Съюза (преработен текст), ОВ L, 2024/2509, 26.9.2024 г.</w:t>
      </w:r>
    </w:p>
  </w:footnote>
  <w:footnote w:id="11">
    <w:p w14:paraId="7C3ACA27" w14:textId="5FEAFDB1" w:rsidR="71D8D88C" w:rsidRDefault="00CB605B" w:rsidP="00862B78">
      <w:pPr>
        <w:pStyle w:val="FootnoteText"/>
        <w:ind w:left="0" w:firstLine="0"/>
      </w:pPr>
      <w:r>
        <w:t>(</w:t>
      </w:r>
      <w:r>
        <w:rPr>
          <w:rStyle w:val="FootnoteReference"/>
        </w:rPr>
        <w:footnoteRef/>
      </w:r>
      <w:r>
        <w:t xml:space="preserve">) </w:t>
      </w:r>
      <w:hyperlink r:id="rId1" w:history="1">
        <w:r>
          <w:rPr>
            <w:rStyle w:val="Hyperlink"/>
          </w:rPr>
          <w:t>Европейски социален фонд плюс (ЕСФ+) - Трудова заетост, социални въпроси и приобщаване - Европейска комисия</w:t>
        </w:r>
      </w:hyperlink>
    </w:p>
  </w:footnote>
  <w:footnote w:id="12">
    <w:p w14:paraId="6BF857A1" w14:textId="4B9BDB18" w:rsidR="00CB605B" w:rsidRPr="00E364A6" w:rsidRDefault="00CB605B">
      <w:pPr>
        <w:pStyle w:val="FootnoteText"/>
      </w:pPr>
      <w:r>
        <w:t>(</w:t>
      </w:r>
      <w:r>
        <w:rPr>
          <w:rStyle w:val="FootnoteReference"/>
        </w:rPr>
        <w:footnoteRef/>
      </w:r>
      <w:r>
        <w:t>)</w:t>
      </w:r>
      <w:r>
        <w:tab/>
        <w:t>Регламент (ЕС) № 1303/2013 на Европейския парламент и на Съвета от 17 декември 2013 г.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Регламент (ЕО) № 1083/2006 на Съвета (ОВ L 347, 20.12.2013 г., стр. 320).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D8A93" w14:textId="77777777" w:rsidR="007A0020" w:rsidRPr="007A0020" w:rsidRDefault="007A0020" w:rsidP="007A0020">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AD1C6" w14:textId="77777777" w:rsidR="007A0020" w:rsidRPr="007A0020" w:rsidRDefault="007A0020" w:rsidP="007A0020">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F01A6" w14:textId="77777777" w:rsidR="007A0020" w:rsidRPr="007A0020" w:rsidRDefault="007A0020" w:rsidP="007A0020">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DD4BF" w14:textId="77777777" w:rsidR="00360108" w:rsidRDefault="0036010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52B8C" w14:textId="77777777" w:rsidR="00360108" w:rsidRDefault="0036010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FF7CC" w14:textId="77777777" w:rsidR="00360108" w:rsidRDefault="003601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900F7"/>
    <w:multiLevelType w:val="multilevel"/>
    <w:tmpl w:val="40A8F48A"/>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EFB7115"/>
    <w:multiLevelType w:val="multilevel"/>
    <w:tmpl w:val="C1648FFC"/>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120B7201"/>
    <w:multiLevelType w:val="multilevel"/>
    <w:tmpl w:val="00C4D5B2"/>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8345"/>
    <w:multiLevelType w:val="multilevel"/>
    <w:tmpl w:val="BE14AF78"/>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62685D"/>
    <w:multiLevelType w:val="multilevel"/>
    <w:tmpl w:val="E06408E6"/>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43D0A16"/>
    <w:multiLevelType w:val="multilevel"/>
    <w:tmpl w:val="3A1CBCA0"/>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63535A7"/>
    <w:multiLevelType w:val="multilevel"/>
    <w:tmpl w:val="20000025"/>
    <w:name w:val="EurolookHeading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72F0AC5"/>
    <w:multiLevelType w:val="multilevel"/>
    <w:tmpl w:val="C15C5C4C"/>
    <w:name w:val="ListNumber2Numbering"/>
    <w:lvl w:ilvl="0">
      <w:start w:val="1"/>
      <w:numFmt w:val="decimal"/>
      <w:pStyle w:val="ListNumber2"/>
      <w:lvlText w:val="(%1)"/>
      <w:lvlJc w:val="left"/>
      <w:pPr>
        <w:tabs>
          <w:tab w:val="num" w:pos="709"/>
        </w:tabs>
        <w:ind w:left="709" w:hanging="709"/>
      </w:pPr>
    </w:lvl>
    <w:lvl w:ilvl="1">
      <w:start w:val="1"/>
      <w:numFmt w:val="lowerLetter"/>
      <w:pStyle w:val="ListNumber2Level2"/>
      <w:lvlText w:val="(%2)"/>
      <w:lvlJc w:val="left"/>
      <w:pPr>
        <w:tabs>
          <w:tab w:val="num" w:pos="1417"/>
        </w:tabs>
        <w:ind w:left="1417" w:hanging="708"/>
      </w:pPr>
    </w:lvl>
    <w:lvl w:ilvl="2">
      <w:start w:val="1"/>
      <w:numFmt w:val="bullet"/>
      <w:pStyle w:val="ListNumber2Level3"/>
      <w:lvlText w:val="–"/>
      <w:lvlJc w:val="left"/>
      <w:pPr>
        <w:tabs>
          <w:tab w:val="num" w:pos="2126"/>
        </w:tabs>
        <w:ind w:left="2126" w:hanging="709"/>
      </w:pPr>
      <w:rPr>
        <w:rFonts w:ascii="Times New Roman" w:hAnsi="Times New Roman"/>
      </w:rPr>
    </w:lvl>
    <w:lvl w:ilvl="3">
      <w:start w:val="1"/>
      <w:numFmt w:val="bullet"/>
      <w:pStyle w:val="ListNumber2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6FE8AEB8"/>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1BB45248"/>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9AD2E67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AC083A5E"/>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38AEFA24"/>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5E344928"/>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79DA2648"/>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0F708ADA"/>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FA0C29A8"/>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CA244D92"/>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8202FC4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BDECB134"/>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6977472E"/>
    <w:multiLevelType w:val="multilevel"/>
    <w:tmpl w:val="7486A646"/>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7C65145E"/>
    <w:multiLevelType w:val="multilevel"/>
    <w:tmpl w:val="8D5433E0"/>
    <w:name w:val="EurolookHeading"/>
    <w:lvl w:ilvl="0">
      <w:start w:val="1"/>
      <w:numFmt w:val="decimal"/>
      <w:pStyle w:val="Heading1"/>
      <w:lvlText w:val="%1."/>
      <w:lvlJc w:val="left"/>
      <w:pPr>
        <w:tabs>
          <w:tab w:val="num" w:pos="482"/>
        </w:tabs>
        <w:ind w:left="482" w:hanging="482"/>
      </w:pPr>
      <w:rPr>
        <w:rFonts w:hint="default"/>
      </w:rPr>
    </w:lvl>
    <w:lvl w:ilvl="1">
      <w:start w:val="1"/>
      <w:numFmt w:val="decimal"/>
      <w:pStyle w:val="Heading2"/>
      <w:lvlText w:val="%1.%2."/>
      <w:lvlJc w:val="left"/>
      <w:pPr>
        <w:tabs>
          <w:tab w:val="num" w:pos="1077"/>
        </w:tabs>
        <w:ind w:left="1077" w:hanging="595"/>
      </w:pPr>
      <w:rPr>
        <w:rFonts w:hint="default"/>
      </w:rPr>
    </w:lvl>
    <w:lvl w:ilvl="2">
      <w:start w:val="1"/>
      <w:numFmt w:val="decimal"/>
      <w:pStyle w:val="Heading3"/>
      <w:lvlText w:val="%1.%2.%3."/>
      <w:lvlJc w:val="left"/>
      <w:pPr>
        <w:tabs>
          <w:tab w:val="num" w:pos="1922"/>
        </w:tabs>
        <w:ind w:left="1922" w:hanging="845"/>
      </w:pPr>
      <w:rPr>
        <w:rFonts w:hint="default"/>
      </w:rPr>
    </w:lvl>
    <w:lvl w:ilvl="3">
      <w:start w:val="1"/>
      <w:numFmt w:val="decimal"/>
      <w:pStyle w:val="Heading4"/>
      <w:lvlText w:val="%1.%2.%3.%4."/>
      <w:lvlJc w:val="left"/>
      <w:pPr>
        <w:tabs>
          <w:tab w:val="num" w:pos="1922"/>
        </w:tabs>
        <w:ind w:left="1922" w:hanging="845"/>
      </w:pPr>
      <w:rPr>
        <w:rFonts w:hint="default"/>
      </w:rPr>
    </w:lvl>
    <w:lvl w:ilvl="4">
      <w:start w:val="1"/>
      <w:numFmt w:val="decimal"/>
      <w:pStyle w:val="Heading5"/>
      <w:lvlText w:val="%1.%2.%3.%4.%5."/>
      <w:lvlJc w:val="left"/>
      <w:pPr>
        <w:tabs>
          <w:tab w:val="num" w:pos="1922"/>
        </w:tabs>
        <w:ind w:left="1922" w:hanging="845"/>
      </w:pPr>
      <w:rPr>
        <w:rFonts w:hint="default"/>
      </w:rPr>
    </w:lvl>
    <w:lvl w:ilvl="5">
      <w:start w:val="1"/>
      <w:numFmt w:val="decimal"/>
      <w:pStyle w:val="Heading6"/>
      <w:lvlText w:val="%1.%2.%3.%4.%5.%6."/>
      <w:lvlJc w:val="left"/>
      <w:pPr>
        <w:tabs>
          <w:tab w:val="num" w:pos="1922"/>
        </w:tabs>
        <w:ind w:left="1922" w:hanging="845"/>
      </w:pPr>
      <w:rPr>
        <w:rFonts w:hint="default"/>
      </w:rPr>
    </w:lvl>
    <w:lvl w:ilvl="6">
      <w:start w:val="1"/>
      <w:numFmt w:val="decimal"/>
      <w:pStyle w:val="Heading7"/>
      <w:lvlText w:val="%1.%2.%3.%4.%5.%6.%7."/>
      <w:lvlJc w:val="left"/>
      <w:pPr>
        <w:tabs>
          <w:tab w:val="num" w:pos="1922"/>
        </w:tabs>
        <w:ind w:left="1922" w:hanging="845"/>
      </w:pPr>
      <w:rPr>
        <w:rFonts w:hint="default"/>
      </w:rPr>
    </w:lvl>
    <w:lvl w:ilvl="7">
      <w:start w:val="1"/>
      <w:numFmt w:val="decimal"/>
      <w:pStyle w:val="Heading8"/>
      <w:lvlText w:val="%1.%2.%3.%4.%5.%6.%7.%8."/>
      <w:lvlJc w:val="left"/>
      <w:pPr>
        <w:tabs>
          <w:tab w:val="num" w:pos="1922"/>
        </w:tabs>
        <w:ind w:left="1922" w:hanging="845"/>
      </w:pPr>
      <w:rPr>
        <w:rFonts w:hint="default"/>
      </w:rPr>
    </w:lvl>
    <w:lvl w:ilvl="8">
      <w:start w:val="1"/>
      <w:numFmt w:val="decimal"/>
      <w:pStyle w:val="Heading9"/>
      <w:lvlText w:val="%1.%2.%3.%4.%5.%6.%7.%8.%9."/>
      <w:lvlJc w:val="left"/>
      <w:pPr>
        <w:tabs>
          <w:tab w:val="num" w:pos="1922"/>
        </w:tabs>
        <w:ind w:left="1922" w:hanging="845"/>
      </w:pPr>
      <w:rPr>
        <w:rFonts w:hint="default"/>
      </w:rPr>
    </w:lvl>
  </w:abstractNum>
  <w:abstractNum w:abstractNumId="22"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abstractNumId w:val="0"/>
  </w:num>
  <w:num w:numId="2">
    <w:abstractNumId w:val="12"/>
  </w:num>
  <w:num w:numId="3">
    <w:abstractNumId w:val="8"/>
  </w:num>
  <w:num w:numId="4">
    <w:abstractNumId w:val="13"/>
  </w:num>
  <w:num w:numId="5">
    <w:abstractNumId w:val="18"/>
  </w:num>
  <w:num w:numId="6">
    <w:abstractNumId w:val="20"/>
  </w:num>
  <w:num w:numId="7">
    <w:abstractNumId w:val="1"/>
  </w:num>
  <w:num w:numId="8">
    <w:abstractNumId w:val="7"/>
  </w:num>
  <w:num w:numId="9">
    <w:abstractNumId w:val="15"/>
  </w:num>
  <w:num w:numId="10">
    <w:abstractNumId w:val="2"/>
  </w:num>
  <w:num w:numId="11">
    <w:abstractNumId w:val="4"/>
  </w:num>
  <w:num w:numId="12">
    <w:abstractNumId w:val="5"/>
  </w:num>
  <w:num w:numId="13">
    <w:abstractNumId w:val="9"/>
  </w:num>
  <w:num w:numId="14">
    <w:abstractNumId w:val="14"/>
  </w:num>
  <w:num w:numId="15">
    <w:abstractNumId w:val="17"/>
  </w:num>
  <w:num w:numId="16">
    <w:abstractNumId w:val="21"/>
  </w:num>
  <w:num w:numId="17">
    <w:abstractNumId w:val="10"/>
  </w:num>
  <w:num w:numId="18">
    <w:abstractNumId w:val="11"/>
  </w:num>
  <w:num w:numId="19">
    <w:abstractNumId w:val="22"/>
  </w:num>
  <w:num w:numId="20">
    <w:abstractNumId w:val="16"/>
  </w:num>
  <w:num w:numId="21">
    <w:abstractNumId w:val="19"/>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4">
    <w:abstractNumId w:val="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5">
    <w:abstractNumId w:val="2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1"/>
  </w:num>
  <w:num w:numId="29">
    <w:abstractNumId w:val="21"/>
  </w:num>
  <w:num w:numId="30">
    <w:abstractNumId w:val="21"/>
  </w:num>
  <w:num w:numId="31">
    <w:abstractNumId w:val="21"/>
  </w:num>
  <w:num w:numId="32">
    <w:abstractNumId w:val="21"/>
  </w:num>
  <w:num w:numId="33">
    <w:abstractNumId w:val="6"/>
  </w:num>
  <w:num w:numId="34">
    <w:abstractNumId w:val="21"/>
  </w:num>
  <w:num w:numId="35">
    <w:abstractNumId w:val="21"/>
  </w:num>
  <w:num w:numId="36">
    <w:abstractNumId w:val="21"/>
  </w:num>
  <w:num w:numId="37">
    <w:abstractNumId w:val="21"/>
  </w:num>
  <w:num w:numId="38">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12289"/>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3F1C9FCF-A6C3-487D-8BDD-7A29A71820AE"/>
    <w:docVar w:name="LW_COVERPAGE_TYPE" w:val="1"/>
    <w:docVar w:name="LW_CROSSREFERENCE" w:val="&lt;UNUSED&gt;"/>
    <w:docVar w:name="LW_DocType" w:val="EUROLOOK"/>
    <w:docVar w:name="LW_EMISSION" w:val="28.2.2025"/>
    <w:docVar w:name="LW_EMISSION_ISODATE" w:val="2025-02-28"/>
    <w:docVar w:name="LW_EMISSION_LOCATION" w:val="BRX"/>
    <w:docVar w:name="LW_EMISSION_PREFIX" w:val="\u1041?\u1088?\u1102?\u1082?\u1089?\u1077?\u1083?, "/>
    <w:docVar w:name="LW_EMISSION_SUFFIX" w:val=" \u1075?."/>
    <w:docVar w:name="LW_ID_DOCTYPE_NONLW" w:val="CP-003"/>
    <w:docVar w:name="LW_LANGUE" w:val="BG"/>
    <w:docVar w:name="LW_LEVEL_OF_SENSITIVITY" w:val="Standard treatment"/>
    <w:docVar w:name="LW_NOM.INST" w:val="\u1045?\u1042?\u1056?\u1054?\u1055?\u1045?\u1049?\u1057?\u1050?\u1040? \u1050?\u1054?\u1052?\u1048?\u1057?\u1048?\u1071?"/>
    <w:docVar w:name="LW_NOM.INST_JOINTDOC" w:val="&lt;EMPTY&gt;"/>
    <w:docVar w:name="LW_PART_NBR" w:val="1"/>
    <w:docVar w:name="LW_PART_NBR_TOTAL" w:val="1"/>
    <w:docVar w:name="LW_REF.INST.NEW" w:val="COM"/>
    <w:docVar w:name="LW_REF.INST.NEW_ADOPTED" w:val="final"/>
    <w:docVar w:name="LW_REF.INST.NEW_TEXT" w:val="(2025) 58"/>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u1086?\u1090?\u1085?\u1086?\u1089?\u1085?\u1086? ARACHNE - \u1087?\u1088?\u1080?\u1083?\u1072?\u1075?\u1072?\u1085?\u1077? \u1079?\u1072? \u1088?\u1072?\u1079?\u1093?\u1086?\u1076?\u1080?\u1090?\u1077? \u1087?\u1086? \u1054?\u1057?\u1055?"/>
    <w:docVar w:name="LW_TYPE.DOC.CP" w:val="\u1044?\u1054?\u1050?\u1051?\u1040?\u1044? \u1053?\u1040? \u1050?\u1054?\u1052?\u1048?\u1057?\u1048?\u1071?\u1058?\u1040?"/>
    <w:docVar w:name="LwApiVersions" w:val="LW4CoDe 1.24.5.0; LW 9.0, Build 20240221"/>
  </w:docVars>
  <w:rsids>
    <w:rsidRoot w:val="00D905D6"/>
    <w:rsid w:val="0005E73A"/>
    <w:rsid w:val="000903CC"/>
    <w:rsid w:val="000958E3"/>
    <w:rsid w:val="000B1C45"/>
    <w:rsid w:val="000C24C2"/>
    <w:rsid w:val="000C3D51"/>
    <w:rsid w:val="000D0AF4"/>
    <w:rsid w:val="000D80DD"/>
    <w:rsid w:val="000E2E88"/>
    <w:rsid w:val="000F22B5"/>
    <w:rsid w:val="000F349D"/>
    <w:rsid w:val="001002FC"/>
    <w:rsid w:val="0014156B"/>
    <w:rsid w:val="00155B15"/>
    <w:rsid w:val="001658DA"/>
    <w:rsid w:val="00166856"/>
    <w:rsid w:val="001A19A0"/>
    <w:rsid w:val="001B59A1"/>
    <w:rsid w:val="001B6704"/>
    <w:rsid w:val="001D1948"/>
    <w:rsid w:val="001E28B0"/>
    <w:rsid w:val="001E3389"/>
    <w:rsid w:val="001E37F6"/>
    <w:rsid w:val="001F4DB9"/>
    <w:rsid w:val="00222EEC"/>
    <w:rsid w:val="00223079"/>
    <w:rsid w:val="0023149A"/>
    <w:rsid w:val="002527C1"/>
    <w:rsid w:val="00282CED"/>
    <w:rsid w:val="002874D7"/>
    <w:rsid w:val="002A312F"/>
    <w:rsid w:val="002A65D9"/>
    <w:rsid w:val="002A779D"/>
    <w:rsid w:val="002B0602"/>
    <w:rsid w:val="002B206F"/>
    <w:rsid w:val="002B5C30"/>
    <w:rsid w:val="002D3631"/>
    <w:rsid w:val="002E2C80"/>
    <w:rsid w:val="002F2AD1"/>
    <w:rsid w:val="002F481B"/>
    <w:rsid w:val="002F56BB"/>
    <w:rsid w:val="002F7675"/>
    <w:rsid w:val="00314D5E"/>
    <w:rsid w:val="00322399"/>
    <w:rsid w:val="0034014F"/>
    <w:rsid w:val="003527CA"/>
    <w:rsid w:val="00360108"/>
    <w:rsid w:val="003631B7"/>
    <w:rsid w:val="0036453B"/>
    <w:rsid w:val="00395323"/>
    <w:rsid w:val="003A2940"/>
    <w:rsid w:val="003C442D"/>
    <w:rsid w:val="00400D84"/>
    <w:rsid w:val="00415CFE"/>
    <w:rsid w:val="0041611A"/>
    <w:rsid w:val="00441F52"/>
    <w:rsid w:val="00444EC3"/>
    <w:rsid w:val="0044611E"/>
    <w:rsid w:val="0045655E"/>
    <w:rsid w:val="0046137E"/>
    <w:rsid w:val="004631CA"/>
    <w:rsid w:val="004844C5"/>
    <w:rsid w:val="0048793C"/>
    <w:rsid w:val="004B15EB"/>
    <w:rsid w:val="004C05B8"/>
    <w:rsid w:val="004C6397"/>
    <w:rsid w:val="00521AEA"/>
    <w:rsid w:val="00542260"/>
    <w:rsid w:val="00560666"/>
    <w:rsid w:val="005708F4"/>
    <w:rsid w:val="005D2B49"/>
    <w:rsid w:val="005D4ADB"/>
    <w:rsid w:val="005E328F"/>
    <w:rsid w:val="005F257A"/>
    <w:rsid w:val="005F60F8"/>
    <w:rsid w:val="006248E1"/>
    <w:rsid w:val="00632B34"/>
    <w:rsid w:val="00683BAC"/>
    <w:rsid w:val="006B006F"/>
    <w:rsid w:val="006D25F9"/>
    <w:rsid w:val="006D48FA"/>
    <w:rsid w:val="006DE478"/>
    <w:rsid w:val="006E3E7B"/>
    <w:rsid w:val="006F4455"/>
    <w:rsid w:val="00702D84"/>
    <w:rsid w:val="007045D7"/>
    <w:rsid w:val="00705DD0"/>
    <w:rsid w:val="00706834"/>
    <w:rsid w:val="00710A6F"/>
    <w:rsid w:val="007252E8"/>
    <w:rsid w:val="00734694"/>
    <w:rsid w:val="00735728"/>
    <w:rsid w:val="0073690A"/>
    <w:rsid w:val="007659CB"/>
    <w:rsid w:val="007818F7"/>
    <w:rsid w:val="007831A4"/>
    <w:rsid w:val="007A0020"/>
    <w:rsid w:val="007C5663"/>
    <w:rsid w:val="007C6EB7"/>
    <w:rsid w:val="007F2B56"/>
    <w:rsid w:val="008004D0"/>
    <w:rsid w:val="00820F81"/>
    <w:rsid w:val="00837202"/>
    <w:rsid w:val="00860301"/>
    <w:rsid w:val="00862B78"/>
    <w:rsid w:val="008649FF"/>
    <w:rsid w:val="008710A1"/>
    <w:rsid w:val="00876FA6"/>
    <w:rsid w:val="00880806"/>
    <w:rsid w:val="008815E0"/>
    <w:rsid w:val="00884509"/>
    <w:rsid w:val="00890388"/>
    <w:rsid w:val="008C70C8"/>
    <w:rsid w:val="008D479E"/>
    <w:rsid w:val="008F0D3F"/>
    <w:rsid w:val="008F3595"/>
    <w:rsid w:val="009111FE"/>
    <w:rsid w:val="0094360B"/>
    <w:rsid w:val="00944039"/>
    <w:rsid w:val="00951FAF"/>
    <w:rsid w:val="00953719"/>
    <w:rsid w:val="00957489"/>
    <w:rsid w:val="009935D5"/>
    <w:rsid w:val="00A00E15"/>
    <w:rsid w:val="00A10AAB"/>
    <w:rsid w:val="00A25F97"/>
    <w:rsid w:val="00A37DAB"/>
    <w:rsid w:val="00A50EA9"/>
    <w:rsid w:val="00A55585"/>
    <w:rsid w:val="00A66589"/>
    <w:rsid w:val="00AA5405"/>
    <w:rsid w:val="00AD0AB2"/>
    <w:rsid w:val="00AE2BFA"/>
    <w:rsid w:val="00AF2833"/>
    <w:rsid w:val="00AF3F2E"/>
    <w:rsid w:val="00B07FEB"/>
    <w:rsid w:val="00B14391"/>
    <w:rsid w:val="00B1523E"/>
    <w:rsid w:val="00B22436"/>
    <w:rsid w:val="00B31AB9"/>
    <w:rsid w:val="00B34D06"/>
    <w:rsid w:val="00B37539"/>
    <w:rsid w:val="00B471CD"/>
    <w:rsid w:val="00B472BC"/>
    <w:rsid w:val="00B55B32"/>
    <w:rsid w:val="00B66818"/>
    <w:rsid w:val="00B92D03"/>
    <w:rsid w:val="00BC72B6"/>
    <w:rsid w:val="00BD5436"/>
    <w:rsid w:val="00C05B37"/>
    <w:rsid w:val="00C24C18"/>
    <w:rsid w:val="00C32553"/>
    <w:rsid w:val="00C663C9"/>
    <w:rsid w:val="00C83F14"/>
    <w:rsid w:val="00C862A8"/>
    <w:rsid w:val="00CB443B"/>
    <w:rsid w:val="00CB605B"/>
    <w:rsid w:val="00CB642F"/>
    <w:rsid w:val="00CC7C0C"/>
    <w:rsid w:val="00CD35BC"/>
    <w:rsid w:val="00CD714B"/>
    <w:rsid w:val="00CF5543"/>
    <w:rsid w:val="00CF6656"/>
    <w:rsid w:val="00D25F49"/>
    <w:rsid w:val="00D267AB"/>
    <w:rsid w:val="00D427B9"/>
    <w:rsid w:val="00D905D6"/>
    <w:rsid w:val="00DB1AC3"/>
    <w:rsid w:val="00DB7A57"/>
    <w:rsid w:val="00DCCFA6"/>
    <w:rsid w:val="00DD2090"/>
    <w:rsid w:val="00DF9CD2"/>
    <w:rsid w:val="00E05609"/>
    <w:rsid w:val="00E35792"/>
    <w:rsid w:val="00E364A6"/>
    <w:rsid w:val="00E365C5"/>
    <w:rsid w:val="00E50C9B"/>
    <w:rsid w:val="00E56390"/>
    <w:rsid w:val="00E57B31"/>
    <w:rsid w:val="00E60946"/>
    <w:rsid w:val="00E60DC6"/>
    <w:rsid w:val="00E75AB5"/>
    <w:rsid w:val="00E85772"/>
    <w:rsid w:val="00E930B5"/>
    <w:rsid w:val="00EA1ADD"/>
    <w:rsid w:val="00EA4124"/>
    <w:rsid w:val="00EB6564"/>
    <w:rsid w:val="00EB6A29"/>
    <w:rsid w:val="00EC0C2A"/>
    <w:rsid w:val="00ED49EB"/>
    <w:rsid w:val="00ED796E"/>
    <w:rsid w:val="00EE3B3A"/>
    <w:rsid w:val="00EE47FC"/>
    <w:rsid w:val="00EF73A5"/>
    <w:rsid w:val="00F03213"/>
    <w:rsid w:val="00F03976"/>
    <w:rsid w:val="00F29BD1"/>
    <w:rsid w:val="00F36A38"/>
    <w:rsid w:val="00F36AD9"/>
    <w:rsid w:val="00F444CA"/>
    <w:rsid w:val="00F45C04"/>
    <w:rsid w:val="00F80C6F"/>
    <w:rsid w:val="00F85A1C"/>
    <w:rsid w:val="00F92407"/>
    <w:rsid w:val="00F926AB"/>
    <w:rsid w:val="00FC667A"/>
    <w:rsid w:val="00FF1828"/>
    <w:rsid w:val="0140732D"/>
    <w:rsid w:val="02280EC3"/>
    <w:rsid w:val="0287172B"/>
    <w:rsid w:val="02FD4B49"/>
    <w:rsid w:val="03021BD4"/>
    <w:rsid w:val="0337124E"/>
    <w:rsid w:val="03A0D189"/>
    <w:rsid w:val="040FDEA0"/>
    <w:rsid w:val="04701AF7"/>
    <w:rsid w:val="04C0BCF4"/>
    <w:rsid w:val="052BC80D"/>
    <w:rsid w:val="05B21FAC"/>
    <w:rsid w:val="067465A4"/>
    <w:rsid w:val="06C5D04C"/>
    <w:rsid w:val="075E323D"/>
    <w:rsid w:val="08885FF9"/>
    <w:rsid w:val="08D16D30"/>
    <w:rsid w:val="08D46113"/>
    <w:rsid w:val="08DF128D"/>
    <w:rsid w:val="09152692"/>
    <w:rsid w:val="09A39E14"/>
    <w:rsid w:val="0A3C3A62"/>
    <w:rsid w:val="0A3E773A"/>
    <w:rsid w:val="0A6616D1"/>
    <w:rsid w:val="0AFCD819"/>
    <w:rsid w:val="0B6D38C5"/>
    <w:rsid w:val="0BE836BF"/>
    <w:rsid w:val="0C84CF63"/>
    <w:rsid w:val="0CE92BEC"/>
    <w:rsid w:val="0D808D72"/>
    <w:rsid w:val="0E1E637C"/>
    <w:rsid w:val="0F640502"/>
    <w:rsid w:val="1004E1A0"/>
    <w:rsid w:val="1012E53C"/>
    <w:rsid w:val="10C8E30E"/>
    <w:rsid w:val="1192CC32"/>
    <w:rsid w:val="1194550F"/>
    <w:rsid w:val="11D2BE7F"/>
    <w:rsid w:val="11F2F8B0"/>
    <w:rsid w:val="121BD78D"/>
    <w:rsid w:val="12F40B82"/>
    <w:rsid w:val="13655959"/>
    <w:rsid w:val="143C6E1F"/>
    <w:rsid w:val="15DD6C56"/>
    <w:rsid w:val="161A0F3E"/>
    <w:rsid w:val="165B1EB3"/>
    <w:rsid w:val="166D94C0"/>
    <w:rsid w:val="16B82C8C"/>
    <w:rsid w:val="16CE53CD"/>
    <w:rsid w:val="16D4CCC6"/>
    <w:rsid w:val="1843FF0F"/>
    <w:rsid w:val="18A22CA2"/>
    <w:rsid w:val="199D0A66"/>
    <w:rsid w:val="1AA4BA69"/>
    <w:rsid w:val="1AB06384"/>
    <w:rsid w:val="1ADC4E5F"/>
    <w:rsid w:val="1B9803C6"/>
    <w:rsid w:val="1B9D401A"/>
    <w:rsid w:val="1CC90523"/>
    <w:rsid w:val="1D2E1D85"/>
    <w:rsid w:val="1DBD2507"/>
    <w:rsid w:val="1E61DC85"/>
    <w:rsid w:val="1EE9C73A"/>
    <w:rsid w:val="1F0DD307"/>
    <w:rsid w:val="1FEB6942"/>
    <w:rsid w:val="20392A9C"/>
    <w:rsid w:val="20F5F1A5"/>
    <w:rsid w:val="21916863"/>
    <w:rsid w:val="22372A33"/>
    <w:rsid w:val="2274BF0D"/>
    <w:rsid w:val="2410D361"/>
    <w:rsid w:val="24AD8DD3"/>
    <w:rsid w:val="250437E3"/>
    <w:rsid w:val="25484D54"/>
    <w:rsid w:val="25AA6A84"/>
    <w:rsid w:val="266AB947"/>
    <w:rsid w:val="27138587"/>
    <w:rsid w:val="278992B0"/>
    <w:rsid w:val="27DAA6C2"/>
    <w:rsid w:val="27E0FB0A"/>
    <w:rsid w:val="28307C78"/>
    <w:rsid w:val="2906AC0C"/>
    <w:rsid w:val="291E3741"/>
    <w:rsid w:val="298406EA"/>
    <w:rsid w:val="2A0E74EF"/>
    <w:rsid w:val="2AC4A00E"/>
    <w:rsid w:val="2BA384FC"/>
    <w:rsid w:val="2CC42909"/>
    <w:rsid w:val="2D29D5C2"/>
    <w:rsid w:val="2D5D60EC"/>
    <w:rsid w:val="2D6ED6C0"/>
    <w:rsid w:val="2DA5F926"/>
    <w:rsid w:val="2DE9E94B"/>
    <w:rsid w:val="2E53B836"/>
    <w:rsid w:val="2E6B9931"/>
    <w:rsid w:val="2EB0FBD1"/>
    <w:rsid w:val="2EE9A4E2"/>
    <w:rsid w:val="2F02F251"/>
    <w:rsid w:val="2F6D5808"/>
    <w:rsid w:val="2FCA31FA"/>
    <w:rsid w:val="30315F05"/>
    <w:rsid w:val="305EE1F3"/>
    <w:rsid w:val="30A021D6"/>
    <w:rsid w:val="30D17310"/>
    <w:rsid w:val="30F12358"/>
    <w:rsid w:val="31374688"/>
    <w:rsid w:val="317D8496"/>
    <w:rsid w:val="31E795E6"/>
    <w:rsid w:val="31F31385"/>
    <w:rsid w:val="33162FD5"/>
    <w:rsid w:val="335DB1B4"/>
    <w:rsid w:val="33D372A6"/>
    <w:rsid w:val="33FECC7E"/>
    <w:rsid w:val="342D53FA"/>
    <w:rsid w:val="345953D4"/>
    <w:rsid w:val="349E4DEB"/>
    <w:rsid w:val="34F1EBEB"/>
    <w:rsid w:val="358D9CD4"/>
    <w:rsid w:val="378BA593"/>
    <w:rsid w:val="381993AD"/>
    <w:rsid w:val="392033F3"/>
    <w:rsid w:val="39AB8906"/>
    <w:rsid w:val="39F67DFF"/>
    <w:rsid w:val="3A31BE5F"/>
    <w:rsid w:val="3A38A7F5"/>
    <w:rsid w:val="3A8F81A9"/>
    <w:rsid w:val="3AA17178"/>
    <w:rsid w:val="3B5AC36C"/>
    <w:rsid w:val="3E38AEB3"/>
    <w:rsid w:val="3E5FE9F8"/>
    <w:rsid w:val="3E65B5C2"/>
    <w:rsid w:val="3EA3B8E7"/>
    <w:rsid w:val="3F2F1057"/>
    <w:rsid w:val="4035737A"/>
    <w:rsid w:val="418CD74D"/>
    <w:rsid w:val="41AC265D"/>
    <w:rsid w:val="420078BD"/>
    <w:rsid w:val="420503A9"/>
    <w:rsid w:val="42668FB8"/>
    <w:rsid w:val="42C91655"/>
    <w:rsid w:val="42D29468"/>
    <w:rsid w:val="43096F6C"/>
    <w:rsid w:val="435E8F0A"/>
    <w:rsid w:val="44B0B3CA"/>
    <w:rsid w:val="46ADE358"/>
    <w:rsid w:val="479456C5"/>
    <w:rsid w:val="47982A57"/>
    <w:rsid w:val="47F4806B"/>
    <w:rsid w:val="48B828F6"/>
    <w:rsid w:val="48C44ABB"/>
    <w:rsid w:val="48CA096B"/>
    <w:rsid w:val="48CCAB63"/>
    <w:rsid w:val="49B98FC2"/>
    <w:rsid w:val="49BF0F12"/>
    <w:rsid w:val="49DE5D23"/>
    <w:rsid w:val="4A0FF77C"/>
    <w:rsid w:val="4BE12F50"/>
    <w:rsid w:val="4C0D3E39"/>
    <w:rsid w:val="4DFA3573"/>
    <w:rsid w:val="4E095647"/>
    <w:rsid w:val="4E94F57C"/>
    <w:rsid w:val="4F5644B1"/>
    <w:rsid w:val="4F809623"/>
    <w:rsid w:val="4FD17D5B"/>
    <w:rsid w:val="5075C50F"/>
    <w:rsid w:val="50B86E90"/>
    <w:rsid w:val="517CEC9A"/>
    <w:rsid w:val="518154D1"/>
    <w:rsid w:val="518495C0"/>
    <w:rsid w:val="538B6B4B"/>
    <w:rsid w:val="53A0AC3B"/>
    <w:rsid w:val="544481EC"/>
    <w:rsid w:val="55001977"/>
    <w:rsid w:val="555CFEF7"/>
    <w:rsid w:val="55A7DB2B"/>
    <w:rsid w:val="561E1DEA"/>
    <w:rsid w:val="567E8517"/>
    <w:rsid w:val="581B1378"/>
    <w:rsid w:val="58584288"/>
    <w:rsid w:val="588E88DE"/>
    <w:rsid w:val="58F13C58"/>
    <w:rsid w:val="5A318306"/>
    <w:rsid w:val="5A43295E"/>
    <w:rsid w:val="5A96CAA7"/>
    <w:rsid w:val="5BBB9AE9"/>
    <w:rsid w:val="5C450A5F"/>
    <w:rsid w:val="5C8AA354"/>
    <w:rsid w:val="5D0E64D5"/>
    <w:rsid w:val="5E19BA0D"/>
    <w:rsid w:val="5E49AC84"/>
    <w:rsid w:val="5E65409B"/>
    <w:rsid w:val="5F77DC24"/>
    <w:rsid w:val="5FD04DBB"/>
    <w:rsid w:val="62072DCC"/>
    <w:rsid w:val="62733DD6"/>
    <w:rsid w:val="63926AD2"/>
    <w:rsid w:val="63E054F6"/>
    <w:rsid w:val="6462D094"/>
    <w:rsid w:val="64E2B3B7"/>
    <w:rsid w:val="652B3044"/>
    <w:rsid w:val="65523C79"/>
    <w:rsid w:val="657BCE46"/>
    <w:rsid w:val="65E474AF"/>
    <w:rsid w:val="66BA67B7"/>
    <w:rsid w:val="674BD475"/>
    <w:rsid w:val="6751259D"/>
    <w:rsid w:val="67AA20A3"/>
    <w:rsid w:val="67FA6DEE"/>
    <w:rsid w:val="67FCF294"/>
    <w:rsid w:val="691B4F76"/>
    <w:rsid w:val="691D6498"/>
    <w:rsid w:val="694E5DF7"/>
    <w:rsid w:val="6AC10A2E"/>
    <w:rsid w:val="6B57699B"/>
    <w:rsid w:val="6C460A23"/>
    <w:rsid w:val="6CE09670"/>
    <w:rsid w:val="6CF978D7"/>
    <w:rsid w:val="6D5F3533"/>
    <w:rsid w:val="6DE5672F"/>
    <w:rsid w:val="6E17ADC2"/>
    <w:rsid w:val="6F9B7F03"/>
    <w:rsid w:val="6FACE2DE"/>
    <w:rsid w:val="702DFBCB"/>
    <w:rsid w:val="7059BBBF"/>
    <w:rsid w:val="715BA026"/>
    <w:rsid w:val="718AAFDE"/>
    <w:rsid w:val="71D8D88C"/>
    <w:rsid w:val="72C28B9B"/>
    <w:rsid w:val="731EC1C9"/>
    <w:rsid w:val="73B3DB94"/>
    <w:rsid w:val="73E2BD12"/>
    <w:rsid w:val="7431851D"/>
    <w:rsid w:val="7477F9D0"/>
    <w:rsid w:val="7582C62D"/>
    <w:rsid w:val="75A47F4C"/>
    <w:rsid w:val="75B7C017"/>
    <w:rsid w:val="75EBAA29"/>
    <w:rsid w:val="764B11CA"/>
    <w:rsid w:val="76796EBE"/>
    <w:rsid w:val="7682FD91"/>
    <w:rsid w:val="76CD2453"/>
    <w:rsid w:val="76E031C9"/>
    <w:rsid w:val="76F4C84B"/>
    <w:rsid w:val="7741ADC5"/>
    <w:rsid w:val="77D07071"/>
    <w:rsid w:val="789896CF"/>
    <w:rsid w:val="78A1DEF9"/>
    <w:rsid w:val="78A6092C"/>
    <w:rsid w:val="797788A0"/>
    <w:rsid w:val="79913EF9"/>
    <w:rsid w:val="79B97DD5"/>
    <w:rsid w:val="79F3F66B"/>
    <w:rsid w:val="7A04501B"/>
    <w:rsid w:val="7ACDA7FD"/>
    <w:rsid w:val="7B2D6861"/>
    <w:rsid w:val="7C8DD009"/>
    <w:rsid w:val="7E4B82B5"/>
    <w:rsid w:val="7F293508"/>
    <w:rsid w:val="7F357CC2"/>
    <w:rsid w:val="7F87F02E"/>
    <w:rsid w:val="7FAA0E20"/>
    <w:rsid w:val="7FF739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E51E73"/>
  <w15:docId w15:val="{440F16B4-429D-4172-8E0D-41EA7F945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bg-BG" w:eastAsia="en-I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0"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16"/>
      </w:numPr>
      <w:spacing w:before="240"/>
      <w:outlineLvl w:val="0"/>
    </w:pPr>
    <w:rPr>
      <w:b/>
      <w:smallCaps/>
    </w:rPr>
  </w:style>
  <w:style w:type="paragraph" w:styleId="Heading2">
    <w:name w:val="heading 2"/>
    <w:basedOn w:val="Normal"/>
    <w:next w:val="Text2"/>
    <w:uiPriority w:val="10"/>
    <w:qFormat/>
    <w:pPr>
      <w:keepNext/>
      <w:numPr>
        <w:ilvl w:val="1"/>
        <w:numId w:val="16"/>
      </w:numPr>
      <w:outlineLvl w:val="1"/>
    </w:pPr>
    <w:rPr>
      <w:b/>
    </w:rPr>
  </w:style>
  <w:style w:type="paragraph" w:styleId="Heading3">
    <w:name w:val="heading 3"/>
    <w:basedOn w:val="Normal"/>
    <w:next w:val="Text3"/>
    <w:uiPriority w:val="10"/>
    <w:qFormat/>
    <w:pPr>
      <w:keepNext/>
      <w:numPr>
        <w:ilvl w:val="2"/>
        <w:numId w:val="16"/>
      </w:numPr>
      <w:outlineLvl w:val="2"/>
    </w:pPr>
    <w:rPr>
      <w:i/>
    </w:rPr>
  </w:style>
  <w:style w:type="paragraph" w:styleId="Heading4">
    <w:name w:val="heading 4"/>
    <w:basedOn w:val="Normal"/>
    <w:next w:val="Text4"/>
    <w:uiPriority w:val="10"/>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semiHidden/>
    <w:rPr>
      <w:color w:val="288061"/>
    </w:rPr>
  </w:style>
  <w:style w:type="character" w:customStyle="1" w:styleId="Heading1Char">
    <w:name w:val="Heading 1 Char"/>
    <w:rsid w:val="00D905D6"/>
    <w:rPr>
      <w:b/>
      <w:smallCaps/>
    </w:rPr>
  </w:style>
  <w:style w:type="character" w:customStyle="1" w:styleId="Heading2Char">
    <w:name w:val="Heading 2 Char"/>
    <w:rsid w:val="00D905D6"/>
    <w:rPr>
      <w:b/>
    </w:rPr>
  </w:style>
  <w:style w:type="paragraph" w:styleId="ListParagraph">
    <w:name w:val="List Paragraph"/>
    <w:basedOn w:val="Normal"/>
    <w:qFormat/>
    <w:rsid w:val="00D905D6"/>
    <w:pPr>
      <w:spacing w:after="160" w:line="279" w:lineRule="auto"/>
      <w:ind w:left="720"/>
      <w:contextualSpacing/>
      <w:jc w:val="left"/>
    </w:pPr>
    <w:rPr>
      <w:rFonts w:ascii="Aptos" w:eastAsia="MS Mincho" w:hAnsi="Aptos" w:cs="Arial"/>
      <w:szCs w:val="24"/>
      <w:lang w:eastAsia="en-GB"/>
    </w:rPr>
  </w:style>
  <w:style w:type="character" w:customStyle="1" w:styleId="normaltextrun">
    <w:name w:val="normaltextrun"/>
    <w:basedOn w:val="DefaultParagraphFont"/>
    <w:rsid w:val="00D905D6"/>
  </w:style>
  <w:style w:type="character" w:styleId="Hyperlink">
    <w:name w:val="Hyperlink"/>
    <w:uiPriority w:val="99"/>
    <w:rsid w:val="00D905D6"/>
    <w:rPr>
      <w:color w:val="467886"/>
      <w:u w:val="single"/>
    </w:rPr>
  </w:style>
  <w:style w:type="character" w:customStyle="1" w:styleId="BodyPlaceholderText">
    <w:name w:val="BodyPlaceholderText"/>
    <w:basedOn w:val="PlaceholderText2"/>
    <w:semiHidden/>
    <w:rPr>
      <w:color w:val="3366CC"/>
    </w:rPr>
  </w:style>
  <w:style w:type="character" w:customStyle="1" w:styleId="CrossReference">
    <w:name w:val="Cross Reference"/>
    <w:basedOn w:val="DefaultParagraphFont"/>
    <w:semiHidden/>
    <w:rPr>
      <w:i/>
    </w:rPr>
  </w:style>
  <w:style w:type="character" w:styleId="FootnoteReference">
    <w:name w:val="footnote reference"/>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customStyle="1" w:styleId="PlaceholderText2">
    <w:name w:val="Placeholder Text2"/>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semiHidden/>
    <w:pPr>
      <w:spacing w:after="120"/>
      <w:ind w:left="357" w:hanging="357"/>
    </w:pPr>
    <w:rPr>
      <w:sz w:val="20"/>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Bullet">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Bullet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Bullet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Bullet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semiHidden/>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Number">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Number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Number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Number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pPr>
      <w:ind w:left="5102" w:right="-680"/>
      <w:contextualSpacing/>
      <w:jc w:val="left"/>
    </w:pPr>
    <w:rPr>
      <w:sz w:val="28"/>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uiPriority w:val="39"/>
    <w:rsid w:val="7B2D6861"/>
    <w:pPr>
      <w:spacing w:before="120" w:after="120"/>
      <w:ind w:left="482" w:right="720" w:hanging="482"/>
    </w:pPr>
  </w:style>
  <w:style w:type="paragraph" w:styleId="TOC2">
    <w:name w:val="toc 2"/>
    <w:basedOn w:val="Normal"/>
    <w:next w:val="Normal"/>
    <w:uiPriority w:val="39"/>
    <w:rsid w:val="7B2D6861"/>
    <w:pPr>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Revision">
    <w:name w:val="Revision"/>
    <w:hidden/>
    <w:uiPriority w:val="99"/>
    <w:semiHidden/>
    <w:rsid w:val="00E57B31"/>
  </w:style>
  <w:style w:type="character" w:styleId="CommentReference">
    <w:name w:val="annotation reference"/>
    <w:basedOn w:val="DefaultParagraphFont"/>
    <w:uiPriority w:val="99"/>
    <w:semiHidden/>
    <w:rsid w:val="00E57B31"/>
    <w:rPr>
      <w:sz w:val="16"/>
      <w:szCs w:val="16"/>
    </w:rPr>
  </w:style>
  <w:style w:type="paragraph" w:styleId="CommentText">
    <w:name w:val="annotation text"/>
    <w:basedOn w:val="Normal"/>
    <w:link w:val="CommentTextChar"/>
    <w:uiPriority w:val="99"/>
    <w:semiHidden/>
    <w:rsid w:val="00E57B31"/>
    <w:rPr>
      <w:sz w:val="20"/>
    </w:rPr>
  </w:style>
  <w:style w:type="character" w:customStyle="1" w:styleId="CommentTextChar">
    <w:name w:val="Comment Text Char"/>
    <w:basedOn w:val="DefaultParagraphFont"/>
    <w:link w:val="CommentText"/>
    <w:uiPriority w:val="99"/>
    <w:semiHidden/>
    <w:rsid w:val="00E57B31"/>
    <w:rPr>
      <w:sz w:val="20"/>
    </w:rPr>
  </w:style>
  <w:style w:type="paragraph" w:styleId="CommentSubject">
    <w:name w:val="annotation subject"/>
    <w:basedOn w:val="CommentText"/>
    <w:next w:val="CommentText"/>
    <w:link w:val="CommentSubjectChar"/>
    <w:uiPriority w:val="99"/>
    <w:semiHidden/>
    <w:rsid w:val="00E57B31"/>
    <w:rPr>
      <w:b/>
      <w:bCs/>
    </w:rPr>
  </w:style>
  <w:style w:type="character" w:customStyle="1" w:styleId="CommentSubjectChar">
    <w:name w:val="Comment Subject Char"/>
    <w:basedOn w:val="CommentTextChar"/>
    <w:link w:val="CommentSubject"/>
    <w:uiPriority w:val="99"/>
    <w:semiHidden/>
    <w:rsid w:val="00E57B31"/>
    <w:rPr>
      <w:b/>
      <w:bCs/>
      <w:sz w:val="20"/>
    </w:rPr>
  </w:style>
  <w:style w:type="character" w:styleId="FollowedHyperlink">
    <w:name w:val="FollowedHyperlink"/>
    <w:basedOn w:val="DefaultParagraphFont"/>
    <w:uiPriority w:val="99"/>
    <w:semiHidden/>
    <w:rsid w:val="008D479E"/>
    <w:rPr>
      <w:color w:val="954F72" w:themeColor="followedHyperlink"/>
      <w:u w:val="single"/>
    </w:rPr>
  </w:style>
  <w:style w:type="character" w:customStyle="1" w:styleId="Marker">
    <w:name w:val="Marker"/>
    <w:basedOn w:val="DefaultParagraphFont"/>
    <w:rsid w:val="00360108"/>
    <w:rPr>
      <w:color w:val="0000FF"/>
      <w:shd w:val="clear" w:color="auto" w:fill="auto"/>
    </w:rPr>
  </w:style>
  <w:style w:type="paragraph" w:customStyle="1" w:styleId="Pagedecouverture">
    <w:name w:val="Page de couverture"/>
    <w:basedOn w:val="Normal"/>
    <w:next w:val="Normal"/>
    <w:link w:val="PagedecouvertureChar"/>
    <w:rsid w:val="00360108"/>
    <w:pPr>
      <w:spacing w:after="0"/>
    </w:pPr>
    <w:rPr>
      <w:rFonts w:eastAsiaTheme="minorHAnsi"/>
      <w:szCs w:val="22"/>
      <w:lang w:eastAsia="en-US"/>
    </w:rPr>
  </w:style>
  <w:style w:type="paragraph" w:customStyle="1" w:styleId="FooterCoverPage">
    <w:name w:val="Footer Cover Page"/>
    <w:basedOn w:val="Normal"/>
    <w:link w:val="FooterCoverPageChar"/>
    <w:rsid w:val="00360108"/>
    <w:pPr>
      <w:tabs>
        <w:tab w:val="center" w:pos="4535"/>
        <w:tab w:val="right" w:pos="9071"/>
        <w:tab w:val="right" w:pos="9921"/>
      </w:tabs>
      <w:spacing w:before="360" w:after="0"/>
      <w:ind w:left="-850" w:right="-850"/>
      <w:jc w:val="left"/>
    </w:pPr>
  </w:style>
  <w:style w:type="character" w:customStyle="1" w:styleId="PagedecouvertureChar">
    <w:name w:val="Page de couverture Char"/>
    <w:basedOn w:val="DefaultParagraphFont"/>
    <w:link w:val="Pagedecouverture"/>
    <w:rsid w:val="00360108"/>
    <w:rPr>
      <w:rFonts w:eastAsiaTheme="minorHAnsi"/>
      <w:szCs w:val="22"/>
      <w:lang w:eastAsia="en-US"/>
    </w:rPr>
  </w:style>
  <w:style w:type="character" w:customStyle="1" w:styleId="FooterCoverPageChar">
    <w:name w:val="Footer Cover Page Char"/>
    <w:basedOn w:val="PagedecouvertureChar"/>
    <w:link w:val="FooterCoverPage"/>
    <w:rsid w:val="00360108"/>
    <w:rPr>
      <w:rFonts w:eastAsiaTheme="minorHAnsi"/>
      <w:szCs w:val="22"/>
      <w:lang w:eastAsia="en-US"/>
    </w:rPr>
  </w:style>
  <w:style w:type="paragraph" w:customStyle="1" w:styleId="FooterSensitivity">
    <w:name w:val="Footer Sensitivity"/>
    <w:basedOn w:val="Normal"/>
    <w:link w:val="FooterSensitivityChar"/>
    <w:rsid w:val="00360108"/>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PagedecouvertureChar"/>
    <w:link w:val="FooterSensitivity"/>
    <w:rsid w:val="00360108"/>
    <w:rPr>
      <w:rFonts w:eastAsiaTheme="minorHAnsi"/>
      <w:b/>
      <w:sz w:val="32"/>
      <w:szCs w:val="22"/>
      <w:lang w:eastAsia="en-US"/>
    </w:rPr>
  </w:style>
  <w:style w:type="paragraph" w:customStyle="1" w:styleId="HeaderCoverPage">
    <w:name w:val="Header Cover Page"/>
    <w:basedOn w:val="Normal"/>
    <w:link w:val="HeaderCoverPageChar"/>
    <w:rsid w:val="00360108"/>
    <w:pPr>
      <w:tabs>
        <w:tab w:val="center" w:pos="4535"/>
        <w:tab w:val="right" w:pos="9071"/>
      </w:tabs>
      <w:spacing w:after="120"/>
    </w:pPr>
  </w:style>
  <w:style w:type="character" w:customStyle="1" w:styleId="HeaderCoverPageChar">
    <w:name w:val="Header Cover Page Char"/>
    <w:basedOn w:val="PagedecouvertureChar"/>
    <w:link w:val="HeaderCoverPage"/>
    <w:rsid w:val="00360108"/>
    <w:rPr>
      <w:rFonts w:eastAsiaTheme="minorHAnsi"/>
      <w:szCs w:val="22"/>
      <w:lang w:eastAsia="en-US"/>
    </w:rPr>
  </w:style>
  <w:style w:type="paragraph" w:customStyle="1" w:styleId="HeaderSensitivity">
    <w:name w:val="Header Sensitivity"/>
    <w:basedOn w:val="Normal"/>
    <w:link w:val="HeaderSensitivityChar"/>
    <w:rsid w:val="00360108"/>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PagedecouvertureChar"/>
    <w:link w:val="HeaderSensitivity"/>
    <w:rsid w:val="00360108"/>
    <w:rPr>
      <w:rFonts w:eastAsiaTheme="minorHAnsi"/>
      <w:b/>
      <w:sz w:val="32"/>
      <w:szCs w:val="22"/>
      <w:lang w:eastAsia="en-US"/>
    </w:rPr>
  </w:style>
  <w:style w:type="paragraph" w:customStyle="1" w:styleId="HeaderSensitivityRight">
    <w:name w:val="Header Sensitivity Right"/>
    <w:basedOn w:val="Normal"/>
    <w:link w:val="HeaderSensitivityRightChar"/>
    <w:rsid w:val="00360108"/>
    <w:pPr>
      <w:spacing w:after="120"/>
      <w:jc w:val="right"/>
    </w:pPr>
    <w:rPr>
      <w:sz w:val="28"/>
    </w:rPr>
  </w:style>
  <w:style w:type="character" w:customStyle="1" w:styleId="HeaderSensitivityRightChar">
    <w:name w:val="Header Sensitivity Right Char"/>
    <w:basedOn w:val="PagedecouvertureChar"/>
    <w:link w:val="HeaderSensitivityRight"/>
    <w:rsid w:val="00360108"/>
    <w:rPr>
      <w:rFonts w:eastAsiaTheme="minorHAnsi"/>
      <w:sz w:val="28"/>
      <w:szCs w:val="22"/>
      <w:lang w:eastAsia="en-US"/>
    </w:rPr>
  </w:style>
  <w:style w:type="character" w:customStyle="1" w:styleId="FooterChar">
    <w:name w:val="Footer Char"/>
    <w:basedOn w:val="DefaultParagraphFont"/>
    <w:link w:val="Footer"/>
    <w:uiPriority w:val="99"/>
    <w:rsid w:val="001658DA"/>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525024">
      <w:bodyDiv w:val="1"/>
      <w:marLeft w:val="0"/>
      <w:marRight w:val="0"/>
      <w:marTop w:val="0"/>
      <w:marBottom w:val="0"/>
      <w:divBdr>
        <w:top w:val="none" w:sz="0" w:space="0" w:color="auto"/>
        <w:left w:val="none" w:sz="0" w:space="0" w:color="auto"/>
        <w:bottom w:val="none" w:sz="0" w:space="0" w:color="auto"/>
        <w:right w:val="none" w:sz="0" w:space="0" w:color="auto"/>
      </w:divBdr>
    </w:div>
    <w:div w:id="834875421">
      <w:bodyDiv w:val="1"/>
      <w:marLeft w:val="0"/>
      <w:marRight w:val="0"/>
      <w:marTop w:val="0"/>
      <w:marBottom w:val="0"/>
      <w:divBdr>
        <w:top w:val="none" w:sz="0" w:space="0" w:color="auto"/>
        <w:left w:val="none" w:sz="0" w:space="0" w:color="auto"/>
        <w:bottom w:val="none" w:sz="0" w:space="0" w:color="auto"/>
        <w:right w:val="none" w:sz="0" w:space="0" w:color="auto"/>
      </w:divBdr>
    </w:div>
    <w:div w:id="872228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2.emf"/><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image" Target="media/image6.emf"/><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5.emf"/><Relationship Id="rId32"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4.png"/><Relationship Id="rId28" Type="http://schemas.openxmlformats.org/officeDocument/2006/relationships/header" Target="header4.xml"/><Relationship Id="rId10" Type="http://schemas.openxmlformats.org/officeDocument/2006/relationships/settings" Target="settings.xml"/><Relationship Id="rId19" Type="http://schemas.openxmlformats.org/officeDocument/2006/relationships/header" Target="header3.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image" Target="media/image3.emf"/><Relationship Id="rId27" Type="http://schemas.openxmlformats.org/officeDocument/2006/relationships/image" Target="media/image8.emf"/><Relationship Id="rId30" Type="http://schemas.openxmlformats.org/officeDocument/2006/relationships/footer" Target="footer4.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social/main.jsp?catId=325&amp;intPageId=3587&amp;langI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A6791DDFFC024DAA4136D92359EB10" ma:contentTypeVersion="10" ma:contentTypeDescription="Create a new document." ma:contentTypeScope="" ma:versionID="e3b3dae1ca7149b001a9a75c06be60fa">
  <xsd:schema xmlns:xsd="http://www.w3.org/2001/XMLSchema" xmlns:xs="http://www.w3.org/2001/XMLSchema" xmlns:p="http://schemas.microsoft.com/office/2006/metadata/properties" xmlns:ns2="cce4269c-1bca-4c47-bcbd-0ca0cb14aa6e" xmlns:ns3="96a7f24e-e0df-4592-b6e0-4a62e251a0e5" targetNamespace="http://schemas.microsoft.com/office/2006/metadata/properties" ma:root="true" ma:fieldsID="036d0781e4d535b42e2bab0443721fd6" ns2:_="" ns3:_="">
    <xsd:import namespace="cce4269c-1bca-4c47-bcbd-0ca0cb14aa6e"/>
    <xsd:import namespace="96a7f24e-e0df-4592-b6e0-4a62e251a0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4269c-1bca-4c47-bcbd-0ca0cb14aa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7f24e-e0df-4592-b6e0-4a62e251a0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2024-11-03T22:48:50</Date>
    <Language>EN</Language>
    <Note>Created using 'Convert To Eurolook'</Note>
  </Created>
  <Edited>
    <Version/>
    <Date/>
  </Edited>
  <DocumentModel>
    <Id>f8c36bec-0f9f-4d0e-ab25-ee5c0421ad8b</Id>
    <Name>Note for the file</Name>
  </DocumentModel>
  <CustomTemplate>
    <Id/>
    <Name/>
  </CustomTemplate>
  <DocumentDate>2024-11-03T22:48:50</DocumentDate>
  <DocumentVersion>0.1</DocumentVersion>
  <CompatibilityMode>Eurolook10</CompatibilityMode>
  <DocumentMetadata>
    <EC_SecurityDateMarking MetadataSerializationType="SimpleValue"/>
    <EC_SecurityDistributionSpecialHandling MetadataSerializationType="SimpleValue"/>
    <EC_SecurityDistributionSensitive MetadataSerializationType="SimpleValue"/>
    <EC_SecurityMarking MetadataSerializationType="SimpleValue"/>
    <EC_SecurityDistributionWorkingGroup MetadataSerializationType="SimpleValue"/>
    <EC_SecurityDateMarkingDate MetadataSerializationType="SimpleValue"/>
    <EC_SecurityReleasability MetadataSerializationType="SimpleValue"/>
    <EC_SecurityDistributionDG MetadataSerializationType="SimpleValue"/>
    <EC_SecurityDateMarkingEvent MetadataSerializationType="SimpleValue"/>
  </DocumentMetadata>
</EurolookProperties>
</file>

<file path=customXml/item3.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4.xml><?xml version="1.0" encoding="utf-8"?>
<FormTemplates xmlns="http://schemas.microsoft.com/sharepoint/v3/contenttype/forms">
  <Display>DocumentLibraryForm</Display>
  <Edit>DocumentLibraryForm</Edit>
  <New>DocumentLibraryForm</New>
</FormTemplates>
</file>

<file path=customXml/item5.xml><?xml version="1.0" encoding="utf-8"?>
<Author Role="Creator" AuthorRoleName="Writer" AuthorRoleId="a4fbaff4-b07c-48b4-a21e-e7b9eedf3796">
  <Id>5916d707-d898-42a5-99bd-db8eedc3fc7c</Id>
  <Names>
    <Latin>
      <FirstName>Anett</FirstName>
      <LastName>TOROK‑VIVANCO</LastName>
    </Latin>
    <Greek>
      <FirstName/>
      <LastName/>
    </Greek>
    <Cyrillic>
      <FirstName/>
      <LastName/>
    </Cyrillic>
    <DocumentScript>
      <FirstName>Anett</FirstName>
      <LastName>TOROK‑VIVANCO</LastName>
      <FullName>Anett TOROK‑VIVANCO</FullName>
    </DocumentScript>
  </Names>
  <Initials>AT</Initials>
  <Gender>f</Gender>
  <Email>Anett.TOROK@ec.europa.eu</Email>
  <Service>AGRI.H.2</Service>
  <Function ADCode="40" ShowInSignature="true" ShowInHeader="false" HeaderText="">Deputy Head of Unit</Function>
  <WebAddress/>
  <FunctionalMailbox/>
  <InheritedWebAddress>http://europa.eu</InheritedWebAddress>
  <OrgaEntity1>
    <Id>dceee1a0-d6c4-4ae4-85b1-ca07eb5e67fa</Id>
    <LogicalLevel>1</LogicalLevel>
    <Name>AGRI</Name>
    <HeadLine1>DIRECTORATE-GENERAL FOR AGRICULTURE AND RURAL DEVELOPMENT</HeadLine1>
    <HeadLine2/>
    <PrimaryAddressId>f03b5801-04c9-4931-aa17-c6d6c70bc579</PrimaryAddressId>
    <SecondaryAddressId/>
    <WebAddress/>
    <InheritedWebAddress>http://europa.eu</InheritedWebAddress>
    <ShowInHeader>true</ShowInHeader>
  </OrgaEntity1>
  <OrgaEntity2>
    <Id>4dce8d4a-a099-4324-a42b-1fbebfff275b</Id>
    <LogicalLevel>2</LogicalLevel>
    <Name>AGRI.H</Name>
    <HeadLine1/>
    <HeadLine2/>
    <PrimaryAddressId>f03b5801-04c9-4931-aa17-c6d6c70bc579</PrimaryAddressId>
    <SecondaryAddressId/>
    <WebAddress/>
    <InheritedWebAddress>http://europa.eu</InheritedWebAddress>
    <ShowInHeader>true</ShowInHeader>
  </OrgaEntity2>
  <OrgaEntity3>
    <Id>ae7fbb45-95dc-4aaf-af93-31ea3decd61a</Id>
    <LogicalLevel>3</LogicalLevel>
    <Name>AGRI.H.2</Name>
    <HeadLine1>H.2 – Assurance and Audit - Governance Systems I</HeadLine1>
    <HeadLine2/>
    <PrimaryAddressId>f03b5801-04c9-4931-aa17-c6d6c70bc579</PrimaryAddressId>
    <SecondaryAddressId/>
    <WebAddress/>
    <InheritedWebAddress>http://europa.eu</InheritedWebAddress>
    <ShowInHeader>true</ShowInHeader>
  </OrgaEntity3>
  <Hierarchy>
    <OrgaEntity>
      <Id>dceee1a0-d6c4-4ae4-85b1-ca07eb5e67fa</Id>
      <LogicalLevel>1</LogicalLevel>
      <Name>AGRI</Name>
      <HeadLine1>DIRECTORATE-GENERAL FOR AGRICULTURE AND RURAL DEVELOPMENT</HeadLine1>
      <HeadLine2/>
      <PrimaryAddressId>f03b5801-04c9-4931-aa17-c6d6c70bc579</PrimaryAddressId>
      <SecondaryAddressId/>
      <WebAddress/>
      <InheritedWebAddress>http://europa.eu</InheritedWebAddress>
      <ShowInHeader>true</ShowInHeader>
    </OrgaEntity>
    <OrgaEntity>
      <Id>4dce8d4a-a099-4324-a42b-1fbebfff275b</Id>
      <LogicalLevel>2</LogicalLevel>
      <Name>AGRI.H</Name>
      <HeadLine1>Directorate H – Assurance and audit</HeadLine1>
      <HeadLine2/>
      <PrimaryAddressId>f03b5801-04c9-4931-aa17-c6d6c70bc579</PrimaryAddressId>
      <SecondaryAddressId/>
      <WebAddress/>
      <InheritedWebAddress>http://europa.eu</InheritedWebAddress>
      <ShowInHeader>true</ShowInHeader>
    </OrgaEntity>
    <OrgaEntity>
      <Id>ae7fbb45-95dc-4aaf-af93-31ea3decd61a</Id>
      <LogicalLevel>3</LogicalLevel>
      <Name>AGRI.H.2</Name>
      <HeadLine1>H.2 – Assurance and Audit - Governance Systems I</HeadLine1>
      <HeadLine2/>
      <PrimaryAddressId>f03b5801-04c9-4931-aa17-c6d6c70bc579</PrimaryAddressId>
      <SecondaryAddressId/>
      <WebAddress/>
      <InheritedWebAddress>http://europa.eu</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es>
  <JobAssignmentId/>
  <MainWorkplace IsMain="true">
    <AddressId>f03b5801-04c9-4931-aa17-c6d6c70bc579</AddressId>
    <Fax/>
    <Phone>+32 229-51788</Phone>
    <Office>L130 05/172</Office>
  </MainWorkplace>
  <Workplaces>
    <Workplace IsMain="true">
      <AddressId>f03b5801-04c9-4931-aa17-c6d6c70bc579</AddressId>
      <Fax/>
      <Phone>+32 229-51788</Phone>
      <Office>L130 05/172</Office>
    </Workplace>
  </Workplaces>
</Author>
</file>

<file path=customXml/item6.xml><?xml version="1.0" encoding="utf-8"?>
<p:properties xmlns:p="http://schemas.microsoft.com/office/2006/metadata/properties" xmlns:xsi="http://www.w3.org/2001/XMLSchema-instance" xmlns:pc="http://schemas.microsoft.com/office/infopath/2007/PartnerControls">
  <documentManagement>
    <SharedWithUsers xmlns="96a7f24e-e0df-4592-b6e0-4a62e251a0e5">
      <UserInfo>
        <DisplayName/>
        <AccountId xsi:nil="true"/>
        <AccountType/>
      </UserInfo>
    </SharedWithUsers>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8BF37-FB1C-4C9E-9340-EC47660F8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e4269c-1bca-4c47-bcbd-0ca0cb14aa6e"/>
    <ds:schemaRef ds:uri="96a7f24e-e0df-4592-b6e0-4a62e251a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4EF90DE6-88B6-4264-9629-4D8DFDFE87D2}">
  <ds:schemaRefs/>
</ds:datastoreItem>
</file>

<file path=customXml/itemProps4.xml><?xml version="1.0" encoding="utf-8"?>
<ds:datastoreItem xmlns:ds="http://schemas.openxmlformats.org/officeDocument/2006/customXml" ds:itemID="{F91C6EBD-7787-490C-9FE2-130CE90F968A}">
  <ds:schemaRefs>
    <ds:schemaRef ds:uri="http://schemas.microsoft.com/sharepoint/v3/contenttype/forms"/>
  </ds:schemaRefs>
</ds:datastoreItem>
</file>

<file path=customXml/itemProps5.xml><?xml version="1.0" encoding="utf-8"?>
<ds:datastoreItem xmlns:ds="http://schemas.openxmlformats.org/officeDocument/2006/customXml" ds:itemID="{ED148D05-5C8F-46CA-98BD-0C0DD2D4B723}">
  <ds:schemaRefs/>
</ds:datastoreItem>
</file>

<file path=customXml/itemProps6.xml><?xml version="1.0" encoding="utf-8"?>
<ds:datastoreItem xmlns:ds="http://schemas.openxmlformats.org/officeDocument/2006/customXml" ds:itemID="{DD8B6E26-7100-4976-9DD1-DA4BC337DC58}">
  <ds:schemaRefs>
    <ds:schemaRef ds:uri="http://schemas.microsoft.com/office/2006/metadata/properties"/>
    <ds:schemaRef ds:uri="http://schemas.microsoft.com/office/infopath/2007/PartnerControls"/>
    <ds:schemaRef ds:uri="96a7f24e-e0df-4592-b6e0-4a62e251a0e5"/>
  </ds:schemaRefs>
</ds:datastoreItem>
</file>

<file path=customXml/itemProps7.xml><?xml version="1.0" encoding="utf-8"?>
<ds:datastoreItem xmlns:ds="http://schemas.openxmlformats.org/officeDocument/2006/customXml" ds:itemID="{38C35149-3187-4651-A772-A363055C4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12</Pages>
  <Words>4797</Words>
  <Characters>27345</Characters>
  <Application>Microsoft Office Word</Application>
  <DocSecurity>0</DocSecurity>
  <PresentationFormat>Microsoft Word 14.0</PresentationFormat>
  <Lines>227</Lines>
  <Paragraphs>64</Paragraphs>
  <ScaleCrop>true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10</cp:revision>
  <dcterms:created xsi:type="dcterms:W3CDTF">2024-12-16T10:42:00Z</dcterms:created>
  <dcterms:modified xsi:type="dcterms:W3CDTF">2025-02-21T08:06:00Z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2024-11-03T21:56:12Z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f9088b73-ee9d-48e6-9187-60a5c121dd36</vt:lpwstr>
  </property>
  <property fmtid="{D5CDD505-2E9C-101B-9397-08002B2CF9AE}" pid="8" name="MSIP_Label_6bd9ddd1-4d20-43f6-abfa-fc3c07406f94_ContentBits">
    <vt:lpwstr>0</vt:lpwstr>
  </property>
  <property fmtid="{D5CDD505-2E9C-101B-9397-08002B2CF9AE}" pid="9" name="ContentTypeId">
    <vt:lpwstr>0x0101008BA6791DDFFC024DAA4136D92359EB10</vt:lpwstr>
  </property>
  <property fmtid="{D5CDD505-2E9C-101B-9397-08002B2CF9AE}" pid="10" name="xd_ProgID">
    <vt:lpwstr/>
  </property>
  <property fmtid="{D5CDD505-2E9C-101B-9397-08002B2CF9AE}" pid="11" name="MediaServiceImageTags">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Level of sensitivity">
    <vt:lpwstr>Standard treatment</vt:lpwstr>
  </property>
  <property fmtid="{D5CDD505-2E9C-101B-9397-08002B2CF9AE}" pid="18" name="_LW_INVALIDATED_EurolookVersion">
    <vt:lpwstr>10.0</vt:lpwstr>
  </property>
  <property fmtid="{D5CDD505-2E9C-101B-9397-08002B2CF9AE}" pid="19" name="Part">
    <vt:lpwstr>1</vt:lpwstr>
  </property>
  <property fmtid="{D5CDD505-2E9C-101B-9397-08002B2CF9AE}" pid="20" name="Total parts">
    <vt:lpwstr>1</vt:lpwstr>
  </property>
  <property fmtid="{D5CDD505-2E9C-101B-9397-08002B2CF9AE}" pid="21" name="DocStatus">
    <vt:lpwstr>Green</vt:lpwstr>
  </property>
  <property fmtid="{D5CDD505-2E9C-101B-9397-08002B2CF9AE}" pid="22" name="CPTemplateID">
    <vt:lpwstr>CP-003</vt:lpwstr>
  </property>
  <property fmtid="{D5CDD505-2E9C-101B-9397-08002B2CF9AE}" pid="23" name="Last edited using">
    <vt:lpwstr>LW 9.1, Build 20240808</vt:lpwstr>
  </property>
  <property fmtid="{D5CDD505-2E9C-101B-9397-08002B2CF9AE}" pid="24" name="Created using">
    <vt:lpwstr>LW 9.0, Build 20230317</vt:lpwstr>
  </property>
  <property name="OP_sanitized" fmtid="{D5CDD505-2E9C-101B-9397-08002B2CF9AE}" pid="25">
    <vt:lpwstr>True</vt:lpwstr>
  </property>
</Properties>
</file>