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0E2" w:rsidRPr="001C70ED" w:rsidRDefault="00EF59B3" w:rsidP="00EF59B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DA0D3AC-9924-4E55-9B11-60AE0DE30001" style="width:455.25pt;height:479.25pt">
            <v:imagedata r:id="rId11" o:title=""/>
          </v:shape>
        </w:pict>
      </w:r>
    </w:p>
    <w:p w:rsidR="006660E2" w:rsidRPr="001C70ED" w:rsidRDefault="006660E2" w:rsidP="006660E2">
      <w:pPr>
        <w:rPr>
          <w:noProof/>
        </w:rPr>
        <w:sectPr w:rsidR="006660E2" w:rsidRPr="001C70ED" w:rsidSect="00EF59B3">
          <w:footerReference w:type="even" r:id="rId12"/>
          <w:footerReference w:type="default" r:id="rId13"/>
          <w:pgSz w:w="11907" w:h="16839"/>
          <w:pgMar w:top="1134" w:right="1417" w:bottom="1134" w:left="1417" w:header="709" w:footer="709" w:gutter="0"/>
          <w:pgNumType w:start="0"/>
          <w:cols w:space="720"/>
          <w:docGrid w:linePitch="360"/>
        </w:sectPr>
      </w:pPr>
    </w:p>
    <w:p w:rsidR="006660E2" w:rsidRPr="001C70ED" w:rsidRDefault="006660E2" w:rsidP="000B24F9">
      <w:pPr>
        <w:pStyle w:val="Exposdesmotifstitre"/>
        <w:rPr>
          <w:noProof/>
        </w:rPr>
      </w:pPr>
      <w:bookmarkStart w:id="0" w:name="_GoBack"/>
      <w:bookmarkEnd w:id="0"/>
      <w:r w:rsidRPr="001C70ED">
        <w:rPr>
          <w:noProof/>
        </w:rPr>
        <w:lastRenderedPageBreak/>
        <w:t>ОБЯСНИТЕЛЕН МЕМОРАНДУМ</w:t>
      </w:r>
    </w:p>
    <w:p w:rsidR="006660E2" w:rsidRPr="001C70ED" w:rsidRDefault="00023CC0" w:rsidP="00023CC0">
      <w:pPr>
        <w:pStyle w:val="ManualHeading1"/>
        <w:rPr>
          <w:rFonts w:eastAsia="Arial Unicode MS"/>
          <w:noProof/>
        </w:rPr>
      </w:pPr>
      <w:r w:rsidRPr="00023CC0">
        <w:rPr>
          <w:noProof/>
        </w:rPr>
        <w:t>1.</w:t>
      </w:r>
      <w:r w:rsidRPr="00023CC0">
        <w:rPr>
          <w:noProof/>
        </w:rPr>
        <w:tab/>
      </w:r>
      <w:r w:rsidR="006660E2" w:rsidRPr="001C70ED">
        <w:rPr>
          <w:noProof/>
        </w:rPr>
        <w:t>Предмет на предложението</w:t>
      </w:r>
    </w:p>
    <w:p w:rsidR="005E5D8F" w:rsidRPr="001C70ED" w:rsidRDefault="005E5D8F" w:rsidP="005E5D8F">
      <w:pPr>
        <w:rPr>
          <w:rFonts w:eastAsia="Arial Unicode MS"/>
          <w:noProof/>
        </w:rPr>
      </w:pPr>
      <w:r w:rsidRPr="001C70ED">
        <w:rPr>
          <w:noProof/>
        </w:rPr>
        <w:t>Настоящото предложение се отнася до:</w:t>
      </w:r>
    </w:p>
    <w:p w:rsidR="005E5D8F" w:rsidRPr="001C70ED" w:rsidRDefault="005E5D8F" w:rsidP="005E5D8F">
      <w:pPr>
        <w:rPr>
          <w:rFonts w:eastAsia="Arial Unicode MS"/>
          <w:noProof/>
        </w:rPr>
      </w:pPr>
      <w:r w:rsidRPr="001C70ED">
        <w:rPr>
          <w:noProof/>
        </w:rPr>
        <w:t xml:space="preserve">i) позицията, която трябва да се заеме от името на Съюза на 233-тата сесия на Съвета на Международната организация за гражданско въздухоплаване (ИКАО) във връзка с предложените изменения на глава 1 („Определения и общи принципи“), глава 3 („Влизане и заминаване на лица и на техния багаж“), част С („Сигурност на документите за пътуване“), част D („Документи за пътуване“), част G („Карти при пристигане/заминаване“), част H („Проверка на документите за пътуване“) и глава 8 („Разпоредби за улесняване, които обхващат определени области“), част H („Трафик на хора“) и част I („Трафик на екземпляри от дивата флора и фауна“), както са включени в изменение 30 на приложение 9 — </w:t>
      </w:r>
      <w:r w:rsidRPr="001C70ED">
        <w:rPr>
          <w:i/>
          <w:iCs/>
          <w:noProof/>
        </w:rPr>
        <w:t>Улесняване</w:t>
      </w:r>
      <w:r w:rsidRPr="001C70ED">
        <w:rPr>
          <w:noProof/>
        </w:rPr>
        <w:t xml:space="preserve">, от Конвенцията за международно гражданско въздухоплаване с цел да се </w:t>
      </w:r>
      <w:r w:rsidRPr="001C70ED">
        <w:rPr>
          <w:noProof/>
          <w:shd w:val="clear" w:color="auto" w:fill="FFFFFF"/>
        </w:rPr>
        <w:t>облекчи</w:t>
      </w:r>
      <w:r w:rsidRPr="001C70ED">
        <w:rPr>
          <w:noProof/>
        </w:rPr>
        <w:t xml:space="preserve"> </w:t>
      </w:r>
      <w:r w:rsidRPr="001C70ED">
        <w:rPr>
          <w:rStyle w:val="Strong"/>
          <w:noProof/>
        </w:rPr>
        <w:t>обработването на въздухоплавателните средства, пътниците, товарите и пощата в рамките на охраняемите граници</w:t>
      </w:r>
      <w:r w:rsidRPr="001C70ED">
        <w:rPr>
          <w:noProof/>
        </w:rPr>
        <w:t xml:space="preserve"> </w:t>
      </w:r>
      <w:r w:rsidRPr="001C70ED">
        <w:rPr>
          <w:noProof/>
          <w:shd w:val="clear" w:color="auto" w:fill="FFFFFF"/>
        </w:rPr>
        <w:t>по отношение на изискванията на митническите и имиграционните органи, както и тези на органите, отговарящи за общественото здравеопазване и селското стопанство.</w:t>
      </w:r>
      <w:r w:rsidRPr="001C70ED">
        <w:rPr>
          <w:noProof/>
          <w:color w:val="111111"/>
          <w:shd w:val="clear" w:color="auto" w:fill="FFFFFF"/>
        </w:rPr>
        <w:t xml:space="preserve"> </w:t>
      </w:r>
      <w:r w:rsidRPr="001C70ED">
        <w:rPr>
          <w:noProof/>
          <w:shd w:val="clear" w:color="auto" w:fill="FFFFFF"/>
        </w:rPr>
        <w:t>Предложените изменения се съдържат в изменение 30</w:t>
      </w:r>
      <w:r w:rsidRPr="001C70ED">
        <w:rPr>
          <w:noProof/>
        </w:rPr>
        <w:t>, което е включено в писмото до държавите EC 6/3-24/67 от 19 юни 2024 г. и по което ще се гласува на 233-тата сесия на Съвета на Международната организация за гражданско въздухоплаване;</w:t>
      </w:r>
    </w:p>
    <w:p w:rsidR="005E5D8F" w:rsidRPr="001C70ED" w:rsidRDefault="005E5D8F" w:rsidP="005E5D8F">
      <w:pPr>
        <w:rPr>
          <w:rFonts w:eastAsia="Arial Unicode MS"/>
          <w:i/>
          <w:iCs/>
          <w:noProof/>
        </w:rPr>
      </w:pPr>
      <w:r w:rsidRPr="001C70ED">
        <w:rPr>
          <w:noProof/>
        </w:rPr>
        <w:t xml:space="preserve">ii) позицията, която трябва да се заеме от името на Съюза, след като ИКАО обяви приемането на изменение 30 на приложение 9 — </w:t>
      </w:r>
      <w:r w:rsidRPr="001C70ED">
        <w:rPr>
          <w:i/>
          <w:noProof/>
        </w:rPr>
        <w:t>Улесняване</w:t>
      </w:r>
      <w:r w:rsidRPr="001C70ED">
        <w:rPr>
          <w:noProof/>
        </w:rPr>
        <w:t>, в съответните писма до държавите, с които приканва договарящите държави да я уведомят за евентуалните различия или за спазването на приетите мерки.</w:t>
      </w:r>
    </w:p>
    <w:p w:rsidR="006660E2" w:rsidRPr="001C70ED" w:rsidRDefault="00023CC0" w:rsidP="00023CC0">
      <w:pPr>
        <w:pStyle w:val="ManualHeading1"/>
        <w:rPr>
          <w:noProof/>
        </w:rPr>
      </w:pPr>
      <w:r w:rsidRPr="00023CC0">
        <w:rPr>
          <w:noProof/>
        </w:rPr>
        <w:t>2.</w:t>
      </w:r>
      <w:r w:rsidRPr="00023CC0">
        <w:rPr>
          <w:noProof/>
        </w:rPr>
        <w:tab/>
      </w:r>
      <w:r w:rsidR="006660E2" w:rsidRPr="001C70ED">
        <w:rPr>
          <w:noProof/>
        </w:rPr>
        <w:t>Контекст на предложението</w:t>
      </w:r>
    </w:p>
    <w:p w:rsidR="005E5D8F" w:rsidRPr="001C70ED" w:rsidRDefault="005E5D8F" w:rsidP="005E5D8F">
      <w:pPr>
        <w:pStyle w:val="ManualHeading2"/>
        <w:rPr>
          <w:noProof/>
        </w:rPr>
      </w:pPr>
      <w:r w:rsidRPr="001C70ED">
        <w:rPr>
          <w:noProof/>
        </w:rPr>
        <w:t>2.1.</w:t>
      </w:r>
      <w:r w:rsidRPr="001C70ED">
        <w:rPr>
          <w:noProof/>
        </w:rPr>
        <w:tab/>
        <w:t>Конвенция за международно гражданско въздухоплаване</w:t>
      </w:r>
    </w:p>
    <w:p w:rsidR="005E5D8F" w:rsidRPr="001C70ED" w:rsidRDefault="005E5D8F" w:rsidP="005E5D8F">
      <w:pPr>
        <w:ind w:left="-5"/>
        <w:rPr>
          <w:noProof/>
        </w:rPr>
      </w:pPr>
      <w:r w:rsidRPr="001C70ED">
        <w:rPr>
          <w:noProof/>
        </w:rPr>
        <w:t>Конвенцията за международно гражданско въздухоплаване („Чикагската конвенция“) има за цел да регулира международния въздушен транспорт. Чикагската конвенция влезе в сила на 4 април 1947 г. и с нея беше учредена Международната организация за гражданско въздухоплаване.</w:t>
      </w:r>
    </w:p>
    <w:p w:rsidR="005E5D8F" w:rsidRPr="001C70ED" w:rsidRDefault="005E5D8F" w:rsidP="005E5D8F">
      <w:pPr>
        <w:ind w:left="-5"/>
        <w:rPr>
          <w:rFonts w:eastAsia="Arial Unicode MS"/>
          <w:noProof/>
        </w:rPr>
      </w:pPr>
      <w:r w:rsidRPr="001C70ED">
        <w:rPr>
          <w:noProof/>
        </w:rPr>
        <w:t>Всички държави — членки на ЕС, са страни по Чикагската конвенция.</w:t>
      </w:r>
    </w:p>
    <w:p w:rsidR="005E5D8F" w:rsidRPr="001C70ED" w:rsidRDefault="005E5D8F" w:rsidP="005E5D8F">
      <w:pPr>
        <w:pStyle w:val="ManualHeading2"/>
        <w:rPr>
          <w:noProof/>
        </w:rPr>
      </w:pPr>
      <w:r w:rsidRPr="001C70ED">
        <w:rPr>
          <w:noProof/>
        </w:rPr>
        <w:t>2.2.</w:t>
      </w:r>
      <w:r w:rsidRPr="001C70ED">
        <w:rPr>
          <w:noProof/>
        </w:rPr>
        <w:tab/>
        <w:t>Международна организация за гражданско въздухоплаване</w:t>
      </w:r>
    </w:p>
    <w:p w:rsidR="005E5D8F" w:rsidRPr="001C70ED" w:rsidRDefault="005E5D8F" w:rsidP="005E5D8F">
      <w:pPr>
        <w:rPr>
          <w:rFonts w:eastAsia="Arial Unicode MS"/>
          <w:noProof/>
        </w:rPr>
      </w:pPr>
      <w:r w:rsidRPr="001C70ED">
        <w:rPr>
          <w:noProof/>
        </w:rPr>
        <w:t xml:space="preserve">Международната организация за гражданско въздухоплаване е специализирана агенция на Организацията на обединените нации. Нейните цели и задачи са да развива принципите и техниките на международното въздухоплаване и да насърчава планирането и развитието на международния въздушен транспорт. </w:t>
      </w:r>
    </w:p>
    <w:p w:rsidR="005E5D8F" w:rsidRPr="001C70ED" w:rsidRDefault="005E5D8F" w:rsidP="005E5D8F">
      <w:pPr>
        <w:rPr>
          <w:rFonts w:eastAsia="Arial Unicode MS"/>
          <w:noProof/>
        </w:rPr>
      </w:pPr>
      <w:r w:rsidRPr="001C70ED">
        <w:rPr>
          <w:noProof/>
        </w:rPr>
        <w:t>Съветът на ИКАО е постоянен орган на ИКАО, който се състои от представители на 36 договарящи държави, избрани от събранието на ИКАО за период от три години. За периода 2022—2025 г. в Съвета на ИКАО са представени шест държави — членки на ЕС, а именно Австрия, Франция, Германия, Италия, Румъния и Испания.</w:t>
      </w:r>
    </w:p>
    <w:p w:rsidR="005E5D8F" w:rsidRPr="001C70ED" w:rsidRDefault="005E5D8F" w:rsidP="005E5D8F">
      <w:pPr>
        <w:rPr>
          <w:noProof/>
        </w:rPr>
      </w:pPr>
      <w:r w:rsidRPr="001C70ED">
        <w:rPr>
          <w:noProof/>
        </w:rPr>
        <w:t xml:space="preserve">Задължителните функции на Съвета на ИКАО, изброени в член 54 от Чикагската конвенция, включват приемането на международни стандарти и препоръчителни практики (SARP), определени като приложения към Чикагската конвенция. </w:t>
      </w:r>
    </w:p>
    <w:p w:rsidR="005E5D8F" w:rsidRPr="001C70ED" w:rsidRDefault="005E5D8F" w:rsidP="005E5D8F">
      <w:pPr>
        <w:rPr>
          <w:rFonts w:eastAsia="Arial Unicode MS"/>
          <w:noProof/>
        </w:rPr>
      </w:pPr>
      <w:r w:rsidRPr="001C70ED">
        <w:rPr>
          <w:noProof/>
        </w:rPr>
        <w:t>Съгласно член 37, буква j) от Чикагската конвенция ИКАО приема и изменя периодично, ако е необходимо, международните стандарти и препоръчителните практики и процедури, свързани с митническите и имиграционните формалности.</w:t>
      </w:r>
    </w:p>
    <w:p w:rsidR="005E5D8F" w:rsidRPr="001C70ED" w:rsidRDefault="005E5D8F" w:rsidP="005E5D8F">
      <w:pPr>
        <w:rPr>
          <w:rFonts w:eastAsia="Arial Unicode MS"/>
          <w:noProof/>
        </w:rPr>
      </w:pPr>
      <w:r w:rsidRPr="001C70ED">
        <w:rPr>
          <w:noProof/>
        </w:rPr>
        <w:t>Съгласно член 90 от Чикагската конвенция приемането на приложенията от Съвета изисква съгласието на две трети от гласувалите в Съвета на заседание, свикано за тази цел, след което те се съобщават от Съвета на всяка договаряща държава. Всяко такова приложение или всяко изменение на дадено приложение влиза в сила след изтичането на тримесечен срок от неговото съобщаване на съответните договарящи държави, членуващи в ИКАО, или след изтичането на по-продължителен срок, определен от Съвета на ИКАО, освен ако през това време мнозинството от договарящите държави, членуващи в ИКАО, заявят своето несъгласие.</w:t>
      </w:r>
    </w:p>
    <w:p w:rsidR="005E5D8F" w:rsidRPr="001C70ED" w:rsidRDefault="005E5D8F" w:rsidP="005E5D8F">
      <w:pPr>
        <w:rPr>
          <w:noProof/>
        </w:rPr>
      </w:pPr>
      <w:r w:rsidRPr="001C70ED">
        <w:rPr>
          <w:noProof/>
        </w:rPr>
        <w:t>В съответствие с член 38 от Чикагската конвенция всяка договаряща държава, която прецени, че е невъзможно да се съобразява във всички отношения с подобен международен стандарт или процедура или да приведе своите собствени разпоредби или практики в пълно съответствие с който и да е международен стандарт или процедури, или която сметне за необходимо да приеме разпоредби или практики, отличаващи се в някакво конкретно отношение от тези, които са установени с даден международен стандарт, трябва незабавно да уведоми ИКАО за различията между нейната собствена практика и установената с международния стандарт такава. В случай на изменение на международни стандарти всяка държава, която не внесе съответните изменения в своите собствени разпоредби или практики, трябва да уведоми Съвета за това в рамките на шестдесет дни след приемането на изменението на международните стандарти или да посочи действието, което предлага да предприеме. Във всеки такъв случай Съветът незабавно уведомява всички останали държави за съществуващата разлика между една или повече характеристики на даден международен стандарт и съответната национална практика на тази държава.</w:t>
      </w:r>
    </w:p>
    <w:p w:rsidR="005E5D8F" w:rsidRPr="001C70ED" w:rsidRDefault="005E5D8F" w:rsidP="005E5D8F">
      <w:pPr>
        <w:pStyle w:val="ManualHeading2"/>
        <w:rPr>
          <w:noProof/>
        </w:rPr>
      </w:pPr>
      <w:r w:rsidRPr="001C70ED">
        <w:rPr>
          <w:noProof/>
        </w:rPr>
        <w:t>2.3.</w:t>
      </w:r>
      <w:r w:rsidRPr="001C70ED">
        <w:rPr>
          <w:noProof/>
        </w:rPr>
        <w:tab/>
        <w:t>Предвиденият акт на ИКАО и връзката му със съществуващите правила на Съюза</w:t>
      </w:r>
    </w:p>
    <w:p w:rsidR="005E5D8F" w:rsidRPr="001C70ED" w:rsidRDefault="005E5D8F" w:rsidP="005E5D8F">
      <w:pPr>
        <w:rPr>
          <w:rFonts w:eastAsia="Arial Unicode MS"/>
          <w:noProof/>
        </w:rPr>
      </w:pPr>
      <w:r w:rsidRPr="001C70ED">
        <w:rPr>
          <w:noProof/>
        </w:rPr>
        <w:t xml:space="preserve">По време на своята 233-та или следваща сесия се очаква Съветът на ИКАО да разгледа и приеме изменение 30 на приложение 9 — </w:t>
      </w:r>
      <w:r w:rsidRPr="001C70ED">
        <w:rPr>
          <w:i/>
          <w:noProof/>
        </w:rPr>
        <w:t>Улесняване</w:t>
      </w:r>
      <w:r w:rsidRPr="001C70ED">
        <w:rPr>
          <w:noProof/>
        </w:rPr>
        <w:t xml:space="preserve">, както е посочено в писмото до държавите EC 6/3-24/67, произтичащо от прегледа на приложение 9 — </w:t>
      </w:r>
      <w:r w:rsidRPr="001C70ED">
        <w:rPr>
          <w:i/>
          <w:noProof/>
        </w:rPr>
        <w:t>Улесняване</w:t>
      </w:r>
      <w:r w:rsidRPr="001C70ED">
        <w:rPr>
          <w:noProof/>
        </w:rPr>
        <w:t xml:space="preserve">, проведено от комисията по въпросите на улесняването (FAL) по време на тринадесетото ѝ заседание, проведено от 26 февруари до 1 март 2024 г. (FALP/13). </w:t>
      </w:r>
    </w:p>
    <w:p w:rsidR="005E5D8F" w:rsidRPr="001C70ED" w:rsidRDefault="005E5D8F" w:rsidP="008A683C">
      <w:pPr>
        <w:pStyle w:val="Tiret0"/>
        <w:numPr>
          <w:ilvl w:val="0"/>
          <w:numId w:val="10"/>
        </w:numPr>
        <w:rPr>
          <w:noProof/>
        </w:rPr>
      </w:pPr>
      <w:r w:rsidRPr="001C70ED">
        <w:rPr>
          <w:noProof/>
        </w:rPr>
        <w:t xml:space="preserve">Приложение 9 — </w:t>
      </w:r>
      <w:r w:rsidRPr="001C70ED">
        <w:rPr>
          <w:i/>
          <w:noProof/>
        </w:rPr>
        <w:t>Улесняване</w:t>
      </w:r>
      <w:r w:rsidRPr="001C70ED">
        <w:rPr>
          <w:noProof/>
        </w:rPr>
        <w:t xml:space="preserve">, се основава на 10 члена от Чикагската конвенция, които изискват общността на гражданското въздухоплаване да спазва законите, уреждащи контрола на въздухоплавателни средства, товари и пътници от митническите и имиграционните органи, както и от органите, отговарящи за селското стопанство и общественото здравеопазване. Приложение 9 конкретно се отнася до улесняване на обработването на въздухоплавателните средства и търговското въздушно движение, както за пътници, така и за товари в рамките на охраняемите граници по отношение на изискванията, </w:t>
      </w:r>
      <w:r w:rsidRPr="001C70ED">
        <w:rPr>
          <w:i/>
          <w:noProof/>
        </w:rPr>
        <w:t>inter alia</w:t>
      </w:r>
      <w:r w:rsidRPr="001C70ED">
        <w:rPr>
          <w:noProof/>
        </w:rPr>
        <w:t>, на митническите и имиграционните органи, както и тези на органите, отговарящи за общественото здравеопазване и селското стопанство.</w:t>
      </w:r>
    </w:p>
    <w:p w:rsidR="005E5D8F" w:rsidRPr="001C70ED" w:rsidRDefault="005E5D8F" w:rsidP="00BE0090">
      <w:pPr>
        <w:pStyle w:val="Tiret0"/>
        <w:rPr>
          <w:noProof/>
        </w:rPr>
      </w:pPr>
      <w:r w:rsidRPr="001C70ED">
        <w:rPr>
          <w:noProof/>
        </w:rPr>
        <w:t>Изменение 30 на приложение 9 включва, наред с другото, нови и/или преразгледани разпоредби относно влизането и заминаването на лица и техния багаж, съоръженията и услугите на международните летища за въздушното движение, резервационните данни на пътниците (PNR), предварителната информация за пътниците (API), трафика на хора, както и преместването на свързаните със здравеопазването разпоредби от други глави в глава 10 от приложението.</w:t>
      </w:r>
    </w:p>
    <w:p w:rsidR="000E7028" w:rsidRPr="001C70ED" w:rsidRDefault="000E7028" w:rsidP="00BE0090">
      <w:pPr>
        <w:pStyle w:val="Tiret0"/>
        <w:rPr>
          <w:i/>
          <w:iCs/>
          <w:noProof/>
        </w:rPr>
      </w:pPr>
      <w:r w:rsidRPr="001C70ED">
        <w:rPr>
          <w:noProof/>
        </w:rPr>
        <w:t xml:space="preserve">Предвиденото изменение, което ще бъде прието от Съвета на ИКАО, ще бъде обвързващо съгласно международното право в съответствие с процедурата и сроковете, определени в член 90, буква а) от Чикагската конвенция, в който се предвижда, че: </w:t>
      </w:r>
      <w:r w:rsidRPr="001C70ED">
        <w:rPr>
          <w:i/>
          <w:noProof/>
        </w:rPr>
        <w:t>Приемането от съвета на приложенията, посочени в буква „l“ на чл. 54, изисква съгласието на две трети от гласувалите в съвета на заседание, свикано за тази цел, след което те се съобщават от съвета на всяка договаряща държава. Всяко такова приложение или всяка поправка към дадено приложение влизат в сила след изтичането на тримесечен срок от тяхното съобщаване на съответните договарящи държави или след изтичането на по-продължителен срок, определен от съвета, освен ако през това време мнозинството от договарящите държави не заяви в съвета, че ги отхвърля.</w:t>
      </w:r>
    </w:p>
    <w:p w:rsidR="005E5D8F" w:rsidRPr="001C70ED" w:rsidRDefault="000E7028" w:rsidP="00BE0090">
      <w:pPr>
        <w:pStyle w:val="Tiret0"/>
        <w:rPr>
          <w:noProof/>
        </w:rPr>
      </w:pPr>
      <w:r w:rsidRPr="001C70ED">
        <w:rPr>
          <w:noProof/>
        </w:rPr>
        <w:t xml:space="preserve">Освен това посоченото по-горе изменение може да окаже съществено въздействие върху съдържанието на законодателството на ЕС, както е обяснено по-подробно по-долу. </w:t>
      </w:r>
    </w:p>
    <w:p w:rsidR="005E5D8F" w:rsidRPr="001C70ED" w:rsidRDefault="005E5D8F" w:rsidP="005E5D8F">
      <w:pPr>
        <w:ind w:left="-5"/>
        <w:rPr>
          <w:noProof/>
        </w:rPr>
      </w:pPr>
      <w:r w:rsidRPr="001C70ED">
        <w:rPr>
          <w:noProof/>
        </w:rPr>
        <w:t>Предложеното изменение обхваща следните области:</w:t>
      </w:r>
    </w:p>
    <w:p w:rsidR="005E5D8F" w:rsidRPr="001C70ED" w:rsidRDefault="1E9D8622" w:rsidP="008A683C">
      <w:pPr>
        <w:pStyle w:val="Tiret0"/>
        <w:numPr>
          <w:ilvl w:val="0"/>
          <w:numId w:val="7"/>
        </w:numPr>
        <w:rPr>
          <w:noProof/>
        </w:rPr>
      </w:pPr>
      <w:r w:rsidRPr="001C70ED">
        <w:rPr>
          <w:noProof/>
        </w:rPr>
        <w:t>по отношение на глава 1 („Определения и общи принципи“) и глава 3 („Влизане и заминаване на лица и на техния багаж“), част C („Сигурност на документите за пътуване“), част D („Документи за пътуване“), част G („Карти при пристигане/заминаване), част H („Проверка на документите за пътуване“), с предложените изменения се добавят SARP, свързани със сигурността на процеса на издаване на електронни машинночетими документи за пътуване (еМЧДП) и с актуализиране на протокола за контрол на достъпа и техническия стандарт за въвеждане на портретната снимка в еМЧДП. Измененията обхващат въпроси, които са уредени съгласно правото на ЕС с Регламент (ЕО) № 2252/2004 на Съвета</w:t>
      </w:r>
      <w:r w:rsidR="00DC34B3" w:rsidRPr="001C70ED">
        <w:rPr>
          <w:rStyle w:val="FootnoteReference"/>
          <w:noProof/>
        </w:rPr>
        <w:footnoteReference w:id="2"/>
      </w:r>
      <w:r w:rsidRPr="001C70ED">
        <w:rPr>
          <w:noProof/>
        </w:rPr>
        <w:t xml:space="preserve"> (относно документите за пътуване и паспортите) и Регламент (ЕО) № 1683/95 на Съвета</w:t>
      </w:r>
      <w:r w:rsidR="00DC34B3" w:rsidRPr="001C70ED">
        <w:rPr>
          <w:rStyle w:val="FootnoteReference"/>
          <w:noProof/>
        </w:rPr>
        <w:footnoteReference w:id="3"/>
      </w:r>
      <w:r w:rsidRPr="001C70ED">
        <w:rPr>
          <w:noProof/>
        </w:rPr>
        <w:t xml:space="preserve"> (относно стандартите за издаване на визи) и поради своя обвързващ характер могат да окажат съществено въздействие върху съдържанието на законодателството на ЕС. </w:t>
      </w:r>
    </w:p>
    <w:p w:rsidR="005E5D8F" w:rsidRPr="001C70ED" w:rsidRDefault="005E5D8F" w:rsidP="1012E746">
      <w:pPr>
        <w:pStyle w:val="Tiret0"/>
        <w:rPr>
          <w:noProof/>
        </w:rPr>
      </w:pPr>
      <w:r w:rsidRPr="001C70ED">
        <w:rPr>
          <w:noProof/>
        </w:rPr>
        <w:t xml:space="preserve">По отношение на глава 8 („Разпоредби за улесняване, които обхващат определени области“), предишна част J, понастоящем номерирана като H („Трафик на хора“), предложените изменения са предимно от езиков характер, но в тях се пояснява, че изискванията в стандарти 8.49 и 8.50 са задължителни за договарящите държави. </w:t>
      </w:r>
    </w:p>
    <w:p w:rsidR="00660131" w:rsidRPr="001C70ED" w:rsidRDefault="1E9D8622" w:rsidP="008B7D27">
      <w:pPr>
        <w:pStyle w:val="Tiret0"/>
        <w:spacing w:before="100" w:beforeAutospacing="1" w:after="100" w:afterAutospacing="1"/>
        <w:rPr>
          <w:noProof/>
        </w:rPr>
      </w:pPr>
      <w:r w:rsidRPr="001C70ED">
        <w:rPr>
          <w:noProof/>
        </w:rPr>
        <w:t>И накрая, по отношение на глава 1 („Определения и общи принципи “) и глава 9 („Системи за данни за пътниците“), предложените изменения до голяма степен са от редакторско естество — допълнения или преформулиране, предимно под формата на обяснителни бележки към SARP, поясняващи условията за прилагане на API и интерактивните системи API. Предложеното изменение има за цел да рационализира използването на системата за предварителна информация за пътниците (API) и на интерактивната система за предварителна информация за пътниците (iAPI) в целия текст на приложение 9. То цели да осигури яснота относно определението за (партидната) система API и системата iAPI (глава 1) с редакционни промени в глава 9, което се състои в промяна на мястото на препоръчителна практика 9.8 относно препоръката договарящите държави да обмислят въвеждането на система iAPI по-рано в текста на приложение 9. С измененията се запазва стандарт 9.7 като установяващ задължение за договарящите държави да създадат система за предварителна информация за пътниците (API) с по-широко определение на системата iAPI (бележка 2 към стандарт 9.7). Съгласно стандарт 9.7 всяка договаряща държава създава система за предварителна информация за пътниците (API). Въз основа на бележки 1 и 2 към този SARP такава API може да бъде под формата на нормална API или iAPI. Въз основа на препоръчителната практика по точка 9.8 iAPI остава незадължителна („Всяка договаряща държава следва да обмисли въвеждането на интерактивна усъвършенствана система за информация за пътниците (iAPI).“). Що се отнася до измененията в глава 9 относно системата API, те нямат въздействие върху правото на Съюза, а именно Директива 2004/82/ЕО на Съвета</w:t>
      </w:r>
      <w:r w:rsidR="00173E3A" w:rsidRPr="001C70ED">
        <w:rPr>
          <w:rStyle w:val="FootnoteReference"/>
          <w:noProof/>
        </w:rPr>
        <w:footnoteReference w:id="4"/>
      </w:r>
      <w:r w:rsidRPr="001C70ED">
        <w:rPr>
          <w:noProof/>
        </w:rPr>
        <w:t xml:space="preserve"> от 29 април 2004 г. относно задължението на превозвачите да съобщават данни на пътниците (Директивата за API), тъй като промените на ИКАО са изключително редакторски. </w:t>
      </w:r>
    </w:p>
    <w:p w:rsidR="00660131" w:rsidRPr="001C70ED" w:rsidRDefault="311AEC9C" w:rsidP="00BE0090">
      <w:pPr>
        <w:pStyle w:val="Tiret0"/>
        <w:rPr>
          <w:noProof/>
        </w:rPr>
      </w:pPr>
      <w:r w:rsidRPr="001C70ED">
        <w:rPr>
          <w:noProof/>
        </w:rPr>
        <w:t xml:space="preserve">Както е посочено по-горе, предвиденият акт се отнася до област, която вече до голяма степен е обхваната от правилата на Съюза, и следователно може да „засегне общите правила или да промени техния обхват“. Следователно предвиденото изменение 30 на приложение 9 се отнася до област, в която Съюзът е придобил изключителна външна компетентност по този въпрос по силата на последната част на член 3, параграф 2 от ДФЕС. </w:t>
      </w:r>
    </w:p>
    <w:p w:rsidR="006660E2" w:rsidRPr="001C70ED" w:rsidRDefault="00023CC0" w:rsidP="00023CC0">
      <w:pPr>
        <w:pStyle w:val="ManualHeading1"/>
        <w:rPr>
          <w:rFonts w:eastAsia="Arial Unicode MS"/>
          <w:noProof/>
        </w:rPr>
      </w:pPr>
      <w:r w:rsidRPr="00023CC0">
        <w:rPr>
          <w:noProof/>
        </w:rPr>
        <w:t>3.</w:t>
      </w:r>
      <w:r w:rsidRPr="00023CC0">
        <w:rPr>
          <w:noProof/>
        </w:rPr>
        <w:tab/>
      </w:r>
      <w:r w:rsidR="006660E2" w:rsidRPr="001C70ED">
        <w:rPr>
          <w:noProof/>
        </w:rPr>
        <w:t>Позиция, която трябва да се заеме от името на Съюза</w:t>
      </w:r>
    </w:p>
    <w:p w:rsidR="005E5D8F" w:rsidRPr="001C70ED" w:rsidRDefault="005E5D8F" w:rsidP="005E5D8F">
      <w:pPr>
        <w:pStyle w:val="ManualHeading2"/>
        <w:rPr>
          <w:noProof/>
        </w:rPr>
      </w:pPr>
      <w:r w:rsidRPr="001C70ED">
        <w:rPr>
          <w:noProof/>
        </w:rPr>
        <w:t>3.1.</w:t>
      </w:r>
      <w:r w:rsidRPr="001C70ED">
        <w:rPr>
          <w:noProof/>
        </w:rPr>
        <w:tab/>
        <w:t>Предложените изменения и връзката им със съществуващите правила на Съюза</w:t>
      </w:r>
    </w:p>
    <w:p w:rsidR="005E5D8F" w:rsidRPr="001C70ED" w:rsidRDefault="005E5D8F" w:rsidP="000B24F9">
      <w:pPr>
        <w:rPr>
          <w:noProof/>
        </w:rPr>
      </w:pPr>
    </w:p>
    <w:p w:rsidR="005E5D8F" w:rsidRPr="001C70ED" w:rsidRDefault="00DC34B3" w:rsidP="1012E746">
      <w:pPr>
        <w:rPr>
          <w:noProof/>
        </w:rPr>
      </w:pPr>
      <w:r w:rsidRPr="001C70ED">
        <w:rPr>
          <w:b/>
          <w:bCs/>
          <w:i/>
          <w:iCs/>
          <w:noProof/>
        </w:rPr>
        <w:t>Изменения на глава 1 („Определения и общи принципи“), глава 3 („Влизане и заминаване на лица и на техния багаж“), част C („Сигурност на документите за пътуване“), част D („Документи за пътуване“), част G („Карти при пристигане/заминаване“), част H („Проверка на документите за пътуване“) и глава 8 („Разпоредби за улесняване, които обхващат определени области“), част H („Трафик на хора“) и част I („Трафик на екземпляри от дивата флора и фауна“), включени в изменение 30 на приложение 9 — Улесняване, към Конвенцията за международно гражданско въздухоплаване</w:t>
      </w:r>
      <w:r w:rsidRPr="001C70ED">
        <w:rPr>
          <w:b/>
          <w:i/>
          <w:noProof/>
        </w:rPr>
        <w:t xml:space="preserve"> </w:t>
      </w:r>
    </w:p>
    <w:p w:rsidR="005E5D8F" w:rsidRPr="001C70ED" w:rsidRDefault="005E5D8F" w:rsidP="005E5D8F">
      <w:pPr>
        <w:rPr>
          <w:noProof/>
        </w:rPr>
      </w:pPr>
      <w:r w:rsidRPr="001C70ED">
        <w:rPr>
          <w:noProof/>
        </w:rPr>
        <w:t xml:space="preserve">Предложените изменения, включени в изменение 30 на приложение 9, както е посочено в писмото до държавите EC 6/3-24/67, обхващат въпроси, които са уредени и от правните актове на ЕС, цитирани в параграф 2.3, и са в съответствие с тях. </w:t>
      </w:r>
    </w:p>
    <w:p w:rsidR="005E5D8F" w:rsidRPr="001C70ED" w:rsidRDefault="005E5D8F" w:rsidP="005E5D8F">
      <w:pPr>
        <w:rPr>
          <w:noProof/>
        </w:rPr>
      </w:pPr>
      <w:r w:rsidRPr="001C70ED">
        <w:rPr>
          <w:noProof/>
        </w:rPr>
        <w:t xml:space="preserve">Предложените изменения ще допринесат за подобряване на яснотата и ефикасността на приложение 9, като по този начин се преследва по-добре целта да се позволи потокът от пътници, багаж, товари и поща да бъде ефикасен и да се доставя в здравословна, безопасна и сигурна среда на земята и във въздуха. Съюзът признава необходимостта от постоянно преразглеждане на приложение 9, за да бъде актуално и да отразява развитието на въздушния транспорт. </w:t>
      </w:r>
    </w:p>
    <w:p w:rsidR="005E5D8F" w:rsidRPr="001C70ED" w:rsidRDefault="005E5D8F" w:rsidP="005E5D8F">
      <w:pPr>
        <w:rPr>
          <w:noProof/>
        </w:rPr>
      </w:pPr>
      <w:r w:rsidRPr="001C70ED">
        <w:rPr>
          <w:noProof/>
        </w:rPr>
        <w:t>Предложената позиция, която трябва да се заеме от името на Съюза, съответно е да се подкрепят тези изменения.</w:t>
      </w:r>
    </w:p>
    <w:p w:rsidR="005E5D8F" w:rsidRPr="001C70ED" w:rsidRDefault="005E5D8F" w:rsidP="005E5D8F">
      <w:pPr>
        <w:rPr>
          <w:noProof/>
        </w:rPr>
      </w:pPr>
      <w:r w:rsidRPr="001C70ED">
        <w:rPr>
          <w:noProof/>
        </w:rPr>
        <w:t xml:space="preserve">Следователно позицията, която трябва да се заеме от името на Съюза, при условие че Съветът на ИКАО приеме предложеното изменение 30 на приложение 9 — </w:t>
      </w:r>
      <w:r w:rsidRPr="001C70ED">
        <w:rPr>
          <w:i/>
          <w:noProof/>
        </w:rPr>
        <w:t>Улесняване</w:t>
      </w:r>
      <w:r w:rsidRPr="001C70ED">
        <w:rPr>
          <w:noProof/>
        </w:rPr>
        <w:t xml:space="preserve">, е да не се изразява несъгласие и да се спазят приетите мерки в отговор на съответното писмо на ИКАО до държавите. </w:t>
      </w:r>
    </w:p>
    <w:p w:rsidR="005E5D8F" w:rsidRPr="001C70ED" w:rsidRDefault="005E5D8F" w:rsidP="005E5D8F">
      <w:pPr>
        <w:rPr>
          <w:rFonts w:eastAsia="Arial Unicode MS"/>
          <w:noProof/>
        </w:rPr>
      </w:pPr>
      <w:r w:rsidRPr="001C70ED">
        <w:rPr>
          <w:noProof/>
        </w:rPr>
        <w:t xml:space="preserve">Когато след предвидената начална дата на прилагане на новоприетите стандарти на ИКАО законодателството на Съюза се отклонява от тях, държавите членки следва да уведомят ИКАО за позицията на Съюза относно различията с тези конкретни стандарти въз основа на подготвителен документ, представен своевременно от Комисията на Съвета за обсъждане и одобрение, в който се посочват подробно различията и необходимото време за завършване на интегрирането на въпросните стандарти в правото на Съюза. </w:t>
      </w:r>
    </w:p>
    <w:p w:rsidR="006660E2" w:rsidRPr="001C70ED" w:rsidRDefault="00023CC0" w:rsidP="00023CC0">
      <w:pPr>
        <w:pStyle w:val="ManualHeading1"/>
        <w:rPr>
          <w:noProof/>
        </w:rPr>
      </w:pPr>
      <w:r w:rsidRPr="00023CC0">
        <w:rPr>
          <w:noProof/>
        </w:rPr>
        <w:t>4.</w:t>
      </w:r>
      <w:r w:rsidRPr="00023CC0">
        <w:rPr>
          <w:noProof/>
        </w:rPr>
        <w:tab/>
      </w:r>
      <w:r w:rsidR="006660E2" w:rsidRPr="001C70ED">
        <w:rPr>
          <w:noProof/>
        </w:rPr>
        <w:t>Правно основание</w:t>
      </w:r>
    </w:p>
    <w:p w:rsidR="006660E2" w:rsidRPr="001C70ED" w:rsidRDefault="00023CC0" w:rsidP="00023CC0">
      <w:pPr>
        <w:pStyle w:val="ManualHeading2"/>
        <w:rPr>
          <w:noProof/>
        </w:rPr>
      </w:pPr>
      <w:r w:rsidRPr="00023CC0">
        <w:rPr>
          <w:noProof/>
        </w:rPr>
        <w:t>4.1.</w:t>
      </w:r>
      <w:r w:rsidRPr="00023CC0">
        <w:rPr>
          <w:noProof/>
        </w:rPr>
        <w:tab/>
      </w:r>
      <w:r w:rsidR="006660E2" w:rsidRPr="001C70ED">
        <w:rPr>
          <w:noProof/>
        </w:rPr>
        <w:t>Процесуалноправно основание</w:t>
      </w:r>
    </w:p>
    <w:p w:rsidR="006660E2" w:rsidRPr="001C70ED" w:rsidRDefault="00023CC0" w:rsidP="00023CC0">
      <w:pPr>
        <w:pStyle w:val="ManualHeading3"/>
        <w:rPr>
          <w:noProof/>
        </w:rPr>
      </w:pPr>
      <w:r w:rsidRPr="00023CC0">
        <w:rPr>
          <w:noProof/>
        </w:rPr>
        <w:t>4.1.1.</w:t>
      </w:r>
      <w:r w:rsidRPr="00023CC0">
        <w:rPr>
          <w:noProof/>
        </w:rPr>
        <w:tab/>
      </w:r>
      <w:r w:rsidR="006660E2" w:rsidRPr="001C70ED">
        <w:rPr>
          <w:noProof/>
        </w:rPr>
        <w:t>Принципи</w:t>
      </w:r>
    </w:p>
    <w:p w:rsidR="007307F8" w:rsidRPr="001C70ED" w:rsidRDefault="007307F8" w:rsidP="007307F8">
      <w:pPr>
        <w:rPr>
          <w:noProof/>
        </w:rPr>
      </w:pPr>
      <w:r w:rsidRPr="001C70ED">
        <w:rPr>
          <w:noProof/>
        </w:rPr>
        <w:t>В член 218, параграф 9 от Договора за функционирането на Европейския съюз (ДФЕС) се предвижда приемането на решения за установяване на „</w:t>
      </w:r>
      <w:r w:rsidRPr="00C2703C">
        <w:rPr>
          <w:i/>
          <w:iCs/>
          <w:noProof/>
        </w:rPr>
        <w:t>позициите, които трябва да се заемат от името на Съюза в рамките на орган, създаден със споразумение, когато този орган има за задача да приема актове с правно действие, с изключение на актовете за допълнение или изменение на институционалната рамка на споразумението</w:t>
      </w:r>
      <w:r w:rsidRPr="001C70ED">
        <w:rPr>
          <w:noProof/>
        </w:rPr>
        <w:t>“.</w:t>
      </w:r>
    </w:p>
    <w:p w:rsidR="007307F8" w:rsidRPr="001C70ED" w:rsidRDefault="007307F8" w:rsidP="007307F8">
      <w:pPr>
        <w:rPr>
          <w:noProof/>
        </w:rPr>
      </w:pPr>
      <w:r w:rsidRPr="001C70ED">
        <w:rPr>
          <w:noProof/>
        </w:rPr>
        <w:t>Член 218, параграф 9 от ДФЕС се прилага независимо от това дали Съюзът е член на органа, или страна по споразумението</w:t>
      </w:r>
      <w:r w:rsidRPr="001C70ED">
        <w:rPr>
          <w:rStyle w:val="FootnoteReference"/>
          <w:noProof/>
        </w:rPr>
        <w:footnoteReference w:id="5"/>
      </w:r>
      <w:r w:rsidRPr="001C70ED">
        <w:rPr>
          <w:noProof/>
        </w:rPr>
        <w:t>.</w:t>
      </w:r>
    </w:p>
    <w:p w:rsidR="007307F8" w:rsidRPr="001C70ED" w:rsidRDefault="007307F8" w:rsidP="007307F8">
      <w:pPr>
        <w:rPr>
          <w:noProof/>
        </w:rPr>
      </w:pPr>
      <w:r w:rsidRPr="001C70ED">
        <w:rPr>
          <w:noProof/>
        </w:rPr>
        <w:t>Понятието „</w:t>
      </w:r>
      <w:r w:rsidRPr="00C2703C">
        <w:rPr>
          <w:i/>
          <w:iCs/>
          <w:noProof/>
        </w:rPr>
        <w:t>актове с правно действие</w:t>
      </w:r>
      <w:r w:rsidRPr="001C70ED">
        <w:rPr>
          <w:noProof/>
        </w:rPr>
        <w:t>“ включва актове с правно действие по силата на нормите на международното право, които уреждат съответния орган. То включва и инструменти, които нямат обвързващ характер съгласно международното право, но са „</w:t>
      </w:r>
      <w:r w:rsidRPr="00C2703C">
        <w:rPr>
          <w:i/>
          <w:iCs/>
          <w:noProof/>
        </w:rPr>
        <w:t>годни да окажат съществено въздействие върху съдържанието на приеманата от законодателя на Съюза нормативна уредба</w:t>
      </w:r>
      <w:r w:rsidRPr="001C70ED">
        <w:rPr>
          <w:noProof/>
        </w:rPr>
        <w:t>“</w:t>
      </w:r>
      <w:r w:rsidRPr="001C70ED">
        <w:rPr>
          <w:rStyle w:val="FootnoteReference"/>
          <w:noProof/>
        </w:rPr>
        <w:footnoteReference w:id="6"/>
      </w:r>
      <w:r w:rsidRPr="001C70ED">
        <w:rPr>
          <w:noProof/>
        </w:rPr>
        <w:t>, тъй като няколко части от предложеното изменение попадат в обхвата на правото на Съюза, а именно: Регламенти (ЕО) № 2252/2004 и (ЕО) № 1683/95 на Съвета.</w:t>
      </w:r>
    </w:p>
    <w:p w:rsidR="006660E2" w:rsidRPr="001C70ED" w:rsidRDefault="00023CC0" w:rsidP="00023CC0">
      <w:pPr>
        <w:pStyle w:val="ManualHeading3"/>
        <w:rPr>
          <w:noProof/>
        </w:rPr>
      </w:pPr>
      <w:r w:rsidRPr="00023CC0">
        <w:rPr>
          <w:noProof/>
        </w:rPr>
        <w:t>4.1.2.</w:t>
      </w:r>
      <w:r w:rsidRPr="00023CC0">
        <w:rPr>
          <w:noProof/>
        </w:rPr>
        <w:tab/>
      </w:r>
      <w:r w:rsidR="006660E2" w:rsidRPr="001C70ED">
        <w:rPr>
          <w:noProof/>
        </w:rPr>
        <w:t>Приложение в конкретния случай</w:t>
      </w:r>
    </w:p>
    <w:p w:rsidR="005E5D8F" w:rsidRPr="001C70ED" w:rsidRDefault="005E5D8F" w:rsidP="005E5D8F">
      <w:pPr>
        <w:ind w:left="-5"/>
        <w:rPr>
          <w:noProof/>
        </w:rPr>
      </w:pPr>
      <w:r w:rsidRPr="001C70ED">
        <w:rPr>
          <w:noProof/>
        </w:rPr>
        <w:t>Съветът на ИКАО е орган, учреден със споразумение, а именно Чикагската конвенция.</w:t>
      </w:r>
    </w:p>
    <w:p w:rsidR="005E5D8F" w:rsidRPr="001C70ED" w:rsidRDefault="005E5D8F" w:rsidP="005E5D8F">
      <w:pPr>
        <w:spacing w:before="100" w:beforeAutospacing="1" w:after="100" w:afterAutospacing="1"/>
        <w:rPr>
          <w:noProof/>
        </w:rPr>
      </w:pPr>
      <w:r w:rsidRPr="001C70ED">
        <w:rPr>
          <w:noProof/>
        </w:rPr>
        <w:t xml:space="preserve">В съответствие с член 54, буква l) от Чикагската конвенция Съветът на ИКАО приема международните стандарти и препоръчителните практики, определени като приложения към Чикагската конвенция. Актовете, които Съветът на ИКАО има за задача да приеме, представляват актове с правно действие. Предвидените актове ще бъдат обвързващи съгласно международното право в съответствие с член 90, буква а) от Чикагската конвенция. </w:t>
      </w:r>
    </w:p>
    <w:p w:rsidR="005E5D8F" w:rsidRPr="001C70ED" w:rsidRDefault="005E5D8F" w:rsidP="1012E746">
      <w:pPr>
        <w:spacing w:before="100" w:beforeAutospacing="1" w:after="100" w:afterAutospacing="1"/>
        <w:rPr>
          <w:noProof/>
        </w:rPr>
      </w:pPr>
      <w:r w:rsidRPr="001C70ED">
        <w:rPr>
          <w:noProof/>
        </w:rPr>
        <w:t xml:space="preserve">Освен това, както е обяснено по-горе, предвидените изменения на приложение 9 могат да окажат съществено въздействие върху съдържанието на законодателството на Съюза, тъй като засягат въпроси, които вече са уредени от него, а именно: Регламенти (ЕО) № 2252/2004 и (ЕО) № 1683/95 на Съвета. </w:t>
      </w:r>
    </w:p>
    <w:p w:rsidR="005E5D8F" w:rsidRPr="001C70ED" w:rsidRDefault="005E5D8F" w:rsidP="005E5D8F">
      <w:pPr>
        <w:ind w:left="-5"/>
        <w:rPr>
          <w:noProof/>
        </w:rPr>
      </w:pPr>
      <w:r w:rsidRPr="001C70ED">
        <w:rPr>
          <w:noProof/>
        </w:rPr>
        <w:t>Предвидените актове не допълват, нито изменят институционалната рамка на споразумението.</w:t>
      </w:r>
    </w:p>
    <w:p w:rsidR="005E5D8F" w:rsidRPr="001C70ED" w:rsidRDefault="005E5D8F" w:rsidP="005E5D8F">
      <w:pPr>
        <w:ind w:left="-5"/>
        <w:rPr>
          <w:noProof/>
        </w:rPr>
      </w:pPr>
      <w:r w:rsidRPr="001C70ED">
        <w:rPr>
          <w:noProof/>
        </w:rPr>
        <w:t>Поради това процесуалноправното основание за предложената позиция относно решение е член 218, параграф 9 от ДФЕС.</w:t>
      </w:r>
    </w:p>
    <w:p w:rsidR="006660E2" w:rsidRPr="001C70ED" w:rsidRDefault="00023CC0" w:rsidP="00023CC0">
      <w:pPr>
        <w:pStyle w:val="ManualHeading2"/>
        <w:rPr>
          <w:noProof/>
        </w:rPr>
      </w:pPr>
      <w:r w:rsidRPr="00023CC0">
        <w:rPr>
          <w:noProof/>
        </w:rPr>
        <w:t>4.2.</w:t>
      </w:r>
      <w:r w:rsidRPr="00023CC0">
        <w:rPr>
          <w:noProof/>
        </w:rPr>
        <w:tab/>
      </w:r>
      <w:r w:rsidR="006660E2" w:rsidRPr="001C70ED">
        <w:rPr>
          <w:noProof/>
        </w:rPr>
        <w:t>Материалноправно основание</w:t>
      </w:r>
    </w:p>
    <w:p w:rsidR="006660E2" w:rsidRPr="001C70ED" w:rsidRDefault="00023CC0" w:rsidP="00023CC0">
      <w:pPr>
        <w:pStyle w:val="ManualHeading3"/>
        <w:rPr>
          <w:noProof/>
        </w:rPr>
      </w:pPr>
      <w:r w:rsidRPr="00023CC0">
        <w:rPr>
          <w:noProof/>
        </w:rPr>
        <w:t>4.2.1.</w:t>
      </w:r>
      <w:r w:rsidRPr="00023CC0">
        <w:rPr>
          <w:noProof/>
        </w:rPr>
        <w:tab/>
      </w:r>
      <w:r w:rsidR="006660E2" w:rsidRPr="001C70ED">
        <w:rPr>
          <w:noProof/>
        </w:rPr>
        <w:t>Принципи</w:t>
      </w:r>
    </w:p>
    <w:p w:rsidR="005E5D8F" w:rsidRPr="001C70ED" w:rsidRDefault="005E5D8F" w:rsidP="1012E746">
      <w:pPr>
        <w:rPr>
          <w:noProof/>
        </w:rPr>
      </w:pPr>
      <w:r w:rsidRPr="001C70ED">
        <w:rPr>
          <w:noProof/>
        </w:rPr>
        <w:t>Материалноправното основание за дадено решение съгласно член 218, параграф 9 от ДФЕС зависи преди всичко от целта и съдържанието на предвидения акт, във връзка с който се заема позиция от името на Съюза. Ако предвиденият акт преследва две цели или се състои от две части и ако едната от целите или частите може да се определи като основна, докато другата е само акцесорна, решението съгласно член 218, параграф 9 от ДФЕС трябва да се основава на едно-единствено материалноправно основание, а именно на изискваното от основната или преобладаващата цел или част. Ако обаче по изключение се установи, че мярката преследва едновременно няколко цели, които са неразривно свързани, без една от тях да е второстепенна по отношение на другата или да е опосредена от нея, такава мярка трябва да бъде основана на съответните различни правни основания.</w:t>
      </w:r>
    </w:p>
    <w:p w:rsidR="005E5D8F" w:rsidRPr="001C70ED" w:rsidRDefault="005E5D8F" w:rsidP="005E5D8F">
      <w:pPr>
        <w:rPr>
          <w:noProof/>
        </w:rPr>
      </w:pPr>
    </w:p>
    <w:p w:rsidR="006660E2" w:rsidRPr="001C70ED" w:rsidRDefault="00023CC0" w:rsidP="00023CC0">
      <w:pPr>
        <w:pStyle w:val="ManualHeading3"/>
        <w:rPr>
          <w:noProof/>
        </w:rPr>
      </w:pPr>
      <w:r w:rsidRPr="00023CC0">
        <w:rPr>
          <w:noProof/>
        </w:rPr>
        <w:t>4.2.2.</w:t>
      </w:r>
      <w:r w:rsidRPr="00023CC0">
        <w:rPr>
          <w:noProof/>
        </w:rPr>
        <w:tab/>
      </w:r>
      <w:r w:rsidR="006660E2" w:rsidRPr="001C70ED">
        <w:rPr>
          <w:noProof/>
        </w:rPr>
        <w:t>Приложение в конкретния случай</w:t>
      </w:r>
    </w:p>
    <w:p w:rsidR="00B00C34" w:rsidRPr="001C70ED" w:rsidRDefault="005E5D8F" w:rsidP="1012E746">
      <w:pPr>
        <w:rPr>
          <w:noProof/>
        </w:rPr>
      </w:pPr>
      <w:r w:rsidRPr="001C70ED">
        <w:rPr>
          <w:noProof/>
        </w:rPr>
        <w:t>Въпреки че предвиденият акт преследва цели на общата транспортна политика, по своето съдържание има няколко преобладаващи компонента в областта на граничния контрол и миграцията, включително сигурността на документите за пътуване. Същевременно поради необвързващия и чисто редакторски характер на съответните изменения на ИКАО относно събирането и предаването на данни от предварителната информация за пътниците за целите на управлението на границите, не са засегнати съответните правила на Съюза в тази област (а именно Директива 2004/82/ЕО от 29 април 2004 г. относно задължението на превозвачите да съобщават данни на пътниците</w:t>
      </w:r>
      <w:r w:rsidRPr="001C70ED">
        <w:rPr>
          <w:noProof/>
          <w:sz w:val="28"/>
        </w:rPr>
        <w:t>)</w:t>
      </w:r>
      <w:r w:rsidRPr="001C70ED">
        <w:rPr>
          <w:rStyle w:val="FootnoteReference"/>
          <w:noProof/>
          <w:sz w:val="28"/>
        </w:rPr>
        <w:t xml:space="preserve"> </w:t>
      </w:r>
      <w:r w:rsidRPr="001C70ED">
        <w:rPr>
          <w:noProof/>
        </w:rPr>
        <w:t xml:space="preserve">. Освен това промените на ИКАО (а именно част H от глава 8) относно трафика на хора имат акцесорен характер спрямо преобладаващото съдържание на тези изменения, а именно международния граничен контрол и миграцията (паспорти и визи).  </w:t>
      </w:r>
    </w:p>
    <w:p w:rsidR="005E5D8F" w:rsidRPr="001C70ED" w:rsidRDefault="005E5D8F" w:rsidP="1012E746">
      <w:pPr>
        <w:rPr>
          <w:rFonts w:eastAsia="Times New Roman"/>
          <w:noProof/>
        </w:rPr>
      </w:pPr>
      <w:r w:rsidRPr="001C70ED">
        <w:rPr>
          <w:noProof/>
        </w:rPr>
        <w:t>Поради това материалноправното основание за предложеното решение е член 77, параграф 2, букви а) и б) от ДФЕС.</w:t>
      </w:r>
    </w:p>
    <w:p w:rsidR="006660E2" w:rsidRPr="001C70ED" w:rsidRDefault="00023CC0" w:rsidP="00023CC0">
      <w:pPr>
        <w:pStyle w:val="ManualHeading2"/>
        <w:rPr>
          <w:noProof/>
        </w:rPr>
      </w:pPr>
      <w:r w:rsidRPr="00023CC0">
        <w:rPr>
          <w:noProof/>
        </w:rPr>
        <w:t>4.3.</w:t>
      </w:r>
      <w:r w:rsidRPr="00023CC0">
        <w:rPr>
          <w:noProof/>
        </w:rPr>
        <w:tab/>
      </w:r>
      <w:r w:rsidR="006660E2" w:rsidRPr="001C70ED">
        <w:rPr>
          <w:noProof/>
        </w:rPr>
        <w:t>Заключение</w:t>
      </w:r>
    </w:p>
    <w:p w:rsidR="005E5D8F" w:rsidRPr="001C70ED" w:rsidRDefault="005E5D8F" w:rsidP="1012E746">
      <w:pPr>
        <w:rPr>
          <w:rFonts w:eastAsia="Times New Roman"/>
          <w:noProof/>
        </w:rPr>
      </w:pPr>
      <w:r w:rsidRPr="001C70ED">
        <w:rPr>
          <w:noProof/>
        </w:rPr>
        <w:t xml:space="preserve">Правното основание за предложеното решение на Съвета е член 77, параграф 2, букви а) и б) във връзка с член 218, параграф 9 от ДФЕС. </w:t>
      </w:r>
    </w:p>
    <w:p w:rsidR="006660E2" w:rsidRPr="001C70ED" w:rsidRDefault="00023CC0" w:rsidP="00023CC0">
      <w:pPr>
        <w:pStyle w:val="ManualHeading1"/>
        <w:rPr>
          <w:noProof/>
        </w:rPr>
      </w:pPr>
      <w:r w:rsidRPr="00023CC0">
        <w:rPr>
          <w:noProof/>
        </w:rPr>
        <w:t>5.</w:t>
      </w:r>
      <w:r w:rsidRPr="00023CC0">
        <w:rPr>
          <w:noProof/>
        </w:rPr>
        <w:tab/>
      </w:r>
      <w:r w:rsidR="006660E2" w:rsidRPr="001C70ED">
        <w:rPr>
          <w:noProof/>
        </w:rPr>
        <w:t>Публикуване на предвидения акт</w:t>
      </w:r>
    </w:p>
    <w:p w:rsidR="006660E2" w:rsidRPr="001C70ED" w:rsidRDefault="005E5D8F" w:rsidP="000B24F9">
      <w:pPr>
        <w:rPr>
          <w:noProof/>
        </w:rPr>
        <w:sectPr w:rsidR="006660E2" w:rsidRPr="001C70ED" w:rsidSect="00EF59B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r w:rsidRPr="001C70ED">
        <w:rPr>
          <w:noProof/>
        </w:rPr>
        <w:t xml:space="preserve">От съображения за прозрачност и правилно позоваване — тъй като с предложените изменения ще се измени приложение 9 към Чикагската конвенция, е необходимо актът да бъде публикуван в </w:t>
      </w:r>
      <w:r w:rsidRPr="001C70ED">
        <w:rPr>
          <w:i/>
          <w:noProof/>
        </w:rPr>
        <w:t>Официален вестник на Европейския съюз</w:t>
      </w:r>
      <w:r w:rsidRPr="001C70ED">
        <w:rPr>
          <w:noProof/>
        </w:rPr>
        <w:t xml:space="preserve"> след приемането му, като се посочи датата на влизането му в сила.</w:t>
      </w:r>
    </w:p>
    <w:p w:rsidR="00853602" w:rsidRDefault="009F1D82">
      <w:pPr>
        <w:pStyle w:val="Rfrenceinterinstitutionnelle"/>
        <w:rPr>
          <w:noProof/>
        </w:rPr>
      </w:pPr>
      <w:r>
        <w:rPr>
          <w:noProof/>
        </w:rPr>
        <w:t>2024/0261 (NLE)</w:t>
      </w:r>
    </w:p>
    <w:p w:rsidR="006660E2" w:rsidRPr="001C70ED" w:rsidRDefault="001C70ED" w:rsidP="001C70ED">
      <w:pPr>
        <w:pStyle w:val="Statut"/>
        <w:rPr>
          <w:noProof/>
        </w:rPr>
      </w:pPr>
      <w:r w:rsidRPr="001C70ED">
        <w:rPr>
          <w:noProof/>
        </w:rPr>
        <w:t>Предложение за</w:t>
      </w:r>
    </w:p>
    <w:p w:rsidR="006660E2" w:rsidRPr="001C70ED" w:rsidRDefault="001C70ED" w:rsidP="001C70ED">
      <w:pPr>
        <w:pStyle w:val="Typedudocument"/>
        <w:rPr>
          <w:noProof/>
        </w:rPr>
      </w:pPr>
      <w:r w:rsidRPr="001C70ED">
        <w:rPr>
          <w:noProof/>
        </w:rPr>
        <w:t>РЕШЕНИЕ НА СЪВЕТА</w:t>
      </w:r>
    </w:p>
    <w:p w:rsidR="005E5D8F" w:rsidRPr="001C70ED" w:rsidRDefault="001C70ED" w:rsidP="001C70ED">
      <w:pPr>
        <w:pStyle w:val="Titreobjet"/>
        <w:rPr>
          <w:noProof/>
        </w:rPr>
      </w:pPr>
      <w:r w:rsidRPr="001C70ED">
        <w:rPr>
          <w:noProof/>
        </w:rPr>
        <w:t xml:space="preserve">относно позицията, която трябва да се заеме от името на Европейския съюз на 233-тата сесия на Съвета на Международната организация за гражданско въздухоплаване (ИКАО) във връзка с предложените изменения на глава 1 („Определения и общи принципи“), глава 3 („Влизане и заминаване на лица и на техния багаж“), част С („Сигурност на документите за пътуване“), част D („Документи за пътуване“), част G („Карти при пристигане/заминаване“), част H („Проверка на документите за пътуване“) и глава 8 („Разпоредби за улесняване, които обхващат определени области“), част H („Трафик на хора“) и част I („Трафик на екземпляри от дивата флора и фауна“), както са включени в изменение 30 на приложение 9 — </w:t>
      </w:r>
      <w:r w:rsidRPr="001C70ED">
        <w:rPr>
          <w:i/>
          <w:noProof/>
        </w:rPr>
        <w:t>Улесняване,</w:t>
      </w:r>
      <w:r w:rsidRPr="001C70ED">
        <w:rPr>
          <w:noProof/>
        </w:rPr>
        <w:t xml:space="preserve"> от Конвенцията за международно гражданско въздухоплаване (Чикагската конвенция)</w:t>
      </w:r>
    </w:p>
    <w:p w:rsidR="006660E2" w:rsidRPr="001C70ED" w:rsidRDefault="006660E2" w:rsidP="000B24F9">
      <w:pPr>
        <w:pStyle w:val="Institutionquiagit"/>
        <w:rPr>
          <w:noProof/>
        </w:rPr>
      </w:pPr>
      <w:r w:rsidRPr="001C70ED">
        <w:rPr>
          <w:noProof/>
        </w:rPr>
        <w:t>СЪВЕТЪТ НА ЕВРОПЕЙСКИЯ СЪЮЗ,</w:t>
      </w:r>
    </w:p>
    <w:p w:rsidR="005E5D8F" w:rsidRPr="001C70ED" w:rsidRDefault="005E5D8F" w:rsidP="1012E746">
      <w:pPr>
        <w:rPr>
          <w:rFonts w:eastAsia="Times New Roman"/>
          <w:noProof/>
        </w:rPr>
      </w:pPr>
      <w:r w:rsidRPr="001C70ED">
        <w:rPr>
          <w:noProof/>
        </w:rPr>
        <w:t xml:space="preserve">като взе предвид Договора за функционирането на Европейския съюз, и по-специално член 77, параграф 2, букви а) и б) във връзка с член 218, параграф 9 от него, </w:t>
      </w:r>
    </w:p>
    <w:p w:rsidR="005E5D8F" w:rsidRPr="001C70ED" w:rsidRDefault="005E5D8F" w:rsidP="005E5D8F">
      <w:pPr>
        <w:rPr>
          <w:noProof/>
        </w:rPr>
      </w:pPr>
    </w:p>
    <w:p w:rsidR="006660E2" w:rsidRPr="001C70ED" w:rsidRDefault="006660E2" w:rsidP="000B24F9">
      <w:pPr>
        <w:rPr>
          <w:noProof/>
        </w:rPr>
      </w:pPr>
      <w:r w:rsidRPr="001C70ED">
        <w:rPr>
          <w:noProof/>
        </w:rPr>
        <w:t>като взе предвид предложението на Европейската комисия,</w:t>
      </w:r>
    </w:p>
    <w:p w:rsidR="006660E2" w:rsidRPr="001C70ED" w:rsidRDefault="006660E2" w:rsidP="000B24F9">
      <w:pPr>
        <w:rPr>
          <w:noProof/>
        </w:rPr>
      </w:pPr>
      <w:r w:rsidRPr="001C70ED">
        <w:rPr>
          <w:noProof/>
        </w:rPr>
        <w:t>като има предвид, че:</w:t>
      </w:r>
    </w:p>
    <w:p w:rsidR="005E5D8F" w:rsidRPr="001C70ED" w:rsidRDefault="00023CC0" w:rsidP="00023CC0">
      <w:pPr>
        <w:pStyle w:val="ManualConsidrant"/>
        <w:rPr>
          <w:noProof/>
        </w:rPr>
      </w:pPr>
      <w:r w:rsidRPr="00023CC0">
        <w:rPr>
          <w:noProof/>
        </w:rPr>
        <w:t>(1)</w:t>
      </w:r>
      <w:r w:rsidRPr="00023CC0">
        <w:rPr>
          <w:noProof/>
        </w:rPr>
        <w:tab/>
      </w:r>
      <w:r w:rsidR="005E5D8F" w:rsidRPr="001C70ED">
        <w:rPr>
          <w:noProof/>
        </w:rPr>
        <w:t>Конвенцията за международно гражданско въздухоплаване („Чикагската конвенция“), с която се урежда международният въздушен транспорт, влезе в сила на 4 април 1947 г. С нея се учредява Международната организация за гражданско въздухоплаване (ИКАО).</w:t>
      </w:r>
    </w:p>
    <w:p w:rsidR="005E5D8F" w:rsidRPr="001C70ED" w:rsidRDefault="00023CC0" w:rsidP="00023CC0">
      <w:pPr>
        <w:pStyle w:val="ManualConsidrant"/>
        <w:rPr>
          <w:noProof/>
        </w:rPr>
      </w:pPr>
      <w:r w:rsidRPr="00023CC0">
        <w:rPr>
          <w:noProof/>
        </w:rPr>
        <w:t>(2)</w:t>
      </w:r>
      <w:r w:rsidRPr="00023CC0">
        <w:rPr>
          <w:noProof/>
        </w:rPr>
        <w:tab/>
      </w:r>
      <w:r w:rsidR="005E5D8F" w:rsidRPr="001C70ED">
        <w:rPr>
          <w:noProof/>
        </w:rPr>
        <w:t>Всички държави членки са договарящи държави по Чикагската конвенция и членуват в ИКАО, а Съюзът има статут на наблюдател в определени органи на ИКАО. За периода 2022—2025 г. в Съвета на ИКАО са представени шест държави членки.</w:t>
      </w:r>
    </w:p>
    <w:p w:rsidR="005E5D8F" w:rsidRPr="001C70ED" w:rsidRDefault="00023CC0" w:rsidP="00023CC0">
      <w:pPr>
        <w:pStyle w:val="ManualConsidrant"/>
        <w:rPr>
          <w:noProof/>
        </w:rPr>
      </w:pPr>
      <w:r w:rsidRPr="00023CC0">
        <w:rPr>
          <w:noProof/>
        </w:rPr>
        <w:t>(3)</w:t>
      </w:r>
      <w:r w:rsidRPr="00023CC0">
        <w:rPr>
          <w:noProof/>
        </w:rPr>
        <w:tab/>
      </w:r>
      <w:r w:rsidR="005E5D8F" w:rsidRPr="001C70ED">
        <w:rPr>
          <w:noProof/>
        </w:rPr>
        <w:t>Съгласно член 37, буква j) от Чикагската конвенция ИКАО приема и изменя периодично, ако е необходимо, международните стандарти и препоръчителните практики и процедури, свързани с митническите и имиграционните формалности. Съгласно член 54, буква l) от Чикагската конвенция Съветът на ИКАО може да приема международни стандарти и препоръчителни практики (SARP) и да ги определя като приложения към Чикагската конвенция.</w:t>
      </w:r>
    </w:p>
    <w:p w:rsidR="005E5D8F" w:rsidRPr="001C70ED" w:rsidRDefault="00023CC0" w:rsidP="00023CC0">
      <w:pPr>
        <w:pStyle w:val="ManualConsidrant"/>
        <w:rPr>
          <w:noProof/>
        </w:rPr>
      </w:pPr>
      <w:r w:rsidRPr="00023CC0">
        <w:rPr>
          <w:noProof/>
        </w:rPr>
        <w:t>(4)</w:t>
      </w:r>
      <w:r w:rsidRPr="00023CC0">
        <w:rPr>
          <w:noProof/>
        </w:rPr>
        <w:tab/>
      </w:r>
      <w:r w:rsidR="005E5D8F" w:rsidRPr="001C70ED">
        <w:rPr>
          <w:noProof/>
        </w:rPr>
        <w:t xml:space="preserve">На своята 233-та сесия Съветът на ИКАО предстои да приеме изменение 30 на приложение 9 — </w:t>
      </w:r>
      <w:r w:rsidR="005E5D8F" w:rsidRPr="001C70ED">
        <w:rPr>
          <w:i/>
          <w:noProof/>
        </w:rPr>
        <w:t>Улесняване</w:t>
      </w:r>
      <w:r w:rsidR="005E5D8F" w:rsidRPr="001C70ED">
        <w:rPr>
          <w:noProof/>
        </w:rPr>
        <w:t xml:space="preserve">, към Чикагската конвенция. </w:t>
      </w:r>
    </w:p>
    <w:p w:rsidR="00917AFA" w:rsidRPr="001C70ED" w:rsidRDefault="00023CC0" w:rsidP="00023CC0">
      <w:pPr>
        <w:pStyle w:val="ManualConsidrant"/>
        <w:rPr>
          <w:noProof/>
        </w:rPr>
      </w:pPr>
      <w:r w:rsidRPr="00023CC0">
        <w:rPr>
          <w:noProof/>
        </w:rPr>
        <w:t>(5)</w:t>
      </w:r>
      <w:r w:rsidRPr="00023CC0">
        <w:rPr>
          <w:noProof/>
        </w:rPr>
        <w:tab/>
      </w:r>
      <w:r w:rsidR="005E5D8F" w:rsidRPr="001C70ED">
        <w:rPr>
          <w:noProof/>
        </w:rPr>
        <w:t xml:space="preserve">Основната цел на изменение 30 на приложение 9 — </w:t>
      </w:r>
      <w:r w:rsidR="005E5D8F" w:rsidRPr="001C70ED">
        <w:rPr>
          <w:i/>
          <w:noProof/>
        </w:rPr>
        <w:t>Улесняване</w:t>
      </w:r>
      <w:r w:rsidR="005E5D8F" w:rsidRPr="001C70ED">
        <w:rPr>
          <w:noProof/>
        </w:rPr>
        <w:t xml:space="preserve">, към Чикагската конвенция, включено в писмото до държавите EC 6/3-24/67, е да се подобри яснотата и съответно съгласуваността и ефикасността на приложение 9. </w:t>
      </w:r>
    </w:p>
    <w:p w:rsidR="005E5D8F" w:rsidRPr="008F61F3" w:rsidRDefault="00023CC0" w:rsidP="00023CC0">
      <w:pPr>
        <w:pStyle w:val="ManualConsidrant"/>
        <w:rPr>
          <w:noProof/>
        </w:rPr>
      </w:pPr>
      <w:bookmarkStart w:id="1" w:name="_Hlk178668489"/>
      <w:r w:rsidRPr="00023CC0">
        <w:rPr>
          <w:noProof/>
        </w:rPr>
        <w:t>(6)</w:t>
      </w:r>
      <w:r w:rsidRPr="00023CC0">
        <w:rPr>
          <w:noProof/>
        </w:rPr>
        <w:tab/>
      </w:r>
      <w:r w:rsidR="00917AFA" w:rsidRPr="008F61F3">
        <w:rPr>
          <w:noProof/>
        </w:rPr>
        <w:t xml:space="preserve">Изменение 30 на приложение 9 — </w:t>
      </w:r>
      <w:r w:rsidR="00917AFA" w:rsidRPr="001B7033">
        <w:rPr>
          <w:i/>
          <w:iCs/>
          <w:noProof/>
        </w:rPr>
        <w:t>Улесняване</w:t>
      </w:r>
      <w:r w:rsidR="00917AFA" w:rsidRPr="008F61F3">
        <w:rPr>
          <w:noProof/>
        </w:rPr>
        <w:t xml:space="preserve">, към Чикагската конвенция включва изменения на глава 1 („Определения и общи принципи“), глава 3 („Влизане и заминаване на лица и на техния багаж“), част C („Сигурност на документите за пътуване“), част D („Документи за пътуване“), част G („Карти при пристигане/заминаване“), част H („Проверка на документите за пътуване“) и глава 8 („Разпоредби за улесняване, които обхващат определени области“), част H („Трафик на хора“) и част I („Трафик на екземпляри от дивата флора и фауна“). </w:t>
      </w:r>
      <w:bookmarkEnd w:id="1"/>
    </w:p>
    <w:p w:rsidR="005E5D8F" w:rsidRPr="001C70ED" w:rsidRDefault="00023CC0" w:rsidP="00023CC0">
      <w:pPr>
        <w:pStyle w:val="ManualConsidrant"/>
        <w:rPr>
          <w:noProof/>
        </w:rPr>
      </w:pPr>
      <w:r w:rsidRPr="00023CC0">
        <w:rPr>
          <w:noProof/>
        </w:rPr>
        <w:t>(7)</w:t>
      </w:r>
      <w:r w:rsidRPr="00023CC0">
        <w:rPr>
          <w:noProof/>
        </w:rPr>
        <w:tab/>
      </w:r>
      <w:r w:rsidR="005E5D8F" w:rsidRPr="001C70ED">
        <w:rPr>
          <w:noProof/>
        </w:rPr>
        <w:t xml:space="preserve">Целесъобразно е да се установи позицията, която трябва да се заеме от името на Съюза в рамките на Съвета на ИКАО, тъй като изменение 30 на приложение 9 — </w:t>
      </w:r>
      <w:r w:rsidR="005E5D8F" w:rsidRPr="001C70ED">
        <w:rPr>
          <w:i/>
          <w:noProof/>
        </w:rPr>
        <w:t>Улесняване</w:t>
      </w:r>
      <w:r w:rsidR="005E5D8F" w:rsidRPr="001C70ED">
        <w:rPr>
          <w:noProof/>
        </w:rPr>
        <w:t>, към Чикагската конвенция ще бъде обвързващо съгласно международното право в съответствие с член 90, буква а) от Чикагската конвенция и е от значение за законодателството на Съюза, а именно: Регламент (ЕО) № 2252/2004 на Съвета от 13 декември 2004 г. относно стандартите за отличителните знаци за сигурност и биометричните данни в паспортите и документите за пътуване, издавани от държавите членки</w:t>
      </w:r>
      <w:r w:rsidR="005E5D8F" w:rsidRPr="001C70ED">
        <w:rPr>
          <w:rStyle w:val="FootnoteReference"/>
          <w:noProof/>
        </w:rPr>
        <w:footnoteReference w:id="7"/>
      </w:r>
      <w:r w:rsidR="005E5D8F" w:rsidRPr="001C70ED">
        <w:rPr>
          <w:noProof/>
        </w:rPr>
        <w:t>, и Регламент (ЕО) № 1683/95 на Съвета от 29 май 1995 г. за определяне на единен формат за визи</w:t>
      </w:r>
      <w:r w:rsidR="005E5D8F" w:rsidRPr="001C70ED">
        <w:rPr>
          <w:rStyle w:val="FootnoteReference"/>
          <w:noProof/>
        </w:rPr>
        <w:footnoteReference w:id="8"/>
      </w:r>
      <w:r w:rsidR="005E5D8F" w:rsidRPr="001C70ED">
        <w:rPr>
          <w:noProof/>
        </w:rPr>
        <w:t>. В съответствие с член 38 от Чикагската конвенция всяка държава, която прецени, че е невъзможно да се съобразява във всички отношения с подобен международен стандарт или процедура или да приведе своите собствени разпоредби или практики в пълно съответствие с който и да е международен стандарт или процедура, или която сметне за необходимо да приеме разпоредби или практики, отличаващи се по какъвто и да е начин от тези, които са установени с даден международен стандарт, следва незабавно да уведоми ИКАО за различията между нейната собствена практика и тази, установена с международния стандарт.</w:t>
      </w:r>
    </w:p>
    <w:p w:rsidR="005E5D8F" w:rsidRPr="001C70ED" w:rsidRDefault="00023CC0" w:rsidP="00023CC0">
      <w:pPr>
        <w:pStyle w:val="ManualConsidrant"/>
        <w:rPr>
          <w:noProof/>
        </w:rPr>
      </w:pPr>
      <w:r w:rsidRPr="00023CC0">
        <w:rPr>
          <w:noProof/>
        </w:rPr>
        <w:t>(8)</w:t>
      </w:r>
      <w:r w:rsidRPr="00023CC0">
        <w:rPr>
          <w:noProof/>
        </w:rPr>
        <w:tab/>
      </w:r>
      <w:r w:rsidR="005E5D8F" w:rsidRPr="001C70ED">
        <w:rPr>
          <w:noProof/>
        </w:rPr>
        <w:t xml:space="preserve">Позицията на Съюза по време на 233-тата или на последваща сесия на Съвета на ИКАО по отношение на приемането на предложените </w:t>
      </w:r>
      <w:bookmarkStart w:id="2" w:name="_Hlk178668591"/>
      <w:r w:rsidR="005E5D8F" w:rsidRPr="001C70ED">
        <w:rPr>
          <w:noProof/>
        </w:rPr>
        <w:t>изменения на глава 1 („Определения и общи принципи“), глава 3 („Влизане и заминаване на лица и на техния багаж“), част С („Сигурност на документите за пътуване“), част D („Документи за пътуване“), част G („Карти при пристигане/заминаване“), част H („Проверка на документите за пътуване“) и глава 8 („Разпоредби за улесняване, които обхващат определени области“), част H („Трафик на хора“) и част I („Трафик на екземпляри от дивата флора и фауна“), съдържащи се в</w:t>
      </w:r>
      <w:bookmarkEnd w:id="2"/>
      <w:r w:rsidR="005E5D8F" w:rsidRPr="001C70ED">
        <w:rPr>
          <w:noProof/>
        </w:rPr>
        <w:t xml:space="preserve"> изменение 30 на приложение 9 — </w:t>
      </w:r>
      <w:r w:rsidR="005E5D8F" w:rsidRPr="001C70ED">
        <w:rPr>
          <w:i/>
          <w:iCs/>
          <w:noProof/>
        </w:rPr>
        <w:t>Улесняване</w:t>
      </w:r>
      <w:r w:rsidR="005E5D8F" w:rsidRPr="001C70ED">
        <w:rPr>
          <w:noProof/>
        </w:rPr>
        <w:t xml:space="preserve">, към Чикагската конвенция, включени в писмо до държавите EC 6/3-24/67, следва да бъде да се гласува в подкрепа на тези изменения в тяхната цялост. Тази позиция следва да бъде изразена от държавите — членки на Съюза, които са членове на Съвета на ИКАО, като те действат съвместно в интерес на Съюза. </w:t>
      </w:r>
    </w:p>
    <w:p w:rsidR="005E5D8F" w:rsidRPr="001C70ED" w:rsidRDefault="00023CC0" w:rsidP="00023CC0">
      <w:pPr>
        <w:pStyle w:val="ManualConsidrant"/>
        <w:rPr>
          <w:noProof/>
        </w:rPr>
      </w:pPr>
      <w:r w:rsidRPr="00023CC0">
        <w:rPr>
          <w:noProof/>
        </w:rPr>
        <w:t>(9)</w:t>
      </w:r>
      <w:r w:rsidRPr="00023CC0">
        <w:rPr>
          <w:noProof/>
        </w:rPr>
        <w:tab/>
      </w:r>
      <w:r w:rsidR="005E5D8F" w:rsidRPr="001C70ED">
        <w:rPr>
          <w:noProof/>
        </w:rPr>
        <w:t xml:space="preserve">Позицията на Съюза след приемането от Съвета на ИКАО на изменение 30 на приложение 9 — </w:t>
      </w:r>
      <w:r w:rsidR="005E5D8F" w:rsidRPr="001C70ED">
        <w:rPr>
          <w:i/>
          <w:noProof/>
        </w:rPr>
        <w:t>Улесняване</w:t>
      </w:r>
      <w:r w:rsidR="005E5D8F" w:rsidRPr="001C70ED">
        <w:rPr>
          <w:noProof/>
        </w:rPr>
        <w:t>, към Чикагската конвенция, която трябва да бъде обявена от генералния секретар на ИКАО чрез процедура с писмо на ИКАО до държавите, следва да бъде да не се заявява несъгласие и да се спазват измененията. Когато след предвидената начална дата на прилагане на новоприетите SARP законодателството на Съюза се отклонява от тях, на ИКАО следва да се представи уведомление за евентуалните различия с тези конкретни SARP. Позицията на Съюза по отношение на такова различие следва да се основава на писмен документ, представен от Комисията на Съвета за обсъждане и одобрение. Тази позиция следва да бъде изразена от всички държави – членки на Съюза, действащи съвместно в интерес на Съюза.</w:t>
      </w:r>
    </w:p>
    <w:p w:rsidR="00762890" w:rsidRPr="00671D43" w:rsidRDefault="00023CC0" w:rsidP="00023CC0">
      <w:pPr>
        <w:pStyle w:val="ManualConsidrant"/>
        <w:rPr>
          <w:noProof/>
        </w:rPr>
      </w:pPr>
      <w:r w:rsidRPr="00023CC0">
        <w:rPr>
          <w:noProof/>
        </w:rPr>
        <w:t>(10)</w:t>
      </w:r>
      <w:r w:rsidRPr="00023CC0">
        <w:rPr>
          <w:noProof/>
        </w:rPr>
        <w:tab/>
      </w:r>
      <w:r w:rsidR="2AB579A2" w:rsidRPr="001C70ED">
        <w:rPr>
          <w:noProof/>
        </w:rPr>
        <w:t>Настоящото решение не представлява развитие на разпоредбите на достиженията на правото от Шенген, в които Ирландия участва в съответствие с Решение 2002/192/ЕО на Съвета</w:t>
      </w:r>
      <w:r w:rsidR="2AB579A2" w:rsidRPr="001C70ED">
        <w:rPr>
          <w:rStyle w:val="FootnoteReference"/>
          <w:noProof/>
        </w:rPr>
        <w:footnoteReference w:id="9"/>
      </w:r>
      <w:r w:rsidR="008A4B14">
        <w:rPr>
          <w:noProof/>
        </w:rPr>
        <w:t xml:space="preserve">. </w:t>
      </w:r>
      <w:r w:rsidR="2AB579A2" w:rsidRPr="001C70ED">
        <w:rPr>
          <w:rStyle w:val="FootnoteReference"/>
          <w:noProof/>
          <w:vertAlign w:val="baseline"/>
        </w:rPr>
        <w:t>Следователно Ирландия не участва в приемането на настоящото решение и не е обвързана от него, нито от неговото прилагане.</w:t>
      </w:r>
    </w:p>
    <w:p w:rsidR="005E5D8F" w:rsidRPr="00671D43" w:rsidRDefault="00023CC0" w:rsidP="00023CC0">
      <w:pPr>
        <w:pStyle w:val="ManualConsidrant"/>
        <w:rPr>
          <w:noProof/>
        </w:rPr>
      </w:pPr>
      <w:r w:rsidRPr="00023CC0">
        <w:rPr>
          <w:noProof/>
        </w:rPr>
        <w:t>(11)</w:t>
      </w:r>
      <w:r w:rsidRPr="00023CC0">
        <w:rPr>
          <w:noProof/>
        </w:rPr>
        <w:tab/>
      </w:r>
      <w:r w:rsidR="12E51982" w:rsidRPr="001C70ED">
        <w:rPr>
          <w:noProof/>
        </w:rPr>
        <w:t>В съответствие с членове 1 и 2 от Протокол № 22 относно позицията на Дания, приложен към Договора за Европейския съюз и към Договора за функционирането на Европейския съюз, Дания не участва в приемането на настоящото решение и не е обвързана от него, нито от неговото прилагане</w:t>
      </w:r>
      <w:r w:rsidR="12E51982" w:rsidRPr="00671D43">
        <w:rPr>
          <w:noProof/>
        </w:rPr>
        <w:t xml:space="preserve">,  </w:t>
      </w:r>
    </w:p>
    <w:p w:rsidR="006660E2" w:rsidRPr="001C70ED" w:rsidRDefault="006660E2" w:rsidP="000B24F9">
      <w:pPr>
        <w:pStyle w:val="Formuledadoption"/>
        <w:rPr>
          <w:noProof/>
        </w:rPr>
      </w:pPr>
      <w:r w:rsidRPr="001C70ED">
        <w:rPr>
          <w:noProof/>
        </w:rPr>
        <w:t>ПРИЕ НАСТОЯЩОТО РЕШЕНИЕ:</w:t>
      </w:r>
    </w:p>
    <w:p w:rsidR="006660E2" w:rsidRPr="001C70ED" w:rsidRDefault="006660E2" w:rsidP="000B24F9">
      <w:pPr>
        <w:pStyle w:val="Titrearticle"/>
        <w:rPr>
          <w:noProof/>
        </w:rPr>
      </w:pPr>
      <w:r w:rsidRPr="001C70ED">
        <w:rPr>
          <w:noProof/>
        </w:rPr>
        <w:t>Член 1</w:t>
      </w:r>
    </w:p>
    <w:p w:rsidR="00A76F80" w:rsidRPr="001C70ED" w:rsidRDefault="00023CC0" w:rsidP="00023CC0">
      <w:pPr>
        <w:pStyle w:val="ManualNumPar1"/>
        <w:rPr>
          <w:noProof/>
        </w:rPr>
      </w:pPr>
      <w:r w:rsidRPr="00023CC0">
        <w:rPr>
          <w:noProof/>
        </w:rPr>
        <w:t>1.</w:t>
      </w:r>
      <w:r w:rsidRPr="00023CC0">
        <w:rPr>
          <w:noProof/>
        </w:rPr>
        <w:tab/>
      </w:r>
      <w:r w:rsidR="00A76F80" w:rsidRPr="001C70ED">
        <w:rPr>
          <w:noProof/>
        </w:rPr>
        <w:t xml:space="preserve">Позицията, която трябва да се заеме от името на Съюза по време на 233-тата или на последваща сесия на Съвета на ИКАО във връзка с предложените изменения на глава 1 („Определения и общи принципи“), глава 3 („Влизане и заминаване на лица и на техния багаж“), част С („Сигурност на документите за пътуване“), част D („Документи за пътуване“), част G („Карти при пристигане/заминаване“), част H („Проверка на документите за пътуване“) и глава 8 („Разпоредби за улесняване, които обхващат определени области“), част H („Трафик на хора“) и част I („Трафик на екземпляри от дивата флора и фауна“), съдържащи се в изменение 30 на приложение 9 — </w:t>
      </w:r>
      <w:r w:rsidR="00A76F80" w:rsidRPr="001C70ED">
        <w:rPr>
          <w:i/>
          <w:iCs/>
          <w:noProof/>
        </w:rPr>
        <w:t>Улесняване</w:t>
      </w:r>
      <w:r w:rsidR="00A76F80" w:rsidRPr="001C70ED">
        <w:rPr>
          <w:noProof/>
        </w:rPr>
        <w:t xml:space="preserve">, към Чикагската конвенция, включени в писмо до държавите EC 6/3-24/67, е да се гласува в подкрепа на предложените изменения в тяхната цялост. </w:t>
      </w:r>
    </w:p>
    <w:p w:rsidR="00B43ED6" w:rsidRPr="001C70ED" w:rsidRDefault="00023CC0" w:rsidP="00023CC0">
      <w:pPr>
        <w:pStyle w:val="ManualNumPar1"/>
        <w:rPr>
          <w:noProof/>
        </w:rPr>
      </w:pPr>
      <w:r w:rsidRPr="00023CC0">
        <w:rPr>
          <w:noProof/>
        </w:rPr>
        <w:t>2.</w:t>
      </w:r>
      <w:r w:rsidRPr="00023CC0">
        <w:rPr>
          <w:noProof/>
        </w:rPr>
        <w:tab/>
      </w:r>
      <w:r w:rsidR="00A76F80" w:rsidRPr="001C70ED">
        <w:rPr>
          <w:noProof/>
        </w:rPr>
        <w:t xml:space="preserve">Позицията, която трябва да се заеме от името на Съюза, при условие че Съветът на ИКАО приеме без съществени промени предложеното изменение на приложение 9 — </w:t>
      </w:r>
      <w:r w:rsidR="00A76F80" w:rsidRPr="001C70ED">
        <w:rPr>
          <w:i/>
          <w:noProof/>
        </w:rPr>
        <w:t>Улесняване</w:t>
      </w:r>
      <w:r w:rsidR="00A76F80" w:rsidRPr="001C70ED">
        <w:rPr>
          <w:noProof/>
        </w:rPr>
        <w:t>, към Чикагската конвенция, посочено в параграф 1, е да не се заявява несъгласие и да се уведоми за съобразяване с приетата мярка в отговор на съответното писмо на ИКАО до държавите. Когато след предвидената начална дата на прилагане на новоприетите SARP законодателството на Съюза се отклонява от тях, на ИКАО се представя уведомление за евентуалните различия с тези конкретни SARP в съответствие с член 38 от Чикагската конвенция.</w:t>
      </w:r>
    </w:p>
    <w:p w:rsidR="00A76F80" w:rsidRPr="001C70ED" w:rsidRDefault="00032ABF" w:rsidP="008C03B1">
      <w:pPr>
        <w:ind w:left="850"/>
        <w:rPr>
          <w:noProof/>
        </w:rPr>
      </w:pPr>
      <w:r w:rsidRPr="001C70ED">
        <w:rPr>
          <w:noProof/>
        </w:rPr>
        <w:t>За тази цел Комисията своевременно и най-малко два месеца преди крайния срок, определен от ИКАО за уведомяване за различия, представя на Съвета за обсъждане и одобрение подготвителен документ, в който подробно се определят различията, за които държавите членки трябва да уведомят ИКАО от името на Съюза.</w:t>
      </w:r>
    </w:p>
    <w:p w:rsidR="006660E2" w:rsidRPr="001C70ED" w:rsidRDefault="006660E2" w:rsidP="000B24F9">
      <w:pPr>
        <w:pStyle w:val="Titrearticle"/>
        <w:rPr>
          <w:noProof/>
        </w:rPr>
      </w:pPr>
      <w:r w:rsidRPr="001C70ED">
        <w:rPr>
          <w:noProof/>
        </w:rPr>
        <w:t>Член 2</w:t>
      </w:r>
    </w:p>
    <w:p w:rsidR="00A76F80" w:rsidRPr="001C70ED" w:rsidRDefault="00A76F80" w:rsidP="00A76F80">
      <w:pPr>
        <w:spacing w:after="0"/>
        <w:ind w:left="-5"/>
        <w:rPr>
          <w:noProof/>
        </w:rPr>
      </w:pPr>
      <w:r w:rsidRPr="001C70ED">
        <w:rPr>
          <w:noProof/>
        </w:rPr>
        <w:t>Позицията, посочена в член 1, параграф 1, се изразява от държавите — членки на Съюза, които са членове на Съвета на ИКАО, като те действат съвместно в интерес на Съюза.</w:t>
      </w:r>
    </w:p>
    <w:p w:rsidR="00A76F80" w:rsidRPr="001C70ED" w:rsidRDefault="00A76F80" w:rsidP="00A76F80">
      <w:pPr>
        <w:spacing w:after="348"/>
        <w:ind w:left="-5"/>
        <w:rPr>
          <w:noProof/>
        </w:rPr>
      </w:pPr>
      <w:r w:rsidRPr="001C70ED">
        <w:rPr>
          <w:noProof/>
        </w:rPr>
        <w:t>Позицията, посочена в член 1, параграф 2, се изразява от всички държави — членки на Съюза, като те действат съвместно в интерес на Съюза.</w:t>
      </w:r>
    </w:p>
    <w:p w:rsidR="00A76F80" w:rsidRPr="001C70ED" w:rsidRDefault="00A76F80" w:rsidP="00A76F80">
      <w:pPr>
        <w:rPr>
          <w:noProof/>
        </w:rPr>
      </w:pPr>
    </w:p>
    <w:p w:rsidR="006660E2" w:rsidRPr="001C70ED" w:rsidRDefault="006660E2" w:rsidP="00124694">
      <w:pPr>
        <w:pStyle w:val="Titrearticle"/>
        <w:rPr>
          <w:noProof/>
        </w:rPr>
      </w:pPr>
      <w:r w:rsidRPr="001C70ED">
        <w:rPr>
          <w:noProof/>
        </w:rPr>
        <w:t>Член 3</w:t>
      </w:r>
    </w:p>
    <w:p w:rsidR="006660E2" w:rsidRPr="001C70ED" w:rsidRDefault="006660E2" w:rsidP="000B24F9">
      <w:pPr>
        <w:rPr>
          <w:noProof/>
        </w:rPr>
      </w:pPr>
      <w:r w:rsidRPr="001C70ED">
        <w:rPr>
          <w:noProof/>
        </w:rPr>
        <w:t>Адресати на настоящото решение са държавите членки.</w:t>
      </w:r>
    </w:p>
    <w:p w:rsidR="006660E2" w:rsidRPr="001C70ED" w:rsidRDefault="001C70ED" w:rsidP="00124694">
      <w:pPr>
        <w:pStyle w:val="Fait"/>
        <w:rPr>
          <w:noProof/>
        </w:rPr>
      </w:pPr>
      <w:r>
        <w:rPr>
          <w:noProof/>
        </w:rPr>
        <w:t>Съставено в Брюксел на  година.</w:t>
      </w:r>
    </w:p>
    <w:p w:rsidR="006660E2" w:rsidRPr="001C70ED" w:rsidRDefault="006660E2" w:rsidP="00124694">
      <w:pPr>
        <w:pStyle w:val="Institutionquisigne"/>
        <w:rPr>
          <w:noProof/>
        </w:rPr>
      </w:pPr>
      <w:r w:rsidRPr="001C70ED">
        <w:rPr>
          <w:noProof/>
        </w:rPr>
        <w:tab/>
        <w:t>За Съвета</w:t>
      </w:r>
    </w:p>
    <w:p w:rsidR="006660E2" w:rsidRPr="001C70ED" w:rsidRDefault="006660E2" w:rsidP="006660E2">
      <w:pPr>
        <w:pStyle w:val="Personnequisigne"/>
        <w:rPr>
          <w:noProof/>
        </w:rPr>
      </w:pPr>
      <w:r w:rsidRPr="001C70ED">
        <w:rPr>
          <w:noProof/>
        </w:rPr>
        <w:tab/>
        <w:t>Председател</w:t>
      </w:r>
    </w:p>
    <w:sectPr w:rsidR="006660E2" w:rsidRPr="001C70ED" w:rsidSect="00EF59B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782" w:rsidRDefault="00CA6782" w:rsidP="006660E2">
      <w:pPr>
        <w:spacing w:before="0" w:after="0"/>
      </w:pPr>
      <w:r>
        <w:separator/>
      </w:r>
    </w:p>
  </w:endnote>
  <w:endnote w:type="continuationSeparator" w:id="0">
    <w:p w:rsidR="00CA6782" w:rsidRDefault="00CA6782" w:rsidP="006660E2">
      <w:pPr>
        <w:spacing w:before="0" w:after="0"/>
      </w:pPr>
      <w:r>
        <w:continuationSeparator/>
      </w:r>
    </w:p>
  </w:endnote>
  <w:endnote w:type="continuationNotice" w:id="1">
    <w:p w:rsidR="00B503B4" w:rsidRDefault="00B503B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9B3" w:rsidRPr="00EF59B3" w:rsidRDefault="00EF59B3" w:rsidP="00EF59B3">
    <w:pPr>
      <w:pStyle w:val="Footer"/>
      <w:rPr>
        <w:rFonts w:ascii="Arial" w:hAnsi="Arial" w:cs="Arial"/>
        <w:b/>
        <w:sz w:val="48"/>
      </w:rPr>
    </w:pPr>
    <w:r w:rsidRPr="00EF59B3">
      <w:rPr>
        <w:rFonts w:ascii="Arial" w:hAnsi="Arial" w:cs="Arial"/>
        <w:b/>
        <w:sz w:val="48"/>
      </w:rPr>
      <w:t>BG</w:t>
    </w:r>
    <w:r w:rsidRPr="00EF59B3">
      <w:rPr>
        <w:rFonts w:ascii="Arial" w:hAnsi="Arial" w:cs="Arial"/>
        <w:b/>
        <w:sz w:val="48"/>
      </w:rPr>
      <w:tab/>
    </w:r>
    <w:r w:rsidRPr="00EF59B3">
      <w:rPr>
        <w:rFonts w:ascii="Arial" w:hAnsi="Arial" w:cs="Arial"/>
        <w:b/>
        <w:sz w:val="48"/>
      </w:rPr>
      <w:tab/>
    </w:r>
    <w:r w:rsidRPr="00EF59B3">
      <w:tab/>
    </w:r>
    <w:r w:rsidRPr="00EF59B3">
      <w:rPr>
        <w:rFonts w:ascii="Arial" w:hAnsi="Arial" w:cs="Arial"/>
        <w:b/>
        <w:sz w:val="48"/>
      </w:rPr>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9B3" w:rsidRPr="00EF59B3" w:rsidRDefault="00EF59B3" w:rsidP="00EF59B3">
    <w:pPr>
      <w:pStyle w:val="Footer"/>
      <w:rPr>
        <w:rFonts w:ascii="Arial" w:hAnsi="Arial" w:cs="Arial"/>
        <w:b/>
        <w:sz w:val="48"/>
      </w:rPr>
    </w:pPr>
    <w:r w:rsidRPr="00EF59B3">
      <w:rPr>
        <w:rFonts w:ascii="Arial" w:hAnsi="Arial" w:cs="Arial"/>
        <w:b/>
        <w:sz w:val="48"/>
      </w:rPr>
      <w:t>BG</w:t>
    </w:r>
    <w:r w:rsidRPr="00EF59B3">
      <w:rPr>
        <w:rFonts w:ascii="Arial" w:hAnsi="Arial" w:cs="Arial"/>
        <w:b/>
        <w:sz w:val="48"/>
      </w:rPr>
      <w:tab/>
    </w:r>
    <w:r w:rsidRPr="00EF59B3">
      <w:rPr>
        <w:rFonts w:ascii="Arial" w:hAnsi="Arial" w:cs="Arial"/>
        <w:b/>
        <w:sz w:val="48"/>
      </w:rPr>
      <w:tab/>
    </w:r>
    <w:r w:rsidRPr="00EF59B3">
      <w:tab/>
    </w:r>
    <w:r w:rsidRPr="00EF59B3">
      <w:rPr>
        <w:rFonts w:ascii="Arial" w:hAnsi="Arial" w:cs="Arial"/>
        <w:b/>
        <w:sz w:val="48"/>
      </w:rPr>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9B3" w:rsidRDefault="00EF59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9B3" w:rsidRPr="00EF59B3" w:rsidRDefault="00EF59B3" w:rsidP="00EF59B3">
    <w:pPr>
      <w:pStyle w:val="Footer"/>
      <w:rPr>
        <w:rFonts w:ascii="Arial" w:hAnsi="Arial" w:cs="Arial"/>
        <w:b/>
        <w:sz w:val="48"/>
      </w:rPr>
    </w:pPr>
    <w:r w:rsidRPr="00EF59B3">
      <w:rPr>
        <w:rFonts w:ascii="Arial" w:hAnsi="Arial" w:cs="Arial"/>
        <w:b/>
        <w:sz w:val="48"/>
      </w:rPr>
      <w:t>BG</w:t>
    </w:r>
    <w:r w:rsidRPr="00EF59B3">
      <w:rPr>
        <w:rFonts w:ascii="Arial" w:hAnsi="Arial" w:cs="Arial"/>
        <w:b/>
        <w:sz w:val="48"/>
      </w:rPr>
      <w:tab/>
    </w:r>
    <w:r>
      <w:fldChar w:fldCharType="begin"/>
    </w:r>
    <w:r>
      <w:instrText xml:space="preserve"> PAGE  \* MERGEFORMAT </w:instrText>
    </w:r>
    <w:r>
      <w:fldChar w:fldCharType="separate"/>
    </w:r>
    <w:r w:rsidR="00124694">
      <w:rPr>
        <w:noProof/>
      </w:rPr>
      <w:t>11</w:t>
    </w:r>
    <w:r>
      <w:fldChar w:fldCharType="end"/>
    </w:r>
    <w:r>
      <w:tab/>
    </w:r>
    <w:r w:rsidRPr="00EF59B3">
      <w:tab/>
    </w:r>
    <w:r w:rsidRPr="00EF59B3">
      <w:rPr>
        <w:rFonts w:ascii="Arial" w:hAnsi="Arial" w:cs="Arial"/>
        <w:b/>
        <w:sz w:val="48"/>
      </w:rPr>
      <w:t>BG</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9B3" w:rsidRDefault="00EF59B3" w:rsidP="00EF59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782" w:rsidRDefault="00CA6782" w:rsidP="006660E2">
      <w:pPr>
        <w:spacing w:before="0" w:after="0"/>
      </w:pPr>
      <w:r>
        <w:separator/>
      </w:r>
    </w:p>
  </w:footnote>
  <w:footnote w:type="continuationSeparator" w:id="0">
    <w:p w:rsidR="00CA6782" w:rsidRDefault="00CA6782" w:rsidP="006660E2">
      <w:pPr>
        <w:spacing w:before="0" w:after="0"/>
      </w:pPr>
      <w:r>
        <w:continuationSeparator/>
      </w:r>
    </w:p>
  </w:footnote>
  <w:footnote w:type="continuationNotice" w:id="1">
    <w:p w:rsidR="00B503B4" w:rsidRDefault="00B503B4">
      <w:pPr>
        <w:spacing w:before="0" w:after="0"/>
      </w:pPr>
    </w:p>
  </w:footnote>
  <w:footnote w:id="2">
    <w:p w:rsidR="00DC34B3" w:rsidRPr="00A83D5A" w:rsidRDefault="00DC34B3" w:rsidP="00DC34B3">
      <w:pPr>
        <w:pStyle w:val="FootnoteText"/>
      </w:pPr>
      <w:r>
        <w:rPr>
          <w:rStyle w:val="FootnoteReference"/>
        </w:rPr>
        <w:footnoteRef/>
      </w:r>
      <w:r>
        <w:tab/>
        <w:t>Регламент (EO) № 2252/2004 на Съвета от 13 декември 2004 г. относно стандартите за отличителните знаци за сигурност и биометричните данни в паспортите и документите за пътуване, издавани от държавите членки (ОВ L 385, 29.12.2004 г., стр. 1—6, ELI: http://data.europa.eu/eli/reg/2004/2252/oj).</w:t>
      </w:r>
    </w:p>
  </w:footnote>
  <w:footnote w:id="3">
    <w:p w:rsidR="00DC34B3" w:rsidRPr="00A83D5A" w:rsidRDefault="00DC34B3">
      <w:pPr>
        <w:pStyle w:val="FootnoteText"/>
      </w:pPr>
      <w:r>
        <w:rPr>
          <w:rStyle w:val="FootnoteReference"/>
        </w:rPr>
        <w:footnoteRef/>
      </w:r>
      <w:r>
        <w:tab/>
        <w:t>Регламент (ЕО) № 1683/95 на Съвета от 29 май 1995 г. за определяне на единен формат за визи (ОВ L 164, 14.7.1995 г., стр. 1—4, ELI: http://data.europa.eu/eli/reg/1995/1683/oj).</w:t>
      </w:r>
    </w:p>
  </w:footnote>
  <w:footnote w:id="4">
    <w:p w:rsidR="00173E3A" w:rsidRPr="00A83D5A" w:rsidRDefault="00173E3A">
      <w:pPr>
        <w:pStyle w:val="FootnoteText"/>
      </w:pPr>
      <w:r>
        <w:rPr>
          <w:rStyle w:val="FootnoteReference"/>
        </w:rPr>
        <w:footnoteRef/>
      </w:r>
      <w:r>
        <w:tab/>
        <w:t>Директива 2004/82/ЕО на Съвета от 29 април 2004 г. относно задължението на превозвачите да съобщават данни на пътниците (ОВ L 261, 6.8.2004 г., стр. 24—27, ELI: http://data.europa.eu/eli/dir/2004/82/oj).</w:t>
      </w:r>
    </w:p>
  </w:footnote>
  <w:footnote w:id="5">
    <w:p w:rsidR="007307F8" w:rsidRDefault="007307F8" w:rsidP="007307F8">
      <w:pPr>
        <w:pStyle w:val="FootnoteText"/>
      </w:pPr>
      <w:r>
        <w:rPr>
          <w:rStyle w:val="FootnoteReference"/>
        </w:rPr>
        <w:footnoteRef/>
      </w:r>
      <w:r>
        <w:tab/>
        <w:t xml:space="preserve">Решение на Съда от 7 октомври 2014 г., Германия/Съвет, C-399/12, ECLI:EU:C:2014:2258, т. 64. </w:t>
      </w:r>
    </w:p>
  </w:footnote>
  <w:footnote w:id="6">
    <w:p w:rsidR="007307F8" w:rsidRDefault="007307F8" w:rsidP="007307F8">
      <w:pPr>
        <w:pStyle w:val="FootnoteText"/>
      </w:pPr>
      <w:r>
        <w:rPr>
          <w:rStyle w:val="FootnoteReference"/>
        </w:rPr>
        <w:footnoteRef/>
      </w:r>
      <w:r>
        <w:tab/>
        <w:t xml:space="preserve">Решение на Съда от 7 октомври 2014 г., Германия/Съвет, C-399/12, ECLI:EU:C:2014:2258, т. 61—64. </w:t>
      </w:r>
    </w:p>
  </w:footnote>
  <w:footnote w:id="7">
    <w:p w:rsidR="031EF829" w:rsidRPr="006D5D57" w:rsidRDefault="031EF829" w:rsidP="00632084">
      <w:pPr>
        <w:pStyle w:val="FootnoteText"/>
      </w:pPr>
      <w:r>
        <w:rPr>
          <w:rStyle w:val="FootnoteReference"/>
        </w:rPr>
        <w:footnoteRef/>
      </w:r>
      <w:r>
        <w:tab/>
        <w:t>Регламент (EO) № 2252/2004 на Съвета от 13 декември 2004 г. относно стандартите за отличителните знаци за сигурност и биометричните данни в паспортите и документите за пътуване, издавани от държавите членки (ОВ L 385, 29.12.2004 г., стр. 1—6, ELI: http://data.europa.eu/eli/reg/2004/2252/oj).</w:t>
      </w:r>
    </w:p>
  </w:footnote>
  <w:footnote w:id="8">
    <w:p w:rsidR="031EF829" w:rsidRPr="00632084" w:rsidRDefault="031EF829" w:rsidP="00632084">
      <w:pPr>
        <w:pStyle w:val="FootnoteText"/>
      </w:pPr>
      <w:r>
        <w:rPr>
          <w:rStyle w:val="FootnoteReference"/>
        </w:rPr>
        <w:footnoteRef/>
      </w:r>
      <w:r>
        <w:tab/>
        <w:t xml:space="preserve">Регламент (ЕО) № 1683/95 на Съвета от 29 май 1995 г. за определяне на единен формат за визи (ОВ L 164, 14.7.1995 г., стр. 1—4, ELI: http://data.europa.eu/eli/reg/1995/1683/oj). </w:t>
      </w:r>
    </w:p>
  </w:footnote>
  <w:footnote w:id="9">
    <w:p w:rsidR="427F0FFB" w:rsidRDefault="427F0FFB" w:rsidP="00632084">
      <w:pPr>
        <w:pStyle w:val="FootnoteText"/>
      </w:pPr>
      <w:r>
        <w:rPr>
          <w:rStyle w:val="FootnoteReference"/>
        </w:rPr>
        <w:footnoteRef/>
      </w:r>
      <w:r>
        <w:tab/>
        <w:t>Решение 2002/192/ЕО на Съвета от 28 февруари 2002 г. относно искането на Ирландия да участва в някои разпоредби от достиженията на правото от Шенген (ОВ L 64, 7.3.2002 г., стр.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9B3" w:rsidRDefault="00EF59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9B3" w:rsidRDefault="00EF59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D62A9D58"/>
    <w:lvl w:ilvl="0">
      <w:start w:val="1"/>
      <w:numFmt w:val="decimal"/>
      <w:pStyle w:val="ListNumber3"/>
      <w:lvlText w:val="%1."/>
      <w:lvlJc w:val="left"/>
      <w:pPr>
        <w:tabs>
          <w:tab w:val="num" w:pos="926"/>
        </w:tabs>
        <w:ind w:left="926" w:hanging="360"/>
      </w:pPr>
    </w:lvl>
  </w:abstractNum>
  <w:abstractNum w:abstractNumId="1" w15:restartNumberingAfterBreak="0">
    <w:nsid w:val="FFFFFF81"/>
    <w:multiLevelType w:val="singleLevel"/>
    <w:tmpl w:val="ECDAF940"/>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3785C7E"/>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3CAC7A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CCAC691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num>
  <w:num w:numId="2">
    <w:abstractNumId w:val="3"/>
  </w:num>
  <w:num w:numId="3">
    <w:abstractNumId w:val="2"/>
  </w:num>
  <w:num w:numId="4">
    <w:abstractNumId w:val="1"/>
  </w:num>
  <w:num w:numId="5">
    <w:abstractNumId w:val="0"/>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num>
  <w:num w:numId="8">
    <w:abstractNumId w:val="19"/>
    <w:lvlOverride w:ilvl="0">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num>
  <w:num w:numId="11">
    <w:abstractNumId w:val="16"/>
  </w:num>
  <w:num w:numId="12">
    <w:abstractNumId w:val="9"/>
  </w:num>
  <w:num w:numId="13">
    <w:abstractNumId w:val="18"/>
  </w:num>
  <w:num w:numId="14">
    <w:abstractNumId w:val="8"/>
  </w:num>
  <w:num w:numId="15">
    <w:abstractNumId w:val="10"/>
  </w:num>
  <w:num w:numId="16">
    <w:abstractNumId w:val="11"/>
  </w:num>
  <w:num w:numId="17">
    <w:abstractNumId w:val="6"/>
  </w:num>
  <w:num w:numId="18">
    <w:abstractNumId w:val="17"/>
  </w:num>
  <w:num w:numId="19">
    <w:abstractNumId w:val="5"/>
  </w:num>
  <w:num w:numId="20">
    <w:abstractNumId w:val="12"/>
  </w:num>
  <w:num w:numId="21">
    <w:abstractNumId w:val="14"/>
  </w:num>
  <w:num w:numId="22">
    <w:abstractNumId w:val="15"/>
  </w:num>
  <w:num w:numId="23">
    <w:abstractNumId w:val="7"/>
  </w:num>
  <w:num w:numId="24">
    <w:abstractNumId w:val="13"/>
  </w:num>
  <w:num w:numId="25">
    <w:abstractNumId w:val="19"/>
  </w:num>
  <w:num w:numId="26">
    <w:abstractNumId w:val="16"/>
  </w:num>
  <w:num w:numId="27">
    <w:abstractNumId w:val="9"/>
  </w:num>
  <w:num w:numId="28">
    <w:abstractNumId w:val="18"/>
  </w:num>
  <w:num w:numId="29">
    <w:abstractNumId w:val="8"/>
  </w:num>
  <w:num w:numId="30">
    <w:abstractNumId w:val="10"/>
  </w:num>
  <w:num w:numId="31">
    <w:abstractNumId w:val="11"/>
  </w:num>
  <w:num w:numId="32">
    <w:abstractNumId w:val="6"/>
  </w:num>
  <w:num w:numId="33">
    <w:abstractNumId w:val="17"/>
  </w:num>
  <w:num w:numId="34">
    <w:abstractNumId w:val="5"/>
  </w:num>
  <w:num w:numId="35">
    <w:abstractNumId w:val="12"/>
  </w:num>
  <w:num w:numId="36">
    <w:abstractNumId w:val="14"/>
  </w:num>
  <w:num w:numId="37">
    <w:abstractNumId w:val="15"/>
  </w:num>
  <w:num w:numId="38">
    <w:abstractNumId w:val="7"/>
  </w:num>
  <w:num w:numId="39">
    <w:abstractNumId w:val="13"/>
  </w:num>
  <w:num w:numId="40">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9830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4-10-16 08:18: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DA0D3AC-9924-4E55-9B11-60AE0DE30001"/>
    <w:docVar w:name="LW_COVERPAGE_TYPE" w:val="1"/>
    <w:docVar w:name="LW_CROSSREFERENCE" w:val="&lt;UNUSED&gt;"/>
    <w:docVar w:name="LW_DocType" w:val="COM"/>
    <w:docVar w:name="LW_EMISSION" w:val="16.10.2024"/>
    <w:docVar w:name="LW_EMISSION_ISODATE" w:val="2024-10-16"/>
    <w:docVar w:name="LW_EMISSION_LOCATION" w:val="BRX"/>
    <w:docVar w:name="LW_EMISSION_PREFIX" w:val="\u1041?\u1088?\u1102?\u1082?\u1089?\u1077?\u1083?, "/>
    <w:docVar w:name="LW_EMISSION_SUFFIX" w:val=" \u1075?."/>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BG"/>
    <w:docVar w:name="LW_LEVEL_OF_SENSITIVITY" w:val="Standard treatment"/>
    <w:docVar w:name="LW_NOM.INST" w:val="\u1045?\u1042?\u1056?\u1054?\u1055?\u1045?\u1049?\u1057?\u1050?\u1040? \u1050?\u1054?\u1052?\u1048?\u1057?\u1048?\u1071?"/>
    <w:docVar w:name="LW_NOM.INST_JOINTDOC" w:val="&lt;EMPTY&gt;"/>
    <w:docVar w:name="LW_PART_NBR" w:val="1"/>
    <w:docVar w:name="LW_PART_NBR_TOTAL" w:val="1"/>
    <w:docVar w:name="LW_REF.II.NEW.CP" w:val="NLE"/>
    <w:docVar w:name="LW_REF.II.NEW.CP_NUMBER" w:val="0261"/>
    <w:docVar w:name="LW_REF.II.NEW.CP_YEAR" w:val="2024"/>
    <w:docVar w:name="LW_REF.INST.NEW" w:val="COM"/>
    <w:docVar w:name="LW_REF.INST.NEW_ADOPTED" w:val="final"/>
    <w:docVar w:name="LW_REF.INST.NEW_TEXT" w:val="(2024) 4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u1055?\u1088?\u1077?\u1076?\u1083?\u1086?\u1078?\u1077?\u1085?\u1080?\u1077? \u1079?\u1072?"/>
    <w:docVar w:name="LW_SUPERTITRE" w:val="&lt;UNUSED&gt;"/>
    <w:docVar w:name="LW_TITRE.OBJ.CP" w:val="\u1086?\u1090?\u1085?\u1086?\u1089?\u1085?\u1086? \u1087?\u1086?\u1079?\u1080?\u1094?\u1080?\u1103?\u1090?\u1072?, \u1082?\u1086?\u1103?\u1090?\u1086? \u1090?\u1088?\u1103?\u1073?\u1074?\u1072? \u1076?\u1072? \u1089?\u1077? \u1079?\u1072?\u1077?\u1084?\u1077? \u1086?\u1090? \u1080?\u1084?\u1077?\u1090?\u1086? \u1085?\u1072? \u1045?\u1074?\u1088?\u1086?\u1087?\u1077?\u1081?\u1089?\u1082?\u1080?\u1103? \u1089?\u1098?\u1102?\u1079? \u1085?\u1072? 233-\u1090?\u1072?\u1090?\u1072? \u1089?\u1077?\u1089?\u1080?\u1103? \u1085?\u1072? \u1057?\u1098?\u1074?\u1077?\u1090?\u1072? \u1085?\u1072? \u1052?\u1077?\u1078?\u1076?\u1091?\u1085?\u1072?\u1088?\u1086?\u1076?\u1085?\u1072?\u1090?\u1072? \u1086?\u1088?\u1075?\u1072?\u1085?\u1080?\u1079?\u1072?\u1094?\u1080?\u1103? \u1079?\u1072? \u1075?\u1088?\u1072?\u1078?\u1076?\u1072?\u1085?\u1089?\u1082?\u1086? \u1074?\u1098?\u1079?\u1076?\u1091?\u1093?\u1086?\u1087?\u1083?\u1072?\u1074?\u1072?\u1085?\u1077? (\u1048?\u1050?\u1040?\u1054?) \u1074?\u1098?\u1074? \u1074?\u1088?\u1098?\u1079?\u1082?\u1072? \u1089? \u1087?\u1088?\u1077?\u1076?\u1083?\u1086?\u1078?\u1077?\u1085?\u1080?\u1090?\u1077? \u1080?\u1079?\u1084?\u1077?\u1085?\u1077?\u1085?\u1080?\u1103? \u1085?\u1072? \u1075?\u1083?\u1072?\u1074?\u1072? 1 (\u8222?\u1054?\u1087?\u1088?\u1077?\u1076?\u1077?\u1083?\u1077?\u1085?\u1080?\u1103? \u1080? \u1086?\u1073?\u1097?\u1080? \u1087?\u1088?\u1080?\u1085?\u1094?\u1080?\u1087?\u1080?\u8220?), \u1075?\u1083?\u1072?\u1074?\u1072? 3 (\u8222?\u1042?\u1083?\u1080?\u1079?\u1072?\u1085?\u1077? \u1080? \u1079?\u1072?\u1084?\u1080?\u1085?\u1072?\u1074?\u1072?\u1085?\u1077? \u1085?\u1072? \u1083?\u1080?\u1094?\u1072? \u1080? \u1085?\u1072? \u1090?\u1077?\u1093?\u1085?\u1080?\u1103? \u1073?\u1072?\u1075?\u1072?\u1078?\u8220?), \u1095?\u1072?\u1089?\u1090? \u1057? (\u8222?\u1057?\u1080?\u1075?\u1091?\u1088?\u1085?\u1086?\u1089?\u1090? \u1085?\u1072? \u1076?\u1086?\u1082?\u1091?\u1084?\u1077?\u1085?\u1090?\u1080?\u1090?\u1077? \u1079?\u1072? \u1087?\u1098?\u1090?\u1091?\u1074?\u1072?\u1085?\u1077?\u8220?), \u1095?\u1072?\u1089?\u1090? D (\u8222?\u1044?\u1086?\u1082?\u1091?\u1084?\u1077?\u1085?\u1090?\u1080? \u1079?\u1072? \u1087?\u1098?\u1090?\u1091?\u1074?\u1072?\u1085?\u1077?\u8220?), \u1095?\u1072?\u1089?\u1090? G (\u8222?\u1050?\u1072?\u1088?\u1090?\u1080? \u1087?\u1088?\u1080? \u1087?\u1088?\u1080?\u1089?\u1090?\u1080?\u1075?\u1072?\u1085?\u1077?/\u1079?\u1072?\u1084?\u1080?\u1085?\u1072?\u1074?\u1072?\u1085?\u1077?\u8220?), \u1095?\u1072?\u1089?\u1090? H (\u8222?\u1055?\u1088?\u1086?\u1074?\u1077?\u1088?\u1082?\u1072? \u1085?\u1072? \u1076?\u1086?\u1082?\u1091?\u1084?\u1077?\u1085?\u1090?\u1080?\u1090?\u1077? \u1079?\u1072? \u1087?\u1098?\u1090?\u1091?\u1074?\u1072?\u1085?\u1077?\u8220?) \u1080? \u1075?\u1083?\u1072?\u1074?\u1072? 8 (\u8222?\u1056?\u1072?\u1079?\u1087?\u1086?\u1088?\u1077?\u1076?\u1073?\u1080? \u1079?\u1072? \u1091?\u1083?\u1077?\u1089?\u1085?\u1103?\u1074?\u1072?\u1085?\u1077?, \u1082?\u1086?\u1080?\u1090?\u1086? \u1086?\u1073?\u1093?\u1074?\u1072?\u1097?\u1072?\u1090? \u1086?\u1087?\u1088?\u1077?\u1076?\u1077?\u1083?\u1077?\u1085?\u1080? \u1086?\u1073?\u1083?\u1072?\u1089?\u1090?\u1080?\u8220?), \u1095?\u1072?\u1089?\u1090? H (\u8222?\u1058?\u1088?\u1072?\u1092?\u1080?\u1082? \u1085?\u1072? \u1093?\u1086?\u1088?\u1072?\u8220?) \u1080? \u1095?\u1072?\u1089?\u1090? I (\u8222?\u1058?\u1088?\u1072?\u1092?\u1080?\u1082? \u1085?\u1072? \u1077?\u1082?\u1079?\u1077?\u1084?\u1087?\u1083?\u1103?\u1088?\u1080? \u1086?\u1090? \u1076?\u1080?\u1074?\u1072?\u1090?\u1072? \u1092?\u1083?\u1086?\u1088?\u1072? \u1080? \u1092?\u1072?\u1091?\u1085?\u1072?\u8220?), \u1082?\u1072?\u1082?\u1090?\u1086? \u1089?\u1072? \u1074?\u1082?\u1083?\u1102?\u1095?\u1077?\u1085?\u1080? \u1074? \u1080?\u1079?\u1084?\u1077?\u1085?\u1077?\u1085?\u1080?\u1077? 30 \u1085?\u1072? \u1087?\u1088?\u1080?\u1083?\u1086?\u1078?\u1077?\u1085?\u1080?\u1077? 9 \u8212? &lt;FMT:Italic&gt;\u1059?\u1083?\u1077?\u1089?\u1085?\u1103?\u1074?\u1072?\u1085?\u1077?,&lt;/FMT&gt; \u1086?\u1090? \u1050?\u1086?\u1085?\u1074?\u1077?\u1085?\u1094?\u1080?\u1103?\u1090?\u1072? \u1079?\u1072? \u1084?\u1077?\u1078?\u1076?\u1091?\u1085?\u1072?\u1088?\u1086?\u1076?\u1085?\u1086? \u1075?\u1088?\u1072?\u1078?\u1076?\u1072?\u1085?\u1089?\u1082?\u1086? \u1074?\u1098?\u1079?\u1076?\u1091?\u1093?\u1086?\u1087?\u1083?\u1072?\u1074?\u1072?\u1085?\u1077? (\u1063?\u1080?\u1082?\u1072?\u1075?\u1089?\u1082?\u1072?\u1090?\u1072? \u1082?\u1086?\u1085?\u1074?\u1077?\u1085?\u1094?\u1080?\u1103?)"/>
    <w:docVar w:name="LW_TYPE.DOC.CP" w:val="\u1056?\u1045?\u1064?\u1045?\u1053?\u1048?\u1045? \u1053?\u1040? \u1057?\u1066?\u1042?\u1045?\u1058?\u1040?"/>
    <w:docVar w:name="LwApiVersions" w:val="LW4CoDe 1.24.5.0; LW 9.0, Build 20240221"/>
  </w:docVars>
  <w:rsids>
    <w:rsidRoot w:val="006660E2"/>
    <w:rsid w:val="00014CE5"/>
    <w:rsid w:val="00023280"/>
    <w:rsid w:val="00023CC0"/>
    <w:rsid w:val="00032ABF"/>
    <w:rsid w:val="00032B3F"/>
    <w:rsid w:val="00034814"/>
    <w:rsid w:val="00037BF4"/>
    <w:rsid w:val="00096CA4"/>
    <w:rsid w:val="000B24F9"/>
    <w:rsid w:val="000B30D9"/>
    <w:rsid w:val="000E7028"/>
    <w:rsid w:val="001065F5"/>
    <w:rsid w:val="00114D3C"/>
    <w:rsid w:val="001238EF"/>
    <w:rsid w:val="00124694"/>
    <w:rsid w:val="00136111"/>
    <w:rsid w:val="00160D9E"/>
    <w:rsid w:val="00167616"/>
    <w:rsid w:val="00173E3A"/>
    <w:rsid w:val="0018210F"/>
    <w:rsid w:val="00194675"/>
    <w:rsid w:val="00197613"/>
    <w:rsid w:val="001B7033"/>
    <w:rsid w:val="001C3BFB"/>
    <w:rsid w:val="001C70ED"/>
    <w:rsid w:val="001D143A"/>
    <w:rsid w:val="00213161"/>
    <w:rsid w:val="00223513"/>
    <w:rsid w:val="00233DC7"/>
    <w:rsid w:val="002361D0"/>
    <w:rsid w:val="00247779"/>
    <w:rsid w:val="002626AF"/>
    <w:rsid w:val="00265C19"/>
    <w:rsid w:val="00282833"/>
    <w:rsid w:val="00285BEE"/>
    <w:rsid w:val="0029533F"/>
    <w:rsid w:val="002B30AF"/>
    <w:rsid w:val="0033344A"/>
    <w:rsid w:val="00370B7F"/>
    <w:rsid w:val="003A4EF0"/>
    <w:rsid w:val="003B2865"/>
    <w:rsid w:val="003C01B0"/>
    <w:rsid w:val="003E193F"/>
    <w:rsid w:val="003F66C9"/>
    <w:rsid w:val="0042648E"/>
    <w:rsid w:val="00461F9B"/>
    <w:rsid w:val="004936D2"/>
    <w:rsid w:val="004D7F07"/>
    <w:rsid w:val="004E29E9"/>
    <w:rsid w:val="00536C2C"/>
    <w:rsid w:val="00562370"/>
    <w:rsid w:val="005A3B0E"/>
    <w:rsid w:val="005A66E9"/>
    <w:rsid w:val="005B1EB6"/>
    <w:rsid w:val="005D3813"/>
    <w:rsid w:val="005E5D8F"/>
    <w:rsid w:val="00627EA6"/>
    <w:rsid w:val="006307A2"/>
    <w:rsid w:val="00632084"/>
    <w:rsid w:val="006520D6"/>
    <w:rsid w:val="00660131"/>
    <w:rsid w:val="006660E2"/>
    <w:rsid w:val="00671D43"/>
    <w:rsid w:val="006D5D57"/>
    <w:rsid w:val="006F00D3"/>
    <w:rsid w:val="006F124D"/>
    <w:rsid w:val="007307B6"/>
    <w:rsid w:val="007307F8"/>
    <w:rsid w:val="00762890"/>
    <w:rsid w:val="00773331"/>
    <w:rsid w:val="007932EF"/>
    <w:rsid w:val="007A420E"/>
    <w:rsid w:val="007E05B0"/>
    <w:rsid w:val="007E5F60"/>
    <w:rsid w:val="0081691F"/>
    <w:rsid w:val="00853602"/>
    <w:rsid w:val="008544D5"/>
    <w:rsid w:val="00874D22"/>
    <w:rsid w:val="00883AC1"/>
    <w:rsid w:val="008A2914"/>
    <w:rsid w:val="008A4B14"/>
    <w:rsid w:val="008A683C"/>
    <w:rsid w:val="008B7D27"/>
    <w:rsid w:val="008C03B1"/>
    <w:rsid w:val="008E4D8E"/>
    <w:rsid w:val="008F57F9"/>
    <w:rsid w:val="008F61F3"/>
    <w:rsid w:val="0090313D"/>
    <w:rsid w:val="00917879"/>
    <w:rsid w:val="00917AFA"/>
    <w:rsid w:val="009E559A"/>
    <w:rsid w:val="00A17A3D"/>
    <w:rsid w:val="00A33297"/>
    <w:rsid w:val="00A40E4D"/>
    <w:rsid w:val="00A42B54"/>
    <w:rsid w:val="00A42BF7"/>
    <w:rsid w:val="00A5158F"/>
    <w:rsid w:val="00A53D4B"/>
    <w:rsid w:val="00A7326D"/>
    <w:rsid w:val="00A76F80"/>
    <w:rsid w:val="00A83D5A"/>
    <w:rsid w:val="00AD0EDE"/>
    <w:rsid w:val="00B00C34"/>
    <w:rsid w:val="00B3447F"/>
    <w:rsid w:val="00B43ED6"/>
    <w:rsid w:val="00B503B4"/>
    <w:rsid w:val="00B92A9E"/>
    <w:rsid w:val="00B94575"/>
    <w:rsid w:val="00BE0090"/>
    <w:rsid w:val="00BE1975"/>
    <w:rsid w:val="00BE4D06"/>
    <w:rsid w:val="00BF4BF7"/>
    <w:rsid w:val="00C12301"/>
    <w:rsid w:val="00C2703C"/>
    <w:rsid w:val="00C83D86"/>
    <w:rsid w:val="00C855C7"/>
    <w:rsid w:val="00C96FD7"/>
    <w:rsid w:val="00CA6782"/>
    <w:rsid w:val="00CC43B8"/>
    <w:rsid w:val="00CE63A2"/>
    <w:rsid w:val="00CE7C39"/>
    <w:rsid w:val="00CF79DA"/>
    <w:rsid w:val="00D20381"/>
    <w:rsid w:val="00D413ED"/>
    <w:rsid w:val="00D637C1"/>
    <w:rsid w:val="00D857C3"/>
    <w:rsid w:val="00DB73C3"/>
    <w:rsid w:val="00DC34B3"/>
    <w:rsid w:val="00E11EA8"/>
    <w:rsid w:val="00E4233E"/>
    <w:rsid w:val="00E44DDC"/>
    <w:rsid w:val="00E552C0"/>
    <w:rsid w:val="00E60CED"/>
    <w:rsid w:val="00E6344A"/>
    <w:rsid w:val="00E83088"/>
    <w:rsid w:val="00E831E4"/>
    <w:rsid w:val="00EA30C1"/>
    <w:rsid w:val="00EF59B3"/>
    <w:rsid w:val="00EF6D1E"/>
    <w:rsid w:val="00F01284"/>
    <w:rsid w:val="00F3594E"/>
    <w:rsid w:val="00F65834"/>
    <w:rsid w:val="00F7336A"/>
    <w:rsid w:val="00FC38F8"/>
    <w:rsid w:val="00FC6904"/>
    <w:rsid w:val="00FE191A"/>
    <w:rsid w:val="00FE3485"/>
    <w:rsid w:val="00FE4E65"/>
    <w:rsid w:val="00FF2582"/>
    <w:rsid w:val="01EABEEF"/>
    <w:rsid w:val="0302342E"/>
    <w:rsid w:val="031EF829"/>
    <w:rsid w:val="0388068A"/>
    <w:rsid w:val="03D6A23B"/>
    <w:rsid w:val="046DBB56"/>
    <w:rsid w:val="051CDD3D"/>
    <w:rsid w:val="059BE8B2"/>
    <w:rsid w:val="062AAB15"/>
    <w:rsid w:val="06601C64"/>
    <w:rsid w:val="06FA4650"/>
    <w:rsid w:val="073C3E59"/>
    <w:rsid w:val="0C175A91"/>
    <w:rsid w:val="0DD43119"/>
    <w:rsid w:val="0E50FF14"/>
    <w:rsid w:val="0F60FE71"/>
    <w:rsid w:val="1012E746"/>
    <w:rsid w:val="1029CD00"/>
    <w:rsid w:val="123FD97C"/>
    <w:rsid w:val="1247EC49"/>
    <w:rsid w:val="12D8A36B"/>
    <w:rsid w:val="12E51982"/>
    <w:rsid w:val="12E7EAFF"/>
    <w:rsid w:val="14D47251"/>
    <w:rsid w:val="158A61F6"/>
    <w:rsid w:val="179D2303"/>
    <w:rsid w:val="17B85298"/>
    <w:rsid w:val="17F15B1B"/>
    <w:rsid w:val="19B02FC4"/>
    <w:rsid w:val="19FA49D6"/>
    <w:rsid w:val="1B17B1A5"/>
    <w:rsid w:val="1D1C91E6"/>
    <w:rsid w:val="1E9D8622"/>
    <w:rsid w:val="1EE1A231"/>
    <w:rsid w:val="1F17ADE1"/>
    <w:rsid w:val="20AF699D"/>
    <w:rsid w:val="2287757C"/>
    <w:rsid w:val="23991A3D"/>
    <w:rsid w:val="23DCC34D"/>
    <w:rsid w:val="23E8F4C7"/>
    <w:rsid w:val="24277660"/>
    <w:rsid w:val="247C28F9"/>
    <w:rsid w:val="249CDDEC"/>
    <w:rsid w:val="24A58596"/>
    <w:rsid w:val="25208227"/>
    <w:rsid w:val="262A8296"/>
    <w:rsid w:val="264A868E"/>
    <w:rsid w:val="2659CD37"/>
    <w:rsid w:val="26794AA1"/>
    <w:rsid w:val="277950E9"/>
    <w:rsid w:val="279AE0FA"/>
    <w:rsid w:val="27A6FCCE"/>
    <w:rsid w:val="2981D88B"/>
    <w:rsid w:val="2AB579A2"/>
    <w:rsid w:val="2B5F62F6"/>
    <w:rsid w:val="2C205D5E"/>
    <w:rsid w:val="2C9FD7E3"/>
    <w:rsid w:val="2CDBDA97"/>
    <w:rsid w:val="2D9A85C9"/>
    <w:rsid w:val="2DF33D1C"/>
    <w:rsid w:val="2E96D34A"/>
    <w:rsid w:val="2EFAF8AE"/>
    <w:rsid w:val="2F392062"/>
    <w:rsid w:val="2F8AB925"/>
    <w:rsid w:val="30006F56"/>
    <w:rsid w:val="3047294E"/>
    <w:rsid w:val="3052811E"/>
    <w:rsid w:val="311AEC9C"/>
    <w:rsid w:val="31EACB83"/>
    <w:rsid w:val="333990C1"/>
    <w:rsid w:val="3391F760"/>
    <w:rsid w:val="3426C303"/>
    <w:rsid w:val="342CD09F"/>
    <w:rsid w:val="362784AF"/>
    <w:rsid w:val="382EAFFB"/>
    <w:rsid w:val="3987FC01"/>
    <w:rsid w:val="39E33048"/>
    <w:rsid w:val="39F2EA37"/>
    <w:rsid w:val="39F67D07"/>
    <w:rsid w:val="3A0FF689"/>
    <w:rsid w:val="3B5D54F0"/>
    <w:rsid w:val="3C1E4BE9"/>
    <w:rsid w:val="3C3E9C0D"/>
    <w:rsid w:val="3C5E1ACA"/>
    <w:rsid w:val="3C797290"/>
    <w:rsid w:val="3DA8DEB6"/>
    <w:rsid w:val="3E0FC2D6"/>
    <w:rsid w:val="3EE1FB1B"/>
    <w:rsid w:val="3F2C439B"/>
    <w:rsid w:val="427F0FFB"/>
    <w:rsid w:val="4333CF9D"/>
    <w:rsid w:val="43DA66D0"/>
    <w:rsid w:val="449113DB"/>
    <w:rsid w:val="44BDE585"/>
    <w:rsid w:val="455A4E9B"/>
    <w:rsid w:val="4581289C"/>
    <w:rsid w:val="45F00031"/>
    <w:rsid w:val="47992D6B"/>
    <w:rsid w:val="47D74761"/>
    <w:rsid w:val="485A2017"/>
    <w:rsid w:val="49C3F237"/>
    <w:rsid w:val="4ADDEBC7"/>
    <w:rsid w:val="4D0AC183"/>
    <w:rsid w:val="4DF9F4B8"/>
    <w:rsid w:val="4E6B5C32"/>
    <w:rsid w:val="4E9CE520"/>
    <w:rsid w:val="4EE1436C"/>
    <w:rsid w:val="4F363348"/>
    <w:rsid w:val="4FA38967"/>
    <w:rsid w:val="5011A334"/>
    <w:rsid w:val="5035073E"/>
    <w:rsid w:val="509F1658"/>
    <w:rsid w:val="51940853"/>
    <w:rsid w:val="519841EC"/>
    <w:rsid w:val="51E4345C"/>
    <w:rsid w:val="52E03090"/>
    <w:rsid w:val="53533ACB"/>
    <w:rsid w:val="53655669"/>
    <w:rsid w:val="545503F3"/>
    <w:rsid w:val="5469E54F"/>
    <w:rsid w:val="55192257"/>
    <w:rsid w:val="5525EF8B"/>
    <w:rsid w:val="55734B7B"/>
    <w:rsid w:val="562D95E2"/>
    <w:rsid w:val="5758C873"/>
    <w:rsid w:val="576C5993"/>
    <w:rsid w:val="581B8946"/>
    <w:rsid w:val="59465A1C"/>
    <w:rsid w:val="5A706F58"/>
    <w:rsid w:val="5BD1986B"/>
    <w:rsid w:val="5EB2D543"/>
    <w:rsid w:val="5F844117"/>
    <w:rsid w:val="5FAADA6D"/>
    <w:rsid w:val="5FC97119"/>
    <w:rsid w:val="60812A31"/>
    <w:rsid w:val="62BF251B"/>
    <w:rsid w:val="641E8387"/>
    <w:rsid w:val="64EE460B"/>
    <w:rsid w:val="6648A440"/>
    <w:rsid w:val="66EE0D13"/>
    <w:rsid w:val="67003E1C"/>
    <w:rsid w:val="68FC1E94"/>
    <w:rsid w:val="696EA9F7"/>
    <w:rsid w:val="699F155D"/>
    <w:rsid w:val="6A9F42A1"/>
    <w:rsid w:val="6B397F30"/>
    <w:rsid w:val="6BAE9940"/>
    <w:rsid w:val="6C0D134D"/>
    <w:rsid w:val="6C224982"/>
    <w:rsid w:val="6C42765D"/>
    <w:rsid w:val="6FCEB05B"/>
    <w:rsid w:val="712C95FB"/>
    <w:rsid w:val="714127AF"/>
    <w:rsid w:val="724A50DE"/>
    <w:rsid w:val="72531A52"/>
    <w:rsid w:val="7267CD27"/>
    <w:rsid w:val="726888AF"/>
    <w:rsid w:val="74C7F1CB"/>
    <w:rsid w:val="75B9313D"/>
    <w:rsid w:val="76726260"/>
    <w:rsid w:val="768025CE"/>
    <w:rsid w:val="7689F5B7"/>
    <w:rsid w:val="76A266D5"/>
    <w:rsid w:val="780764FE"/>
    <w:rsid w:val="787321EA"/>
    <w:rsid w:val="78B74590"/>
    <w:rsid w:val="79ABDA00"/>
    <w:rsid w:val="7A03521E"/>
    <w:rsid w:val="7A996943"/>
    <w:rsid w:val="7E3C2382"/>
    <w:rsid w:val="7E5B8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5:docId w15:val="{2CF50ABA-4C4A-4F38-A2D1-D78AF628F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bg-BG"/>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5E5D8F"/>
    <w:pPr>
      <w:numPr>
        <w:numId w:val="1"/>
      </w:numPr>
      <w:contextualSpacing/>
    </w:pPr>
  </w:style>
  <w:style w:type="paragraph" w:styleId="ListBullet2">
    <w:name w:val="List Bullet 2"/>
    <w:basedOn w:val="Normal"/>
    <w:uiPriority w:val="99"/>
    <w:semiHidden/>
    <w:unhideWhenUsed/>
    <w:rsid w:val="005E5D8F"/>
    <w:pPr>
      <w:numPr>
        <w:numId w:val="2"/>
      </w:numPr>
      <w:contextualSpacing/>
    </w:pPr>
  </w:style>
  <w:style w:type="paragraph" w:styleId="ListBullet3">
    <w:name w:val="List Bullet 3"/>
    <w:basedOn w:val="Normal"/>
    <w:uiPriority w:val="99"/>
    <w:semiHidden/>
    <w:unhideWhenUsed/>
    <w:rsid w:val="005E5D8F"/>
    <w:pPr>
      <w:numPr>
        <w:numId w:val="3"/>
      </w:numPr>
      <w:contextualSpacing/>
    </w:pPr>
  </w:style>
  <w:style w:type="paragraph" w:styleId="ListBullet4">
    <w:name w:val="List Bullet 4"/>
    <w:basedOn w:val="Normal"/>
    <w:uiPriority w:val="99"/>
    <w:semiHidden/>
    <w:unhideWhenUsed/>
    <w:rsid w:val="005E5D8F"/>
    <w:pPr>
      <w:numPr>
        <w:numId w:val="4"/>
      </w:numPr>
      <w:contextualSpacing/>
    </w:pPr>
  </w:style>
  <w:style w:type="character" w:styleId="Strong">
    <w:name w:val="Strong"/>
    <w:basedOn w:val="DefaultParagraphFont"/>
    <w:uiPriority w:val="22"/>
    <w:qFormat/>
    <w:rsid w:val="005E5D8F"/>
    <w:rPr>
      <w:b/>
      <w:bCs/>
    </w:rPr>
  </w:style>
  <w:style w:type="paragraph" w:styleId="CommentText">
    <w:name w:val="annotation text"/>
    <w:basedOn w:val="Normal"/>
    <w:link w:val="CommentTextChar"/>
    <w:uiPriority w:val="99"/>
    <w:unhideWhenUsed/>
    <w:rsid w:val="005E5D8F"/>
    <w:rPr>
      <w:sz w:val="20"/>
      <w:szCs w:val="20"/>
    </w:rPr>
  </w:style>
  <w:style w:type="character" w:customStyle="1" w:styleId="CommentTextChar">
    <w:name w:val="Comment Text Char"/>
    <w:basedOn w:val="DefaultParagraphFont"/>
    <w:link w:val="CommentText"/>
    <w:uiPriority w:val="99"/>
    <w:rsid w:val="005E5D8F"/>
    <w:rPr>
      <w:rFonts w:ascii="Times New Roman" w:hAnsi="Times New Roman" w:cs="Times New Roman"/>
      <w:sz w:val="20"/>
      <w:szCs w:val="20"/>
      <w:lang w:val="bg-BG"/>
    </w:rPr>
  </w:style>
  <w:style w:type="character" w:styleId="CommentReference">
    <w:name w:val="annotation reference"/>
    <w:basedOn w:val="DefaultParagraphFont"/>
    <w:uiPriority w:val="99"/>
    <w:semiHidden/>
    <w:unhideWhenUsed/>
    <w:rsid w:val="005E5D8F"/>
    <w:rPr>
      <w:sz w:val="16"/>
      <w:szCs w:val="16"/>
    </w:rPr>
  </w:style>
  <w:style w:type="character" w:styleId="Hyperlink">
    <w:name w:val="Hyperlink"/>
    <w:basedOn w:val="DefaultParagraphFont"/>
    <w:uiPriority w:val="99"/>
    <w:unhideWhenUsed/>
    <w:rsid w:val="005E5D8F"/>
    <w:rPr>
      <w:color w:val="0000FF" w:themeColor="hyperlink"/>
      <w:u w:val="single"/>
    </w:rPr>
  </w:style>
  <w:style w:type="paragraph" w:customStyle="1" w:styleId="title-bold">
    <w:name w:val="title-bold"/>
    <w:basedOn w:val="Normal"/>
    <w:rsid w:val="005E5D8F"/>
    <w:pPr>
      <w:spacing w:before="100" w:beforeAutospacing="1" w:after="100" w:afterAutospacing="1"/>
      <w:jc w:val="left"/>
    </w:pPr>
    <w:rPr>
      <w:rFonts w:eastAsia="Times New Roman"/>
      <w:szCs w:val="24"/>
      <w:lang w:eastAsia="de-DE"/>
    </w:rPr>
  </w:style>
  <w:style w:type="paragraph" w:styleId="ListNumber3">
    <w:name w:val="List Number 3"/>
    <w:basedOn w:val="Normal"/>
    <w:uiPriority w:val="99"/>
    <w:semiHidden/>
    <w:unhideWhenUsed/>
    <w:rsid w:val="00A76F80"/>
    <w:pPr>
      <w:numPr>
        <w:numId w:val="5"/>
      </w:numPr>
      <w:contextualSpacing/>
    </w:pPr>
  </w:style>
  <w:style w:type="paragraph" w:styleId="Revision">
    <w:name w:val="Revision"/>
    <w:hidden/>
    <w:uiPriority w:val="99"/>
    <w:semiHidden/>
    <w:rsid w:val="006520D6"/>
    <w:pPr>
      <w:spacing w:after="0" w:line="240" w:lineRule="auto"/>
    </w:pPr>
    <w:rPr>
      <w:rFonts w:ascii="Times New Roman" w:hAnsi="Times New Roman" w:cs="Times New Roman"/>
      <w:sz w:val="24"/>
    </w:rPr>
  </w:style>
  <w:style w:type="paragraph" w:styleId="NormalWeb">
    <w:name w:val="Normal (Web)"/>
    <w:basedOn w:val="Normal"/>
    <w:uiPriority w:val="99"/>
    <w:semiHidden/>
    <w:unhideWhenUsed/>
    <w:rsid w:val="00DC34B3"/>
    <w:pPr>
      <w:spacing w:before="100" w:beforeAutospacing="1" w:after="100" w:afterAutospacing="1"/>
      <w:jc w:val="left"/>
    </w:pPr>
    <w:rPr>
      <w:rFonts w:eastAsia="Times New Roman"/>
      <w:szCs w:val="24"/>
      <w:lang w:eastAsia="en-IE"/>
    </w:rPr>
  </w:style>
  <w:style w:type="character" w:styleId="Emphasis">
    <w:name w:val="Emphasis"/>
    <w:basedOn w:val="DefaultParagraphFont"/>
    <w:uiPriority w:val="20"/>
    <w:qFormat/>
    <w:rsid w:val="00DC34B3"/>
    <w:rPr>
      <w:i/>
      <w:iCs/>
    </w:rPr>
  </w:style>
  <w:style w:type="paragraph" w:styleId="CommentSubject">
    <w:name w:val="annotation subject"/>
    <w:basedOn w:val="CommentText"/>
    <w:next w:val="CommentText"/>
    <w:link w:val="CommentSubjectChar"/>
    <w:uiPriority w:val="99"/>
    <w:semiHidden/>
    <w:unhideWhenUsed/>
    <w:rsid w:val="000B24F9"/>
    <w:rPr>
      <w:b/>
      <w:bCs/>
    </w:rPr>
  </w:style>
  <w:style w:type="character" w:customStyle="1" w:styleId="CommentSubjectChar">
    <w:name w:val="Comment Subject Char"/>
    <w:basedOn w:val="CommentTextChar"/>
    <w:link w:val="CommentSubject"/>
    <w:uiPriority w:val="99"/>
    <w:semiHidden/>
    <w:rsid w:val="000B24F9"/>
    <w:rPr>
      <w:rFonts w:ascii="Times New Roman" w:hAnsi="Times New Roman" w:cs="Times New Roman"/>
      <w:b/>
      <w:bCs/>
      <w:sz w:val="20"/>
      <w:szCs w:val="20"/>
      <w:lang w:val="bg-BG"/>
    </w:rPr>
  </w:style>
  <w:style w:type="paragraph" w:styleId="ListParagraph">
    <w:name w:val="List Paragraph"/>
    <w:basedOn w:val="Normal"/>
    <w:uiPriority w:val="34"/>
    <w:qFormat/>
    <w:pPr>
      <w:ind w:left="720"/>
      <w:contextualSpacing/>
    </w:pPr>
  </w:style>
  <w:style w:type="character" w:customStyle="1" w:styleId="UnresolvedMention">
    <w:name w:val="Unresolved Mention"/>
    <w:basedOn w:val="DefaultParagraphFont"/>
    <w:uiPriority w:val="99"/>
    <w:semiHidden/>
    <w:unhideWhenUsed/>
    <w:rsid w:val="00762890"/>
    <w:rPr>
      <w:color w:val="605E5C"/>
      <w:shd w:val="clear" w:color="auto" w:fill="E1DFDD"/>
    </w:rPr>
  </w:style>
  <w:style w:type="character" w:customStyle="1" w:styleId="HeaderChar">
    <w:name w:val="Header Char"/>
    <w:basedOn w:val="DefaultParagraphFont"/>
    <w:link w:val="Header"/>
    <w:uiPriority w:val="99"/>
    <w:rsid w:val="00EF59B3"/>
    <w:rPr>
      <w:rFonts w:ascii="Times New Roman" w:hAnsi="Times New Roman" w:cs="Times New Roman"/>
      <w:sz w:val="24"/>
      <w:lang w:val="bg-BG"/>
    </w:rPr>
  </w:style>
  <w:style w:type="character" w:customStyle="1" w:styleId="FooterChar">
    <w:name w:val="Footer Char"/>
    <w:basedOn w:val="DefaultParagraphFont"/>
    <w:link w:val="Footer"/>
    <w:uiPriority w:val="99"/>
    <w:rsid w:val="00EF59B3"/>
    <w:rPr>
      <w:rFonts w:ascii="Times New Roman" w:hAnsi="Times New Roman" w:cs="Times New Roman"/>
      <w:sz w:val="24"/>
      <w:lang w:val="bg-BG"/>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F59B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F59B3"/>
    <w:pPr>
      <w:spacing w:before="0"/>
      <w:jc w:val="right"/>
    </w:pPr>
    <w:rPr>
      <w:sz w:val="28"/>
    </w:rPr>
  </w:style>
  <w:style w:type="paragraph" w:customStyle="1" w:styleId="FooterSensitivity">
    <w:name w:val="Footer Sensitivity"/>
    <w:basedOn w:val="Normal"/>
    <w:rsid w:val="00EF59B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EF59B3"/>
    <w:pPr>
      <w:tabs>
        <w:tab w:val="center" w:pos="4535"/>
        <w:tab w:val="right" w:pos="9071"/>
      </w:tabs>
      <w:spacing w:before="0"/>
    </w:pPr>
  </w:style>
  <w:style w:type="paragraph" w:customStyle="1" w:styleId="HeaderLandscape">
    <w:name w:val="HeaderLandscape"/>
    <w:basedOn w:val="Normal"/>
    <w:rsid w:val="00EF59B3"/>
    <w:pPr>
      <w:tabs>
        <w:tab w:val="center" w:pos="7285"/>
        <w:tab w:val="right" w:pos="14003"/>
      </w:tabs>
      <w:spacing w:before="0"/>
    </w:pPr>
  </w:style>
  <w:style w:type="paragraph" w:styleId="Footer">
    <w:name w:val="footer"/>
    <w:basedOn w:val="Normal"/>
    <w:link w:val="FooterChar"/>
    <w:uiPriority w:val="99"/>
    <w:unhideWhenUsed/>
    <w:rsid w:val="00EF59B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F59B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76478">
      <w:bodyDiv w:val="1"/>
      <w:marLeft w:val="0"/>
      <w:marRight w:val="0"/>
      <w:marTop w:val="0"/>
      <w:marBottom w:val="0"/>
      <w:divBdr>
        <w:top w:val="none" w:sz="0" w:space="0" w:color="auto"/>
        <w:left w:val="none" w:sz="0" w:space="0" w:color="auto"/>
        <w:bottom w:val="none" w:sz="0" w:space="0" w:color="auto"/>
        <w:right w:val="none" w:sz="0" w:space="0" w:color="auto"/>
      </w:divBdr>
    </w:div>
    <w:div w:id="666322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DC57545CCC7E4D96277E6F225A1F62" ma:contentTypeVersion="6" ma:contentTypeDescription="Create a new document." ma:contentTypeScope="" ma:versionID="2034b79746c99d402f1b78e5b9f661d0">
  <xsd:schema xmlns:xsd="http://www.w3.org/2001/XMLSchema" xmlns:xs="http://www.w3.org/2001/XMLSchema" xmlns:p="http://schemas.microsoft.com/office/2006/metadata/properties" xmlns:ns2="f684bd8a-c567-4475-964c-cbf7a277ec4b" xmlns:ns3="7058b7d0-6f54-43d0-ac9b-f95b90dfb0dc" targetNamespace="http://schemas.microsoft.com/office/2006/metadata/properties" ma:root="true" ma:fieldsID="ff4ed7c4f32000f887ba1644ef7ba2fd" ns2:_="" ns3:_="">
    <xsd:import namespace="f684bd8a-c567-4475-964c-cbf7a277ec4b"/>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84bd8a-c567-4475-964c-cbf7a277ec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694A5-AAA1-4666-AD85-6770BC1BCD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84bd8a-c567-4475-964c-cbf7a277ec4b"/>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28B029-88D8-405E-9001-4580BC7874B8}">
  <ds:schemaRefs>
    <ds:schemaRef ds:uri="http://purl.org/dc/dcmitype/"/>
    <ds:schemaRef ds:uri="http://purl.org/dc/elements/1.1/"/>
    <ds:schemaRef ds:uri="f684bd8a-c567-4475-964c-cbf7a277ec4b"/>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7058b7d0-6f54-43d0-ac9b-f95b90dfb0dc"/>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567C20DE-23D4-450F-9EDA-861E51345239}">
  <ds:schemaRefs>
    <ds:schemaRef ds:uri="http://schemas.microsoft.com/sharepoint/v3/contenttype/forms"/>
  </ds:schemaRefs>
</ds:datastoreItem>
</file>

<file path=customXml/itemProps4.xml><?xml version="1.0" encoding="utf-8"?>
<ds:datastoreItem xmlns:ds="http://schemas.openxmlformats.org/officeDocument/2006/customXml" ds:itemID="{EF64648D-E907-4665-BE60-5B7863B28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23</TotalTime>
  <Pages>10</Pages>
  <Words>3949</Words>
  <Characters>22510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39</cp:revision>
  <dcterms:created xsi:type="dcterms:W3CDTF">2024-10-11T09:08:00Z</dcterms:created>
  <dcterms:modified xsi:type="dcterms:W3CDTF">2024-10-16T06:18:00Z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2024-09-30T14:41:48Z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347a0c8e-ee95-4024-8132-cffe2619cb7d</vt:lpwstr>
  </property>
  <property fmtid="{D5CDD505-2E9C-101B-9397-08002B2CF9AE}" pid="16" name="MSIP_Label_6bd9ddd1-4d20-43f6-abfa-fc3c07406f94_ContentBits">
    <vt:lpwstr>0</vt:lpwstr>
  </property>
  <property fmtid="{D5CDD505-2E9C-101B-9397-08002B2CF9AE}" pid="17" name="ContentTypeId">
    <vt:lpwstr>0x01010071DC57545CCC7E4D96277E6F225A1F62</vt:lpwstr>
  </property>
  <property fmtid="{D5CDD505-2E9C-101B-9397-08002B2CF9AE}" pid="18" name="DQCStatus">
    <vt:lpwstr>Green (DQC version 03)</vt:lpwstr>
  </property>
  <property name="OP_sanitized" fmtid="{D5CDD505-2E9C-101B-9397-08002B2CF9AE}" pid="19">
    <vt:lpwstr>True</vt:lpwstr>
  </property>
</Properties>
</file>