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D4D97" w14:textId="0F42E8CB" w:rsidR="00EA6712" w:rsidRDefault="00C466D8" w:rsidP="00C466D8">
      <w:pPr>
        <w:pStyle w:val="Pagedecouverture"/>
        <w:rPr>
          <w:noProof/>
        </w:rPr>
      </w:pPr>
      <w:bookmarkStart w:id="0" w:name="LW_BM_COVERPAGE"/>
      <w:r>
        <w:rPr>
          <w:noProof/>
        </w:rPr>
        <w:pict w14:anchorId="076D9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39AA153-AD1A-4693-A395-4B61F371C9A3" style="width:455.25pt;height:378.75pt">
            <v:imagedata r:id="rId11" o:title=""/>
          </v:shape>
        </w:pict>
      </w:r>
    </w:p>
    <w:bookmarkEnd w:id="0"/>
    <w:p w14:paraId="2C73B8A4" w14:textId="77777777" w:rsidR="00EA6712" w:rsidRDefault="00EA6712" w:rsidP="00EA6712">
      <w:pPr>
        <w:rPr>
          <w:noProof/>
        </w:rPr>
        <w:sectPr w:rsidR="00EA6712" w:rsidSect="00C466D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CD14C98" w14:textId="77777777" w:rsidR="00EA6712" w:rsidRDefault="00EA6712" w:rsidP="00EA6712">
      <w:pPr>
        <w:pStyle w:val="TOCHeading"/>
        <w:rPr>
          <w:rFonts w:asciiTheme="minorHAnsi" w:eastAsiaTheme="minorEastAsia" w:hAnsiTheme="minorHAnsi" w:cstheme="minorBidi"/>
          <w:b/>
          <w:bCs/>
          <w:noProof/>
          <w:color w:val="auto"/>
          <w:sz w:val="22"/>
          <w:szCs w:val="22"/>
          <w:highlight w:val="yellow"/>
        </w:rPr>
      </w:pPr>
      <w:bookmarkStart w:id="1" w:name="_Hlk161994109"/>
      <w:bookmarkStart w:id="2" w:name="_Hlk161995337"/>
      <w:bookmarkStart w:id="3" w:name="_GoBack"/>
      <w:bookmarkEnd w:id="3"/>
    </w:p>
    <w:sdt>
      <w:sdtPr>
        <w:rPr>
          <w:rFonts w:asciiTheme="minorHAnsi" w:eastAsiaTheme="minorEastAsia" w:hAnsiTheme="minorHAnsi" w:cstheme="minorBidi"/>
          <w:b/>
          <w:bCs/>
          <w:noProof/>
          <w:color w:val="auto"/>
          <w:sz w:val="22"/>
          <w:szCs w:val="22"/>
          <w:highlight w:val="yellow"/>
        </w:rPr>
        <w:id w:val="-198713430"/>
        <w:docPartObj>
          <w:docPartGallery w:val="Table of Contents"/>
          <w:docPartUnique/>
        </w:docPartObj>
      </w:sdtPr>
      <w:sdtEndPr/>
      <w:sdtContent>
        <w:p w14:paraId="5474089B" w14:textId="77777777" w:rsidR="00EA6712" w:rsidRPr="00900636" w:rsidRDefault="00EA6712" w:rsidP="00EA6712">
          <w:pPr>
            <w:pStyle w:val="TOCHeading"/>
            <w:rPr>
              <w:rFonts w:ascii="Times New Roman" w:hAnsi="Times New Roman" w:cs="Times New Roman"/>
              <w:b/>
              <w:noProof/>
              <w:color w:val="auto"/>
            </w:rPr>
          </w:pPr>
          <w:r>
            <w:rPr>
              <w:rFonts w:ascii="Times New Roman" w:hAnsi="Times New Roman"/>
              <w:b/>
              <w:noProof/>
              <w:color w:val="auto"/>
            </w:rPr>
            <w:t>Съдържание</w:t>
          </w:r>
        </w:p>
        <w:p w14:paraId="19BE9CF2" w14:textId="4BF3E941" w:rsidR="00021BE0" w:rsidRDefault="00EA6712">
          <w:pPr>
            <w:pStyle w:val="TOC1"/>
            <w:tabs>
              <w:tab w:val="left" w:pos="880"/>
            </w:tabs>
            <w:rPr>
              <w:rFonts w:eastAsiaTheme="minorEastAsia"/>
              <w:noProof/>
              <w:kern w:val="2"/>
              <w14:ligatures w14:val="standardContextual"/>
            </w:rPr>
          </w:pPr>
          <w:r w:rsidRPr="00F108D9">
            <w:rPr>
              <w:b/>
              <w:noProof/>
              <w:highlight w:val="yellow"/>
            </w:rPr>
            <w:fldChar w:fldCharType="begin"/>
          </w:r>
          <w:r w:rsidRPr="00F108D9">
            <w:rPr>
              <w:b/>
              <w:noProof/>
              <w:highlight w:val="yellow"/>
            </w:rPr>
            <w:instrText xml:space="preserve"> TOC \o "1-3" \h \z \u </w:instrText>
          </w:r>
          <w:r w:rsidRPr="00F108D9">
            <w:rPr>
              <w:b/>
              <w:noProof/>
              <w:highlight w:val="yellow"/>
            </w:rPr>
            <w:fldChar w:fldCharType="separate"/>
          </w:r>
          <w:hyperlink w:anchor="_Toc164695738" w:history="1">
            <w:r w:rsidR="00021BE0" w:rsidRPr="00C03051">
              <w:rPr>
                <w:rStyle w:val="Hyperlink"/>
                <w:noProof/>
              </w:rPr>
              <w:t>1.</w:t>
            </w:r>
            <w:r w:rsidR="00021BE0">
              <w:rPr>
                <w:rFonts w:eastAsiaTheme="minorEastAsia"/>
                <w:noProof/>
                <w:kern w:val="2"/>
                <w14:ligatures w14:val="standardContextual"/>
              </w:rPr>
              <w:tab/>
            </w:r>
            <w:r w:rsidR="00021BE0" w:rsidRPr="00C03051">
              <w:rPr>
                <w:rStyle w:val="Hyperlink"/>
                <w:noProof/>
              </w:rPr>
              <w:t>Въведение</w:t>
            </w:r>
            <w:r w:rsidR="00021BE0">
              <w:rPr>
                <w:noProof/>
                <w:webHidden/>
              </w:rPr>
              <w:tab/>
            </w:r>
            <w:r w:rsidR="00021BE0">
              <w:rPr>
                <w:noProof/>
                <w:webHidden/>
              </w:rPr>
              <w:fldChar w:fldCharType="begin"/>
            </w:r>
            <w:r w:rsidR="00021BE0">
              <w:rPr>
                <w:noProof/>
                <w:webHidden/>
              </w:rPr>
              <w:instrText xml:space="preserve"> PAGEREF _Toc164695738 \h </w:instrText>
            </w:r>
            <w:r w:rsidR="00021BE0">
              <w:rPr>
                <w:noProof/>
                <w:webHidden/>
              </w:rPr>
            </w:r>
            <w:r w:rsidR="00021BE0">
              <w:rPr>
                <w:noProof/>
                <w:webHidden/>
              </w:rPr>
              <w:fldChar w:fldCharType="separate"/>
            </w:r>
            <w:r w:rsidR="00A95767">
              <w:rPr>
                <w:noProof/>
                <w:webHidden/>
              </w:rPr>
              <w:t>2</w:t>
            </w:r>
            <w:r w:rsidR="00021BE0">
              <w:rPr>
                <w:noProof/>
                <w:webHidden/>
              </w:rPr>
              <w:fldChar w:fldCharType="end"/>
            </w:r>
          </w:hyperlink>
        </w:p>
        <w:p w14:paraId="4097ABA2" w14:textId="71CA186D" w:rsidR="00021BE0" w:rsidRDefault="00C466D8">
          <w:pPr>
            <w:pStyle w:val="TOC2"/>
            <w:rPr>
              <w:rFonts w:eastAsiaTheme="minorEastAsia"/>
              <w:noProof/>
              <w:kern w:val="2"/>
              <w14:ligatures w14:val="standardContextual"/>
            </w:rPr>
          </w:pPr>
          <w:hyperlink w:anchor="_Toc164695739" w:history="1">
            <w:r w:rsidR="00021BE0" w:rsidRPr="00C03051">
              <w:rPr>
                <w:rStyle w:val="Hyperlink"/>
                <w:noProof/>
              </w:rPr>
              <w:t>1.1.</w:t>
            </w:r>
            <w:r w:rsidR="00021BE0">
              <w:rPr>
                <w:rFonts w:eastAsiaTheme="minorEastAsia"/>
                <w:noProof/>
                <w:kern w:val="2"/>
                <w14:ligatures w14:val="standardContextual"/>
              </w:rPr>
              <w:tab/>
            </w:r>
            <w:r w:rsidR="00021BE0" w:rsidRPr="00C03051">
              <w:rPr>
                <w:rStyle w:val="Hyperlink"/>
                <w:noProof/>
              </w:rPr>
              <w:t>Контекст</w:t>
            </w:r>
            <w:r w:rsidR="00021BE0">
              <w:rPr>
                <w:noProof/>
                <w:webHidden/>
              </w:rPr>
              <w:tab/>
            </w:r>
            <w:r w:rsidR="00021BE0">
              <w:rPr>
                <w:noProof/>
                <w:webHidden/>
              </w:rPr>
              <w:fldChar w:fldCharType="begin"/>
            </w:r>
            <w:r w:rsidR="00021BE0">
              <w:rPr>
                <w:noProof/>
                <w:webHidden/>
              </w:rPr>
              <w:instrText xml:space="preserve"> PAGEREF _Toc164695739 \h </w:instrText>
            </w:r>
            <w:r w:rsidR="00021BE0">
              <w:rPr>
                <w:noProof/>
                <w:webHidden/>
              </w:rPr>
            </w:r>
            <w:r w:rsidR="00021BE0">
              <w:rPr>
                <w:noProof/>
                <w:webHidden/>
              </w:rPr>
              <w:fldChar w:fldCharType="separate"/>
            </w:r>
            <w:r w:rsidR="00A95767">
              <w:rPr>
                <w:noProof/>
                <w:webHidden/>
              </w:rPr>
              <w:t>2</w:t>
            </w:r>
            <w:r w:rsidR="00021BE0">
              <w:rPr>
                <w:noProof/>
                <w:webHidden/>
              </w:rPr>
              <w:fldChar w:fldCharType="end"/>
            </w:r>
          </w:hyperlink>
        </w:p>
        <w:p w14:paraId="15A036C7" w14:textId="228A214C" w:rsidR="00021BE0" w:rsidRDefault="00C466D8">
          <w:pPr>
            <w:pStyle w:val="TOC2"/>
            <w:rPr>
              <w:rFonts w:eastAsiaTheme="minorEastAsia"/>
              <w:noProof/>
              <w:kern w:val="2"/>
              <w14:ligatures w14:val="standardContextual"/>
            </w:rPr>
          </w:pPr>
          <w:hyperlink w:anchor="_Toc164695740" w:history="1">
            <w:r w:rsidR="00021BE0" w:rsidRPr="00C03051">
              <w:rPr>
                <w:rStyle w:val="Hyperlink"/>
                <w:noProof/>
              </w:rPr>
              <w:t>1.2.</w:t>
            </w:r>
            <w:r w:rsidR="00021BE0">
              <w:rPr>
                <w:rFonts w:eastAsiaTheme="minorEastAsia"/>
                <w:noProof/>
                <w:kern w:val="2"/>
                <w14:ligatures w14:val="standardContextual"/>
              </w:rPr>
              <w:tab/>
            </w:r>
            <w:r w:rsidR="00021BE0" w:rsidRPr="00C03051">
              <w:rPr>
                <w:rStyle w:val="Hyperlink"/>
                <w:noProof/>
              </w:rPr>
              <w:t>Цел и обхват на настоящия доклад</w:t>
            </w:r>
            <w:r w:rsidR="00021BE0">
              <w:rPr>
                <w:noProof/>
                <w:webHidden/>
              </w:rPr>
              <w:tab/>
            </w:r>
            <w:r w:rsidR="00021BE0">
              <w:rPr>
                <w:noProof/>
                <w:webHidden/>
              </w:rPr>
              <w:fldChar w:fldCharType="begin"/>
            </w:r>
            <w:r w:rsidR="00021BE0">
              <w:rPr>
                <w:noProof/>
                <w:webHidden/>
              </w:rPr>
              <w:instrText xml:space="preserve"> PAGEREF _Toc164695740 \h </w:instrText>
            </w:r>
            <w:r w:rsidR="00021BE0">
              <w:rPr>
                <w:noProof/>
                <w:webHidden/>
              </w:rPr>
            </w:r>
            <w:r w:rsidR="00021BE0">
              <w:rPr>
                <w:noProof/>
                <w:webHidden/>
              </w:rPr>
              <w:fldChar w:fldCharType="separate"/>
            </w:r>
            <w:r w:rsidR="00A95767">
              <w:rPr>
                <w:noProof/>
                <w:webHidden/>
              </w:rPr>
              <w:t>2</w:t>
            </w:r>
            <w:r w:rsidR="00021BE0">
              <w:rPr>
                <w:noProof/>
                <w:webHidden/>
              </w:rPr>
              <w:fldChar w:fldCharType="end"/>
            </w:r>
          </w:hyperlink>
        </w:p>
        <w:p w14:paraId="3E622A5D" w14:textId="17551DE5" w:rsidR="00021BE0" w:rsidRDefault="00C466D8">
          <w:pPr>
            <w:pStyle w:val="TOC1"/>
            <w:tabs>
              <w:tab w:val="left" w:pos="880"/>
            </w:tabs>
            <w:rPr>
              <w:rFonts w:eastAsiaTheme="minorEastAsia"/>
              <w:noProof/>
              <w:kern w:val="2"/>
              <w14:ligatures w14:val="standardContextual"/>
            </w:rPr>
          </w:pPr>
          <w:hyperlink w:anchor="_Toc164695741" w:history="1">
            <w:r w:rsidR="00021BE0" w:rsidRPr="00C03051">
              <w:rPr>
                <w:rStyle w:val="Hyperlink"/>
                <w:noProof/>
              </w:rPr>
              <w:t>2.</w:t>
            </w:r>
            <w:r w:rsidR="00021BE0">
              <w:rPr>
                <w:rFonts w:eastAsiaTheme="minorEastAsia"/>
                <w:noProof/>
                <w:kern w:val="2"/>
                <w14:ligatures w14:val="standardContextual"/>
              </w:rPr>
              <w:tab/>
            </w:r>
            <w:r w:rsidR="00021BE0" w:rsidRPr="00C03051">
              <w:rPr>
                <w:rStyle w:val="Hyperlink"/>
                <w:noProof/>
              </w:rPr>
              <w:t>Общ преглед на транспонирането</w:t>
            </w:r>
            <w:r w:rsidR="00021BE0">
              <w:rPr>
                <w:noProof/>
                <w:webHidden/>
              </w:rPr>
              <w:tab/>
            </w:r>
            <w:r w:rsidR="00021BE0">
              <w:rPr>
                <w:noProof/>
                <w:webHidden/>
              </w:rPr>
              <w:fldChar w:fldCharType="begin"/>
            </w:r>
            <w:r w:rsidR="00021BE0">
              <w:rPr>
                <w:noProof/>
                <w:webHidden/>
              </w:rPr>
              <w:instrText xml:space="preserve"> PAGEREF _Toc164695741 \h </w:instrText>
            </w:r>
            <w:r w:rsidR="00021BE0">
              <w:rPr>
                <w:noProof/>
                <w:webHidden/>
              </w:rPr>
            </w:r>
            <w:r w:rsidR="00021BE0">
              <w:rPr>
                <w:noProof/>
                <w:webHidden/>
              </w:rPr>
              <w:fldChar w:fldCharType="separate"/>
            </w:r>
            <w:r w:rsidR="00A95767">
              <w:rPr>
                <w:noProof/>
                <w:webHidden/>
              </w:rPr>
              <w:t>3</w:t>
            </w:r>
            <w:r w:rsidR="00021BE0">
              <w:rPr>
                <w:noProof/>
                <w:webHidden/>
              </w:rPr>
              <w:fldChar w:fldCharType="end"/>
            </w:r>
          </w:hyperlink>
        </w:p>
        <w:p w14:paraId="570002DB" w14:textId="6843FFAE" w:rsidR="00021BE0" w:rsidRDefault="00C466D8">
          <w:pPr>
            <w:pStyle w:val="TOC1"/>
            <w:tabs>
              <w:tab w:val="left" w:pos="880"/>
            </w:tabs>
            <w:rPr>
              <w:rFonts w:eastAsiaTheme="minorEastAsia"/>
              <w:noProof/>
              <w:kern w:val="2"/>
              <w14:ligatures w14:val="standardContextual"/>
            </w:rPr>
          </w:pPr>
          <w:hyperlink w:anchor="_Toc164695742" w:history="1">
            <w:r w:rsidR="00021BE0" w:rsidRPr="00C03051">
              <w:rPr>
                <w:rStyle w:val="Hyperlink"/>
                <w:noProof/>
              </w:rPr>
              <w:t>3.</w:t>
            </w:r>
            <w:r w:rsidR="00021BE0">
              <w:rPr>
                <w:rFonts w:eastAsiaTheme="minorEastAsia"/>
                <w:noProof/>
                <w:kern w:val="2"/>
                <w14:ligatures w14:val="standardContextual"/>
              </w:rPr>
              <w:tab/>
            </w:r>
            <w:r w:rsidR="00021BE0" w:rsidRPr="00C03051">
              <w:rPr>
                <w:rStyle w:val="Hyperlink"/>
                <w:noProof/>
              </w:rPr>
              <w:t>Специфични въпроси при анализа</w:t>
            </w:r>
            <w:r w:rsidR="00021BE0">
              <w:rPr>
                <w:noProof/>
                <w:webHidden/>
              </w:rPr>
              <w:tab/>
            </w:r>
            <w:r w:rsidR="00021BE0">
              <w:rPr>
                <w:noProof/>
                <w:webHidden/>
              </w:rPr>
              <w:fldChar w:fldCharType="begin"/>
            </w:r>
            <w:r w:rsidR="00021BE0">
              <w:rPr>
                <w:noProof/>
                <w:webHidden/>
              </w:rPr>
              <w:instrText xml:space="preserve"> PAGEREF _Toc164695742 \h </w:instrText>
            </w:r>
            <w:r w:rsidR="00021BE0">
              <w:rPr>
                <w:noProof/>
                <w:webHidden/>
              </w:rPr>
            </w:r>
            <w:r w:rsidR="00021BE0">
              <w:rPr>
                <w:noProof/>
                <w:webHidden/>
              </w:rPr>
              <w:fldChar w:fldCharType="separate"/>
            </w:r>
            <w:r w:rsidR="00A95767">
              <w:rPr>
                <w:noProof/>
                <w:webHidden/>
              </w:rPr>
              <w:t>3</w:t>
            </w:r>
            <w:r w:rsidR="00021BE0">
              <w:rPr>
                <w:noProof/>
                <w:webHidden/>
              </w:rPr>
              <w:fldChar w:fldCharType="end"/>
            </w:r>
          </w:hyperlink>
        </w:p>
        <w:p w14:paraId="367A79EE" w14:textId="59BBF65C" w:rsidR="00021BE0" w:rsidRDefault="00C466D8">
          <w:pPr>
            <w:pStyle w:val="TOC2"/>
            <w:rPr>
              <w:rFonts w:eastAsiaTheme="minorEastAsia"/>
              <w:noProof/>
              <w:kern w:val="2"/>
              <w14:ligatures w14:val="standardContextual"/>
            </w:rPr>
          </w:pPr>
          <w:hyperlink w:anchor="_Toc164695743" w:history="1">
            <w:r w:rsidR="00021BE0" w:rsidRPr="00C03051">
              <w:rPr>
                <w:rStyle w:val="Hyperlink"/>
                <w:noProof/>
              </w:rPr>
              <w:t>3.1.</w:t>
            </w:r>
            <w:r w:rsidR="00021BE0">
              <w:rPr>
                <w:rFonts w:eastAsiaTheme="minorEastAsia"/>
                <w:noProof/>
                <w:kern w:val="2"/>
                <w14:ligatures w14:val="standardContextual"/>
              </w:rPr>
              <w:tab/>
            </w:r>
            <w:r w:rsidR="00021BE0" w:rsidRPr="00C03051">
              <w:rPr>
                <w:rStyle w:val="Hyperlink"/>
                <w:noProof/>
              </w:rPr>
              <w:t>Приложно поле и размер на предприятието (член 1)</w:t>
            </w:r>
            <w:r w:rsidR="00021BE0">
              <w:rPr>
                <w:noProof/>
                <w:webHidden/>
              </w:rPr>
              <w:tab/>
            </w:r>
            <w:r w:rsidR="00021BE0">
              <w:rPr>
                <w:noProof/>
                <w:webHidden/>
              </w:rPr>
              <w:fldChar w:fldCharType="begin"/>
            </w:r>
            <w:r w:rsidR="00021BE0">
              <w:rPr>
                <w:noProof/>
                <w:webHidden/>
              </w:rPr>
              <w:instrText xml:space="preserve"> PAGEREF _Toc164695743 \h </w:instrText>
            </w:r>
            <w:r w:rsidR="00021BE0">
              <w:rPr>
                <w:noProof/>
                <w:webHidden/>
              </w:rPr>
            </w:r>
            <w:r w:rsidR="00021BE0">
              <w:rPr>
                <w:noProof/>
                <w:webHidden/>
              </w:rPr>
              <w:fldChar w:fldCharType="separate"/>
            </w:r>
            <w:r w:rsidR="00A95767">
              <w:rPr>
                <w:noProof/>
                <w:webHidden/>
              </w:rPr>
              <w:t>3</w:t>
            </w:r>
            <w:r w:rsidR="00021BE0">
              <w:rPr>
                <w:noProof/>
                <w:webHidden/>
              </w:rPr>
              <w:fldChar w:fldCharType="end"/>
            </w:r>
          </w:hyperlink>
        </w:p>
        <w:p w14:paraId="13A4684B" w14:textId="77C9903F" w:rsidR="00021BE0" w:rsidRDefault="00C466D8">
          <w:pPr>
            <w:pStyle w:val="TOC3"/>
            <w:tabs>
              <w:tab w:val="left" w:pos="1320"/>
              <w:tab w:val="right" w:leader="dot" w:pos="9016"/>
            </w:tabs>
            <w:rPr>
              <w:rFonts w:eastAsiaTheme="minorEastAsia"/>
              <w:noProof/>
              <w:kern w:val="2"/>
              <w14:ligatures w14:val="standardContextual"/>
            </w:rPr>
          </w:pPr>
          <w:hyperlink w:anchor="_Toc164695744" w:history="1">
            <w:r w:rsidR="00021BE0" w:rsidRPr="00C03051">
              <w:rPr>
                <w:rStyle w:val="Hyperlink"/>
                <w:b/>
                <w:iCs/>
                <w:noProof/>
              </w:rPr>
              <w:t>3.1.1.</w:t>
            </w:r>
            <w:r w:rsidR="00021BE0">
              <w:rPr>
                <w:rFonts w:eastAsiaTheme="minorEastAsia"/>
                <w:noProof/>
                <w:kern w:val="2"/>
                <w14:ligatures w14:val="standardContextual"/>
              </w:rPr>
              <w:tab/>
            </w:r>
            <w:r w:rsidR="00021BE0" w:rsidRPr="00C03051">
              <w:rPr>
                <w:rStyle w:val="Hyperlink"/>
                <w:b/>
                <w:noProof/>
              </w:rPr>
              <w:t>Оператори по веригата и отношения във връзка с доставките</w:t>
            </w:r>
            <w:r w:rsidR="00021BE0">
              <w:rPr>
                <w:noProof/>
                <w:webHidden/>
              </w:rPr>
              <w:tab/>
            </w:r>
            <w:r w:rsidR="00021BE0">
              <w:rPr>
                <w:noProof/>
                <w:webHidden/>
              </w:rPr>
              <w:fldChar w:fldCharType="begin"/>
            </w:r>
            <w:r w:rsidR="00021BE0">
              <w:rPr>
                <w:noProof/>
                <w:webHidden/>
              </w:rPr>
              <w:instrText xml:space="preserve"> PAGEREF _Toc164695744 \h </w:instrText>
            </w:r>
            <w:r w:rsidR="00021BE0">
              <w:rPr>
                <w:noProof/>
                <w:webHidden/>
              </w:rPr>
            </w:r>
            <w:r w:rsidR="00021BE0">
              <w:rPr>
                <w:noProof/>
                <w:webHidden/>
              </w:rPr>
              <w:fldChar w:fldCharType="separate"/>
            </w:r>
            <w:r w:rsidR="00A95767">
              <w:rPr>
                <w:noProof/>
                <w:webHidden/>
              </w:rPr>
              <w:t>4</w:t>
            </w:r>
            <w:r w:rsidR="00021BE0">
              <w:rPr>
                <w:noProof/>
                <w:webHidden/>
              </w:rPr>
              <w:fldChar w:fldCharType="end"/>
            </w:r>
          </w:hyperlink>
        </w:p>
        <w:p w14:paraId="2541CE01" w14:textId="3776662F" w:rsidR="00021BE0" w:rsidRDefault="00C466D8">
          <w:pPr>
            <w:pStyle w:val="TOC2"/>
            <w:rPr>
              <w:rFonts w:eastAsiaTheme="minorEastAsia"/>
              <w:noProof/>
              <w:kern w:val="2"/>
              <w14:ligatures w14:val="standardContextual"/>
            </w:rPr>
          </w:pPr>
          <w:hyperlink w:anchor="_Toc164695745" w:history="1">
            <w:r w:rsidR="00021BE0" w:rsidRPr="00C03051">
              <w:rPr>
                <w:rStyle w:val="Hyperlink"/>
                <w:noProof/>
              </w:rPr>
              <w:t>3.2.</w:t>
            </w:r>
            <w:r w:rsidR="00021BE0">
              <w:rPr>
                <w:rFonts w:eastAsiaTheme="minorEastAsia"/>
                <w:noProof/>
                <w:kern w:val="2"/>
                <w14:ligatures w14:val="standardContextual"/>
              </w:rPr>
              <w:tab/>
            </w:r>
            <w:r w:rsidR="00021BE0" w:rsidRPr="00C03051">
              <w:rPr>
                <w:rStyle w:val="Hyperlink"/>
                <w:noProof/>
              </w:rPr>
              <w:t>Забрана на НТП (член 3)</w:t>
            </w:r>
            <w:r w:rsidR="00021BE0">
              <w:rPr>
                <w:noProof/>
                <w:webHidden/>
              </w:rPr>
              <w:tab/>
            </w:r>
            <w:r w:rsidR="00021BE0">
              <w:rPr>
                <w:noProof/>
                <w:webHidden/>
              </w:rPr>
              <w:fldChar w:fldCharType="begin"/>
            </w:r>
            <w:r w:rsidR="00021BE0">
              <w:rPr>
                <w:noProof/>
                <w:webHidden/>
              </w:rPr>
              <w:instrText xml:space="preserve"> PAGEREF _Toc164695745 \h </w:instrText>
            </w:r>
            <w:r w:rsidR="00021BE0">
              <w:rPr>
                <w:noProof/>
                <w:webHidden/>
              </w:rPr>
            </w:r>
            <w:r w:rsidR="00021BE0">
              <w:rPr>
                <w:noProof/>
                <w:webHidden/>
              </w:rPr>
              <w:fldChar w:fldCharType="separate"/>
            </w:r>
            <w:r w:rsidR="00A95767">
              <w:rPr>
                <w:noProof/>
                <w:webHidden/>
              </w:rPr>
              <w:t>4</w:t>
            </w:r>
            <w:r w:rsidR="00021BE0">
              <w:rPr>
                <w:noProof/>
                <w:webHidden/>
              </w:rPr>
              <w:fldChar w:fldCharType="end"/>
            </w:r>
          </w:hyperlink>
        </w:p>
        <w:p w14:paraId="6888BE26" w14:textId="5D80AC5D" w:rsidR="00021BE0" w:rsidRDefault="00C466D8">
          <w:pPr>
            <w:pStyle w:val="TOC2"/>
            <w:rPr>
              <w:rFonts w:eastAsiaTheme="minorEastAsia"/>
              <w:noProof/>
              <w:kern w:val="2"/>
              <w14:ligatures w14:val="standardContextual"/>
            </w:rPr>
          </w:pPr>
          <w:hyperlink w:anchor="_Toc164695746" w:history="1">
            <w:r w:rsidR="00021BE0" w:rsidRPr="00C03051">
              <w:rPr>
                <w:rStyle w:val="Hyperlink"/>
                <w:noProof/>
              </w:rPr>
              <w:t>3.3.</w:t>
            </w:r>
            <w:r w:rsidR="00021BE0">
              <w:rPr>
                <w:rFonts w:eastAsiaTheme="minorEastAsia"/>
                <w:noProof/>
                <w:kern w:val="2"/>
                <w14:ligatures w14:val="standardContextual"/>
              </w:rPr>
              <w:tab/>
            </w:r>
            <w:r w:rsidR="00021BE0" w:rsidRPr="00C03051">
              <w:rPr>
                <w:rStyle w:val="Hyperlink"/>
                <w:noProof/>
              </w:rPr>
              <w:t>Механизми за правоприлагане (членове 4—8)</w:t>
            </w:r>
            <w:r w:rsidR="00021BE0">
              <w:rPr>
                <w:noProof/>
                <w:webHidden/>
              </w:rPr>
              <w:tab/>
            </w:r>
            <w:r w:rsidR="00021BE0">
              <w:rPr>
                <w:noProof/>
                <w:webHidden/>
              </w:rPr>
              <w:fldChar w:fldCharType="begin"/>
            </w:r>
            <w:r w:rsidR="00021BE0">
              <w:rPr>
                <w:noProof/>
                <w:webHidden/>
              </w:rPr>
              <w:instrText xml:space="preserve"> PAGEREF _Toc164695746 \h </w:instrText>
            </w:r>
            <w:r w:rsidR="00021BE0">
              <w:rPr>
                <w:noProof/>
                <w:webHidden/>
              </w:rPr>
            </w:r>
            <w:r w:rsidR="00021BE0">
              <w:rPr>
                <w:noProof/>
                <w:webHidden/>
              </w:rPr>
              <w:fldChar w:fldCharType="separate"/>
            </w:r>
            <w:r w:rsidR="00A95767">
              <w:rPr>
                <w:noProof/>
                <w:webHidden/>
              </w:rPr>
              <w:t>5</w:t>
            </w:r>
            <w:r w:rsidR="00021BE0">
              <w:rPr>
                <w:noProof/>
                <w:webHidden/>
              </w:rPr>
              <w:fldChar w:fldCharType="end"/>
            </w:r>
          </w:hyperlink>
        </w:p>
        <w:p w14:paraId="60F3A413" w14:textId="08711D80" w:rsidR="00021BE0" w:rsidRDefault="00C466D8">
          <w:pPr>
            <w:pStyle w:val="TOC3"/>
            <w:tabs>
              <w:tab w:val="left" w:pos="1320"/>
              <w:tab w:val="right" w:leader="dot" w:pos="9016"/>
            </w:tabs>
            <w:rPr>
              <w:rFonts w:eastAsiaTheme="minorEastAsia"/>
              <w:noProof/>
              <w:kern w:val="2"/>
              <w14:ligatures w14:val="standardContextual"/>
            </w:rPr>
          </w:pPr>
          <w:hyperlink w:anchor="_Toc164695747" w:history="1">
            <w:r w:rsidR="00021BE0" w:rsidRPr="00C03051">
              <w:rPr>
                <w:rStyle w:val="Hyperlink"/>
                <w:b/>
                <w:noProof/>
              </w:rPr>
              <w:t>3.3.1.</w:t>
            </w:r>
            <w:r w:rsidR="00021BE0">
              <w:rPr>
                <w:rFonts w:eastAsiaTheme="minorEastAsia"/>
                <w:noProof/>
                <w:kern w:val="2"/>
                <w14:ligatures w14:val="standardContextual"/>
              </w:rPr>
              <w:tab/>
            </w:r>
            <w:r w:rsidR="00021BE0" w:rsidRPr="00C03051">
              <w:rPr>
                <w:rStyle w:val="Hyperlink"/>
                <w:b/>
                <w:noProof/>
              </w:rPr>
              <w:t>Определяне на правоприлагащи органи (член 4)</w:t>
            </w:r>
            <w:r w:rsidR="00021BE0">
              <w:rPr>
                <w:noProof/>
                <w:webHidden/>
              </w:rPr>
              <w:tab/>
            </w:r>
            <w:r w:rsidR="00021BE0">
              <w:rPr>
                <w:noProof/>
                <w:webHidden/>
              </w:rPr>
              <w:fldChar w:fldCharType="begin"/>
            </w:r>
            <w:r w:rsidR="00021BE0">
              <w:rPr>
                <w:noProof/>
                <w:webHidden/>
              </w:rPr>
              <w:instrText xml:space="preserve"> PAGEREF _Toc164695747 \h </w:instrText>
            </w:r>
            <w:r w:rsidR="00021BE0">
              <w:rPr>
                <w:noProof/>
                <w:webHidden/>
              </w:rPr>
            </w:r>
            <w:r w:rsidR="00021BE0">
              <w:rPr>
                <w:noProof/>
                <w:webHidden/>
              </w:rPr>
              <w:fldChar w:fldCharType="separate"/>
            </w:r>
            <w:r w:rsidR="00A95767">
              <w:rPr>
                <w:noProof/>
                <w:webHidden/>
              </w:rPr>
              <w:t>5</w:t>
            </w:r>
            <w:r w:rsidR="00021BE0">
              <w:rPr>
                <w:noProof/>
                <w:webHidden/>
              </w:rPr>
              <w:fldChar w:fldCharType="end"/>
            </w:r>
          </w:hyperlink>
        </w:p>
        <w:p w14:paraId="7DEA58CC" w14:textId="7950DDF2" w:rsidR="00021BE0" w:rsidRDefault="00C466D8">
          <w:pPr>
            <w:pStyle w:val="TOC3"/>
            <w:tabs>
              <w:tab w:val="left" w:pos="1320"/>
              <w:tab w:val="right" w:leader="dot" w:pos="9016"/>
            </w:tabs>
            <w:rPr>
              <w:rFonts w:eastAsiaTheme="minorEastAsia"/>
              <w:noProof/>
              <w:kern w:val="2"/>
              <w14:ligatures w14:val="standardContextual"/>
            </w:rPr>
          </w:pPr>
          <w:hyperlink w:anchor="_Toc164695748" w:history="1">
            <w:r w:rsidR="00021BE0" w:rsidRPr="00C03051">
              <w:rPr>
                <w:rStyle w:val="Hyperlink"/>
                <w:b/>
                <w:noProof/>
              </w:rPr>
              <w:t>3.3.2.</w:t>
            </w:r>
            <w:r w:rsidR="00021BE0">
              <w:rPr>
                <w:rFonts w:eastAsiaTheme="minorEastAsia"/>
                <w:noProof/>
                <w:kern w:val="2"/>
                <w14:ligatures w14:val="standardContextual"/>
              </w:rPr>
              <w:tab/>
            </w:r>
            <w:r w:rsidR="00021BE0" w:rsidRPr="00C03051">
              <w:rPr>
                <w:rStyle w:val="Hyperlink"/>
                <w:b/>
                <w:noProof/>
              </w:rPr>
              <w:t>Подаване на жалби и поверителност (член 5)</w:t>
            </w:r>
            <w:r w:rsidR="00021BE0">
              <w:rPr>
                <w:noProof/>
                <w:webHidden/>
              </w:rPr>
              <w:tab/>
            </w:r>
            <w:r w:rsidR="00021BE0">
              <w:rPr>
                <w:noProof/>
                <w:webHidden/>
              </w:rPr>
              <w:fldChar w:fldCharType="begin"/>
            </w:r>
            <w:r w:rsidR="00021BE0">
              <w:rPr>
                <w:noProof/>
                <w:webHidden/>
              </w:rPr>
              <w:instrText xml:space="preserve"> PAGEREF _Toc164695748 \h </w:instrText>
            </w:r>
            <w:r w:rsidR="00021BE0">
              <w:rPr>
                <w:noProof/>
                <w:webHidden/>
              </w:rPr>
            </w:r>
            <w:r w:rsidR="00021BE0">
              <w:rPr>
                <w:noProof/>
                <w:webHidden/>
              </w:rPr>
              <w:fldChar w:fldCharType="separate"/>
            </w:r>
            <w:r w:rsidR="00A95767">
              <w:rPr>
                <w:noProof/>
                <w:webHidden/>
              </w:rPr>
              <w:t>5</w:t>
            </w:r>
            <w:r w:rsidR="00021BE0">
              <w:rPr>
                <w:noProof/>
                <w:webHidden/>
              </w:rPr>
              <w:fldChar w:fldCharType="end"/>
            </w:r>
          </w:hyperlink>
        </w:p>
        <w:p w14:paraId="225D7988" w14:textId="77BCFAF4" w:rsidR="00021BE0" w:rsidRDefault="00C466D8">
          <w:pPr>
            <w:pStyle w:val="TOC3"/>
            <w:tabs>
              <w:tab w:val="left" w:pos="1320"/>
              <w:tab w:val="right" w:leader="dot" w:pos="9016"/>
            </w:tabs>
            <w:rPr>
              <w:rFonts w:eastAsiaTheme="minorEastAsia"/>
              <w:noProof/>
              <w:kern w:val="2"/>
              <w14:ligatures w14:val="standardContextual"/>
            </w:rPr>
          </w:pPr>
          <w:hyperlink w:anchor="_Toc164695749" w:history="1">
            <w:r w:rsidR="00021BE0" w:rsidRPr="00C03051">
              <w:rPr>
                <w:rStyle w:val="Hyperlink"/>
                <w:b/>
                <w:noProof/>
              </w:rPr>
              <w:t>3.3.3.</w:t>
            </w:r>
            <w:r w:rsidR="00021BE0">
              <w:rPr>
                <w:rFonts w:eastAsiaTheme="minorEastAsia"/>
                <w:noProof/>
                <w:kern w:val="2"/>
                <w14:ligatures w14:val="standardContextual"/>
              </w:rPr>
              <w:tab/>
            </w:r>
            <w:r w:rsidR="00021BE0" w:rsidRPr="00C03051">
              <w:rPr>
                <w:rStyle w:val="Hyperlink"/>
                <w:b/>
                <w:noProof/>
              </w:rPr>
              <w:t>Правомощия на определените правоприлагащи органи (член 6)</w:t>
            </w:r>
            <w:r w:rsidR="00021BE0">
              <w:rPr>
                <w:noProof/>
                <w:webHidden/>
              </w:rPr>
              <w:tab/>
            </w:r>
            <w:r w:rsidR="00021BE0">
              <w:rPr>
                <w:noProof/>
                <w:webHidden/>
              </w:rPr>
              <w:fldChar w:fldCharType="begin"/>
            </w:r>
            <w:r w:rsidR="00021BE0">
              <w:rPr>
                <w:noProof/>
                <w:webHidden/>
              </w:rPr>
              <w:instrText xml:space="preserve"> PAGEREF _Toc164695749 \h </w:instrText>
            </w:r>
            <w:r w:rsidR="00021BE0">
              <w:rPr>
                <w:noProof/>
                <w:webHidden/>
              </w:rPr>
            </w:r>
            <w:r w:rsidR="00021BE0">
              <w:rPr>
                <w:noProof/>
                <w:webHidden/>
              </w:rPr>
              <w:fldChar w:fldCharType="separate"/>
            </w:r>
            <w:r w:rsidR="00A95767">
              <w:rPr>
                <w:noProof/>
                <w:webHidden/>
              </w:rPr>
              <w:t>6</w:t>
            </w:r>
            <w:r w:rsidR="00021BE0">
              <w:rPr>
                <w:noProof/>
                <w:webHidden/>
              </w:rPr>
              <w:fldChar w:fldCharType="end"/>
            </w:r>
          </w:hyperlink>
        </w:p>
        <w:p w14:paraId="770C0DC6" w14:textId="39394ECF" w:rsidR="00021BE0" w:rsidRDefault="00C466D8">
          <w:pPr>
            <w:pStyle w:val="TOC3"/>
            <w:tabs>
              <w:tab w:val="left" w:pos="1320"/>
              <w:tab w:val="right" w:leader="dot" w:pos="9016"/>
            </w:tabs>
            <w:rPr>
              <w:rFonts w:eastAsiaTheme="minorEastAsia"/>
              <w:noProof/>
              <w:kern w:val="2"/>
              <w14:ligatures w14:val="standardContextual"/>
            </w:rPr>
          </w:pPr>
          <w:hyperlink w:anchor="_Toc164695750" w:history="1">
            <w:r w:rsidR="00021BE0" w:rsidRPr="00C03051">
              <w:rPr>
                <w:rStyle w:val="Hyperlink"/>
                <w:b/>
                <w:noProof/>
              </w:rPr>
              <w:t>3.3.4.</w:t>
            </w:r>
            <w:r w:rsidR="00021BE0">
              <w:rPr>
                <w:rFonts w:eastAsiaTheme="minorEastAsia"/>
                <w:noProof/>
                <w:kern w:val="2"/>
                <w14:ligatures w14:val="standardContextual"/>
              </w:rPr>
              <w:tab/>
            </w:r>
            <w:r w:rsidR="00021BE0" w:rsidRPr="00C03051">
              <w:rPr>
                <w:rStyle w:val="Hyperlink"/>
                <w:b/>
                <w:noProof/>
              </w:rPr>
              <w:t>Мерки за правоприлагане и санкции (член 6)</w:t>
            </w:r>
            <w:r w:rsidR="00021BE0">
              <w:rPr>
                <w:noProof/>
                <w:webHidden/>
              </w:rPr>
              <w:tab/>
            </w:r>
            <w:r w:rsidR="00021BE0">
              <w:rPr>
                <w:noProof/>
                <w:webHidden/>
              </w:rPr>
              <w:fldChar w:fldCharType="begin"/>
            </w:r>
            <w:r w:rsidR="00021BE0">
              <w:rPr>
                <w:noProof/>
                <w:webHidden/>
              </w:rPr>
              <w:instrText xml:space="preserve"> PAGEREF _Toc164695750 \h </w:instrText>
            </w:r>
            <w:r w:rsidR="00021BE0">
              <w:rPr>
                <w:noProof/>
                <w:webHidden/>
              </w:rPr>
            </w:r>
            <w:r w:rsidR="00021BE0">
              <w:rPr>
                <w:noProof/>
                <w:webHidden/>
              </w:rPr>
              <w:fldChar w:fldCharType="separate"/>
            </w:r>
            <w:r w:rsidR="00A95767">
              <w:rPr>
                <w:noProof/>
                <w:webHidden/>
              </w:rPr>
              <w:t>7</w:t>
            </w:r>
            <w:r w:rsidR="00021BE0">
              <w:rPr>
                <w:noProof/>
                <w:webHidden/>
              </w:rPr>
              <w:fldChar w:fldCharType="end"/>
            </w:r>
          </w:hyperlink>
        </w:p>
        <w:p w14:paraId="24796E0D" w14:textId="2D6CC147" w:rsidR="00021BE0" w:rsidRDefault="00C466D8">
          <w:pPr>
            <w:pStyle w:val="TOC3"/>
            <w:tabs>
              <w:tab w:val="left" w:pos="1320"/>
              <w:tab w:val="right" w:leader="dot" w:pos="9016"/>
            </w:tabs>
            <w:rPr>
              <w:rFonts w:eastAsiaTheme="minorEastAsia"/>
              <w:noProof/>
              <w:kern w:val="2"/>
              <w14:ligatures w14:val="standardContextual"/>
            </w:rPr>
          </w:pPr>
          <w:hyperlink w:anchor="_Toc164695751" w:history="1">
            <w:r w:rsidR="00021BE0" w:rsidRPr="00C03051">
              <w:rPr>
                <w:rStyle w:val="Hyperlink"/>
                <w:b/>
                <w:noProof/>
              </w:rPr>
              <w:t>3.3.5.</w:t>
            </w:r>
            <w:r w:rsidR="00021BE0">
              <w:rPr>
                <w:rFonts w:eastAsiaTheme="minorEastAsia"/>
                <w:noProof/>
                <w:kern w:val="2"/>
                <w14:ligatures w14:val="standardContextual"/>
              </w:rPr>
              <w:tab/>
            </w:r>
            <w:r w:rsidR="00021BE0" w:rsidRPr="00C03051">
              <w:rPr>
                <w:rStyle w:val="Hyperlink"/>
                <w:b/>
                <w:noProof/>
              </w:rPr>
              <w:t>Административно или съдебно правоприлагане и алтернативно разрешаване на спорове</w:t>
            </w:r>
            <w:r w:rsidR="00021BE0">
              <w:rPr>
                <w:noProof/>
                <w:webHidden/>
              </w:rPr>
              <w:tab/>
            </w:r>
            <w:r w:rsidR="00021BE0">
              <w:rPr>
                <w:noProof/>
                <w:webHidden/>
              </w:rPr>
              <w:fldChar w:fldCharType="begin"/>
            </w:r>
            <w:r w:rsidR="00021BE0">
              <w:rPr>
                <w:noProof/>
                <w:webHidden/>
              </w:rPr>
              <w:instrText xml:space="preserve"> PAGEREF _Toc164695751 \h </w:instrText>
            </w:r>
            <w:r w:rsidR="00021BE0">
              <w:rPr>
                <w:noProof/>
                <w:webHidden/>
              </w:rPr>
            </w:r>
            <w:r w:rsidR="00021BE0">
              <w:rPr>
                <w:noProof/>
                <w:webHidden/>
              </w:rPr>
              <w:fldChar w:fldCharType="separate"/>
            </w:r>
            <w:r w:rsidR="00A95767">
              <w:rPr>
                <w:noProof/>
                <w:webHidden/>
              </w:rPr>
              <w:t>7</w:t>
            </w:r>
            <w:r w:rsidR="00021BE0">
              <w:rPr>
                <w:noProof/>
                <w:webHidden/>
              </w:rPr>
              <w:fldChar w:fldCharType="end"/>
            </w:r>
          </w:hyperlink>
        </w:p>
        <w:p w14:paraId="617FABC8" w14:textId="0ED3ADD6" w:rsidR="00021BE0" w:rsidRDefault="00C466D8">
          <w:pPr>
            <w:pStyle w:val="TOC3"/>
            <w:tabs>
              <w:tab w:val="left" w:pos="1320"/>
              <w:tab w:val="right" w:leader="dot" w:pos="9016"/>
            </w:tabs>
            <w:rPr>
              <w:rFonts w:eastAsiaTheme="minorEastAsia"/>
              <w:noProof/>
              <w:kern w:val="2"/>
              <w14:ligatures w14:val="standardContextual"/>
            </w:rPr>
          </w:pPr>
          <w:hyperlink w:anchor="_Toc164695752" w:history="1">
            <w:r w:rsidR="00021BE0" w:rsidRPr="00C03051">
              <w:rPr>
                <w:rStyle w:val="Hyperlink"/>
                <w:b/>
                <w:noProof/>
              </w:rPr>
              <w:t>3.3.6.</w:t>
            </w:r>
            <w:r w:rsidR="00021BE0">
              <w:rPr>
                <w:rFonts w:eastAsiaTheme="minorEastAsia"/>
                <w:noProof/>
                <w:kern w:val="2"/>
                <w14:ligatures w14:val="standardContextual"/>
              </w:rPr>
              <w:tab/>
            </w:r>
            <w:r w:rsidR="00021BE0" w:rsidRPr="00C03051">
              <w:rPr>
                <w:rStyle w:val="Hyperlink"/>
                <w:b/>
                <w:noProof/>
              </w:rPr>
              <w:t>Сътрудничество между компетентните органи (член 8)</w:t>
            </w:r>
            <w:r w:rsidR="00021BE0">
              <w:rPr>
                <w:noProof/>
                <w:webHidden/>
              </w:rPr>
              <w:tab/>
            </w:r>
            <w:r w:rsidR="00021BE0">
              <w:rPr>
                <w:noProof/>
                <w:webHidden/>
              </w:rPr>
              <w:fldChar w:fldCharType="begin"/>
            </w:r>
            <w:r w:rsidR="00021BE0">
              <w:rPr>
                <w:noProof/>
                <w:webHidden/>
              </w:rPr>
              <w:instrText xml:space="preserve"> PAGEREF _Toc164695752 \h </w:instrText>
            </w:r>
            <w:r w:rsidR="00021BE0">
              <w:rPr>
                <w:noProof/>
                <w:webHidden/>
              </w:rPr>
            </w:r>
            <w:r w:rsidR="00021BE0">
              <w:rPr>
                <w:noProof/>
                <w:webHidden/>
              </w:rPr>
              <w:fldChar w:fldCharType="separate"/>
            </w:r>
            <w:r w:rsidR="00A95767">
              <w:rPr>
                <w:noProof/>
                <w:webHidden/>
              </w:rPr>
              <w:t>7</w:t>
            </w:r>
            <w:r w:rsidR="00021BE0">
              <w:rPr>
                <w:noProof/>
                <w:webHidden/>
              </w:rPr>
              <w:fldChar w:fldCharType="end"/>
            </w:r>
          </w:hyperlink>
        </w:p>
        <w:p w14:paraId="79EE074C" w14:textId="16D49526" w:rsidR="00021BE0" w:rsidRDefault="00C466D8">
          <w:pPr>
            <w:pStyle w:val="TOC3"/>
            <w:tabs>
              <w:tab w:val="left" w:pos="1320"/>
              <w:tab w:val="right" w:leader="dot" w:pos="9016"/>
            </w:tabs>
            <w:rPr>
              <w:rFonts w:eastAsiaTheme="minorEastAsia"/>
              <w:noProof/>
              <w:kern w:val="2"/>
              <w14:ligatures w14:val="standardContextual"/>
            </w:rPr>
          </w:pPr>
          <w:hyperlink w:anchor="_Toc164695753" w:history="1">
            <w:r w:rsidR="00021BE0" w:rsidRPr="00C03051">
              <w:rPr>
                <w:rStyle w:val="Hyperlink"/>
                <w:b/>
                <w:noProof/>
              </w:rPr>
              <w:t>3.3.7.</w:t>
            </w:r>
            <w:r w:rsidR="00021BE0">
              <w:rPr>
                <w:rFonts w:eastAsiaTheme="minorEastAsia"/>
                <w:noProof/>
                <w:kern w:val="2"/>
                <w14:ligatures w14:val="standardContextual"/>
              </w:rPr>
              <w:tab/>
            </w:r>
            <w:r w:rsidR="00021BE0" w:rsidRPr="00C03051">
              <w:rPr>
                <w:rStyle w:val="Hyperlink"/>
                <w:b/>
                <w:noProof/>
              </w:rPr>
              <w:t>Публикуване на годишните доклад за дейностите на правоприлагащите органи (член 10)</w:t>
            </w:r>
            <w:r w:rsidR="00021BE0">
              <w:rPr>
                <w:noProof/>
                <w:webHidden/>
              </w:rPr>
              <w:tab/>
            </w:r>
            <w:r w:rsidR="00774BB8">
              <w:rPr>
                <w:noProof/>
                <w:webHidden/>
              </w:rPr>
              <w:tab/>
            </w:r>
            <w:r w:rsidR="00021BE0">
              <w:rPr>
                <w:noProof/>
                <w:webHidden/>
              </w:rPr>
              <w:fldChar w:fldCharType="begin"/>
            </w:r>
            <w:r w:rsidR="00021BE0">
              <w:rPr>
                <w:noProof/>
                <w:webHidden/>
              </w:rPr>
              <w:instrText xml:space="preserve"> PAGEREF _Toc164695753 \h </w:instrText>
            </w:r>
            <w:r w:rsidR="00021BE0">
              <w:rPr>
                <w:noProof/>
                <w:webHidden/>
              </w:rPr>
            </w:r>
            <w:r w:rsidR="00021BE0">
              <w:rPr>
                <w:noProof/>
                <w:webHidden/>
              </w:rPr>
              <w:fldChar w:fldCharType="separate"/>
            </w:r>
            <w:r w:rsidR="00A95767">
              <w:rPr>
                <w:noProof/>
                <w:webHidden/>
              </w:rPr>
              <w:t>8</w:t>
            </w:r>
            <w:r w:rsidR="00021BE0">
              <w:rPr>
                <w:noProof/>
                <w:webHidden/>
              </w:rPr>
              <w:fldChar w:fldCharType="end"/>
            </w:r>
          </w:hyperlink>
        </w:p>
        <w:p w14:paraId="3B9AE12D" w14:textId="3A25C7E0" w:rsidR="00021BE0" w:rsidRDefault="00C466D8">
          <w:pPr>
            <w:pStyle w:val="TOC2"/>
            <w:rPr>
              <w:rFonts w:eastAsiaTheme="minorEastAsia"/>
              <w:noProof/>
              <w:kern w:val="2"/>
              <w14:ligatures w14:val="standardContextual"/>
            </w:rPr>
          </w:pPr>
          <w:hyperlink w:anchor="_Toc164695754" w:history="1">
            <w:r w:rsidR="00021BE0" w:rsidRPr="00C03051">
              <w:rPr>
                <w:rStyle w:val="Hyperlink"/>
                <w:noProof/>
              </w:rPr>
              <w:t>3.4.</w:t>
            </w:r>
            <w:r w:rsidR="00021BE0">
              <w:rPr>
                <w:rFonts w:eastAsiaTheme="minorEastAsia"/>
                <w:noProof/>
                <w:kern w:val="2"/>
                <w14:ligatures w14:val="standardContextual"/>
              </w:rPr>
              <w:tab/>
            </w:r>
            <w:r w:rsidR="00021BE0" w:rsidRPr="00C03051">
              <w:rPr>
                <w:rStyle w:val="Hyperlink"/>
                <w:noProof/>
              </w:rPr>
              <w:t>По-строги национални правила (член 9)</w:t>
            </w:r>
            <w:r w:rsidR="00021BE0">
              <w:rPr>
                <w:noProof/>
                <w:webHidden/>
              </w:rPr>
              <w:tab/>
            </w:r>
            <w:r w:rsidR="00021BE0">
              <w:rPr>
                <w:noProof/>
                <w:webHidden/>
              </w:rPr>
              <w:fldChar w:fldCharType="begin"/>
            </w:r>
            <w:r w:rsidR="00021BE0">
              <w:rPr>
                <w:noProof/>
                <w:webHidden/>
              </w:rPr>
              <w:instrText xml:space="preserve"> PAGEREF _Toc164695754 \h </w:instrText>
            </w:r>
            <w:r w:rsidR="00021BE0">
              <w:rPr>
                <w:noProof/>
                <w:webHidden/>
              </w:rPr>
            </w:r>
            <w:r w:rsidR="00021BE0">
              <w:rPr>
                <w:noProof/>
                <w:webHidden/>
              </w:rPr>
              <w:fldChar w:fldCharType="separate"/>
            </w:r>
            <w:r w:rsidR="00A95767">
              <w:rPr>
                <w:noProof/>
                <w:webHidden/>
              </w:rPr>
              <w:t>9</w:t>
            </w:r>
            <w:r w:rsidR="00021BE0">
              <w:rPr>
                <w:noProof/>
                <w:webHidden/>
              </w:rPr>
              <w:fldChar w:fldCharType="end"/>
            </w:r>
          </w:hyperlink>
        </w:p>
        <w:p w14:paraId="3FBD4AD9" w14:textId="28454439" w:rsidR="00021BE0" w:rsidRDefault="00C466D8">
          <w:pPr>
            <w:pStyle w:val="TOC2"/>
            <w:rPr>
              <w:rFonts w:eastAsiaTheme="minorEastAsia"/>
              <w:noProof/>
              <w:kern w:val="2"/>
              <w14:ligatures w14:val="standardContextual"/>
            </w:rPr>
          </w:pPr>
          <w:hyperlink w:anchor="_Toc164695755" w:history="1">
            <w:r w:rsidR="00021BE0" w:rsidRPr="00C03051">
              <w:rPr>
                <w:rStyle w:val="Hyperlink"/>
                <w:noProof/>
              </w:rPr>
              <w:t>3.5.</w:t>
            </w:r>
            <w:r w:rsidR="00021BE0">
              <w:rPr>
                <w:rFonts w:eastAsiaTheme="minorEastAsia"/>
                <w:noProof/>
                <w:kern w:val="2"/>
                <w14:ligatures w14:val="standardContextual"/>
              </w:rPr>
              <w:tab/>
            </w:r>
            <w:r w:rsidR="00021BE0" w:rsidRPr="00C03051">
              <w:rPr>
                <w:rStyle w:val="Hyperlink"/>
                <w:noProof/>
              </w:rPr>
              <w:t>Фокус върху правоприлагането в трансграничен контекст</w:t>
            </w:r>
            <w:r w:rsidR="00021BE0">
              <w:rPr>
                <w:noProof/>
                <w:webHidden/>
              </w:rPr>
              <w:tab/>
            </w:r>
            <w:r w:rsidR="00021BE0">
              <w:rPr>
                <w:noProof/>
                <w:webHidden/>
              </w:rPr>
              <w:fldChar w:fldCharType="begin"/>
            </w:r>
            <w:r w:rsidR="00021BE0">
              <w:rPr>
                <w:noProof/>
                <w:webHidden/>
              </w:rPr>
              <w:instrText xml:space="preserve"> PAGEREF _Toc164695755 \h </w:instrText>
            </w:r>
            <w:r w:rsidR="00021BE0">
              <w:rPr>
                <w:noProof/>
                <w:webHidden/>
              </w:rPr>
            </w:r>
            <w:r w:rsidR="00021BE0">
              <w:rPr>
                <w:noProof/>
                <w:webHidden/>
              </w:rPr>
              <w:fldChar w:fldCharType="separate"/>
            </w:r>
            <w:r w:rsidR="00A95767">
              <w:rPr>
                <w:noProof/>
                <w:webHidden/>
              </w:rPr>
              <w:t>9</w:t>
            </w:r>
            <w:r w:rsidR="00021BE0">
              <w:rPr>
                <w:noProof/>
                <w:webHidden/>
              </w:rPr>
              <w:fldChar w:fldCharType="end"/>
            </w:r>
          </w:hyperlink>
        </w:p>
        <w:p w14:paraId="5BED35F4" w14:textId="62940909" w:rsidR="00021BE0" w:rsidRDefault="00C466D8">
          <w:pPr>
            <w:pStyle w:val="TOC1"/>
            <w:tabs>
              <w:tab w:val="left" w:pos="880"/>
            </w:tabs>
            <w:rPr>
              <w:rFonts w:eastAsiaTheme="minorEastAsia"/>
              <w:noProof/>
              <w:kern w:val="2"/>
              <w14:ligatures w14:val="standardContextual"/>
            </w:rPr>
          </w:pPr>
          <w:hyperlink w:anchor="_Toc164695756" w:history="1">
            <w:r w:rsidR="00021BE0" w:rsidRPr="00C03051">
              <w:rPr>
                <w:rStyle w:val="Hyperlink"/>
                <w:noProof/>
              </w:rPr>
              <w:t>4.</w:t>
            </w:r>
            <w:r w:rsidR="00021BE0">
              <w:rPr>
                <w:rFonts w:eastAsiaTheme="minorEastAsia"/>
                <w:noProof/>
                <w:kern w:val="2"/>
                <w14:ligatures w14:val="standardContextual"/>
              </w:rPr>
              <w:tab/>
            </w:r>
            <w:r w:rsidR="00021BE0" w:rsidRPr="00C03051">
              <w:rPr>
                <w:rStyle w:val="Hyperlink"/>
                <w:noProof/>
              </w:rPr>
              <w:t>Оценка на директивата (член 12)</w:t>
            </w:r>
            <w:r w:rsidR="00021BE0">
              <w:rPr>
                <w:noProof/>
                <w:webHidden/>
              </w:rPr>
              <w:tab/>
            </w:r>
            <w:r w:rsidR="00021BE0">
              <w:rPr>
                <w:noProof/>
                <w:webHidden/>
              </w:rPr>
              <w:fldChar w:fldCharType="begin"/>
            </w:r>
            <w:r w:rsidR="00021BE0">
              <w:rPr>
                <w:noProof/>
                <w:webHidden/>
              </w:rPr>
              <w:instrText xml:space="preserve"> PAGEREF _Toc164695756 \h </w:instrText>
            </w:r>
            <w:r w:rsidR="00021BE0">
              <w:rPr>
                <w:noProof/>
                <w:webHidden/>
              </w:rPr>
            </w:r>
            <w:r w:rsidR="00021BE0">
              <w:rPr>
                <w:noProof/>
                <w:webHidden/>
              </w:rPr>
              <w:fldChar w:fldCharType="separate"/>
            </w:r>
            <w:r w:rsidR="00A95767">
              <w:rPr>
                <w:noProof/>
                <w:webHidden/>
              </w:rPr>
              <w:t>10</w:t>
            </w:r>
            <w:r w:rsidR="00021BE0">
              <w:rPr>
                <w:noProof/>
                <w:webHidden/>
              </w:rPr>
              <w:fldChar w:fldCharType="end"/>
            </w:r>
          </w:hyperlink>
        </w:p>
        <w:p w14:paraId="363BCAA7" w14:textId="51E6B847" w:rsidR="00021BE0" w:rsidRDefault="00C466D8">
          <w:pPr>
            <w:pStyle w:val="TOC1"/>
            <w:tabs>
              <w:tab w:val="left" w:pos="880"/>
            </w:tabs>
            <w:rPr>
              <w:rFonts w:eastAsiaTheme="minorEastAsia"/>
              <w:noProof/>
              <w:kern w:val="2"/>
              <w14:ligatures w14:val="standardContextual"/>
            </w:rPr>
          </w:pPr>
          <w:hyperlink w:anchor="_Toc164695757" w:history="1">
            <w:r w:rsidR="00021BE0" w:rsidRPr="00C03051">
              <w:rPr>
                <w:rStyle w:val="Hyperlink"/>
                <w:noProof/>
              </w:rPr>
              <w:t>5.</w:t>
            </w:r>
            <w:r w:rsidR="00021BE0">
              <w:rPr>
                <w:rFonts w:eastAsiaTheme="minorEastAsia"/>
                <w:noProof/>
                <w:kern w:val="2"/>
                <w14:ligatures w14:val="standardContextual"/>
              </w:rPr>
              <w:tab/>
            </w:r>
            <w:r w:rsidR="00021BE0" w:rsidRPr="00C03051">
              <w:rPr>
                <w:rStyle w:val="Hyperlink"/>
                <w:noProof/>
              </w:rPr>
              <w:t>Заключения</w:t>
            </w:r>
            <w:r w:rsidR="00021BE0">
              <w:rPr>
                <w:noProof/>
                <w:webHidden/>
              </w:rPr>
              <w:tab/>
            </w:r>
            <w:r w:rsidR="00021BE0">
              <w:rPr>
                <w:noProof/>
                <w:webHidden/>
              </w:rPr>
              <w:fldChar w:fldCharType="begin"/>
            </w:r>
            <w:r w:rsidR="00021BE0">
              <w:rPr>
                <w:noProof/>
                <w:webHidden/>
              </w:rPr>
              <w:instrText xml:space="preserve"> PAGEREF _Toc164695757 \h </w:instrText>
            </w:r>
            <w:r w:rsidR="00021BE0">
              <w:rPr>
                <w:noProof/>
                <w:webHidden/>
              </w:rPr>
            </w:r>
            <w:r w:rsidR="00021BE0">
              <w:rPr>
                <w:noProof/>
                <w:webHidden/>
              </w:rPr>
              <w:fldChar w:fldCharType="separate"/>
            </w:r>
            <w:r w:rsidR="00A95767">
              <w:rPr>
                <w:noProof/>
                <w:webHidden/>
              </w:rPr>
              <w:t>11</w:t>
            </w:r>
            <w:r w:rsidR="00021BE0">
              <w:rPr>
                <w:noProof/>
                <w:webHidden/>
              </w:rPr>
              <w:fldChar w:fldCharType="end"/>
            </w:r>
          </w:hyperlink>
        </w:p>
        <w:p w14:paraId="6FDC142D" w14:textId="2EDA298F" w:rsidR="00EA6712" w:rsidRDefault="00EA6712" w:rsidP="00EA6712">
          <w:pPr>
            <w:rPr>
              <w:noProof/>
            </w:rPr>
          </w:pPr>
          <w:r w:rsidRPr="00F108D9">
            <w:rPr>
              <w:b/>
              <w:noProof/>
              <w:highlight w:val="yellow"/>
            </w:rPr>
            <w:fldChar w:fldCharType="end"/>
          </w:r>
        </w:p>
      </w:sdtContent>
    </w:sdt>
    <w:p w14:paraId="68FF070B" w14:textId="77777777" w:rsidR="00EA6712" w:rsidRDefault="00EA6712" w:rsidP="00EA6712">
      <w:pPr>
        <w:rPr>
          <w:b/>
          <w:noProof/>
          <w:color w:val="444345"/>
          <w:szCs w:val="24"/>
        </w:rPr>
      </w:pPr>
      <w:r>
        <w:rPr>
          <w:noProof/>
        </w:rPr>
        <w:br w:type="page"/>
      </w:r>
    </w:p>
    <w:p w14:paraId="0619B19B" w14:textId="77777777" w:rsidR="00EA6712" w:rsidRDefault="00EA6712" w:rsidP="00EA6712">
      <w:pPr>
        <w:rPr>
          <w:rFonts w:ascii="Times New Roman" w:eastAsia="Times New Roman" w:hAnsi="Times New Roman" w:cs="Times New Roman"/>
          <w:b/>
          <w:bCs/>
          <w:smallCaps/>
          <w:noProof/>
          <w:sz w:val="24"/>
          <w:szCs w:val="28"/>
        </w:rPr>
      </w:pPr>
      <w:bookmarkStart w:id="4" w:name="_Toc78461423"/>
    </w:p>
    <w:p w14:paraId="22BF3158" w14:textId="77777777" w:rsidR="00EA6712" w:rsidRDefault="00EA6712" w:rsidP="00EA6712">
      <w:pPr>
        <w:pStyle w:val="Heading1"/>
        <w:spacing w:before="0" w:after="240"/>
        <w:ind w:left="0" w:firstLine="0"/>
        <w:rPr>
          <w:noProof/>
        </w:rPr>
      </w:pPr>
      <w:bookmarkStart w:id="5" w:name="_Toc164695738"/>
      <w:r>
        <w:rPr>
          <w:noProof/>
        </w:rPr>
        <w:t>Въведение</w:t>
      </w:r>
      <w:bookmarkEnd w:id="4"/>
      <w:bookmarkEnd w:id="5"/>
    </w:p>
    <w:p w14:paraId="1BD4D2FD" w14:textId="77777777" w:rsidR="00EA6712" w:rsidRPr="00F34DFA" w:rsidRDefault="00EA6712" w:rsidP="00EA6712">
      <w:pPr>
        <w:pStyle w:val="Heading2"/>
        <w:spacing w:before="0" w:after="240"/>
        <w:ind w:left="0" w:firstLine="0"/>
        <w:rPr>
          <w:noProof/>
        </w:rPr>
      </w:pPr>
      <w:bookmarkStart w:id="6" w:name="_Toc160695383"/>
      <w:bookmarkStart w:id="7" w:name="_Toc164695739"/>
      <w:bookmarkStart w:id="8" w:name="_Toc78461424"/>
      <w:bookmarkEnd w:id="6"/>
      <w:r>
        <w:rPr>
          <w:noProof/>
        </w:rPr>
        <w:t>Контекст</w:t>
      </w:r>
      <w:bookmarkEnd w:id="7"/>
      <w:r>
        <w:rPr>
          <w:noProof/>
        </w:rPr>
        <w:t xml:space="preserve"> </w:t>
      </w:r>
      <w:bookmarkEnd w:id="8"/>
    </w:p>
    <w:p w14:paraId="4EAEFB77" w14:textId="08987F97" w:rsidR="00EA6712" w:rsidRPr="00E3367E" w:rsidRDefault="00EA6712" w:rsidP="00EA6712">
      <w:pPr>
        <w:pStyle w:val="Text1"/>
        <w:spacing w:before="0" w:after="240"/>
        <w:ind w:left="0"/>
        <w:rPr>
          <w:noProof/>
        </w:rPr>
      </w:pPr>
      <w:r>
        <w:rPr>
          <w:noProof/>
        </w:rPr>
        <w:t>На 17 април 2019 г. Европейският парламент и Съветът приеха Директива (ЕС) 2019/633 относно нелоялните търговски практики в отношенията между стопанските субекти във веригата за доставки на селскостопански и хранителни продукти („директивата“)</w:t>
      </w:r>
      <w:r w:rsidR="00A76883">
        <w:rPr>
          <w:rStyle w:val="FootnoteReference"/>
          <w:noProof/>
          <w:lang w:val="en-US"/>
        </w:rPr>
        <w:footnoteReference w:id="2"/>
      </w:r>
      <w:r>
        <w:rPr>
          <w:noProof/>
        </w:rPr>
        <w:t xml:space="preserve">. </w:t>
      </w:r>
    </w:p>
    <w:p w14:paraId="519E7398" w14:textId="5291244B" w:rsidR="00F51FC4" w:rsidRDefault="00EA6712" w:rsidP="00EA6712">
      <w:pPr>
        <w:pStyle w:val="Text1"/>
        <w:spacing w:before="0" w:after="240"/>
        <w:ind w:left="0"/>
        <w:rPr>
          <w:noProof/>
        </w:rPr>
      </w:pPr>
      <w:r>
        <w:rPr>
          <w:noProof/>
        </w:rPr>
        <w:t xml:space="preserve">Директивата е задължителна за всички 27 държави членки („ДЧ“). В нея се предвижда минимално равнище на хармонизация посредством определянето на списък на забранени нелоялни търговски практики („НТП“) в отношенията между купувачите и доставчиците във веригата за доставки на селскостопански и хранителни продукти. В нея също така се определят минимални правила за прилагането на тези забрани и за сътрудничеството между правоприлагащите органи. ДЧ могат да приемат или запазят национални правила, които обхващат и други НТП, освен посочените в директивата, при условие че те са съвместими с правилата за функционирането на вътрешния пазар.      </w:t>
      </w:r>
    </w:p>
    <w:p w14:paraId="29F1EFFB" w14:textId="1DDA9460" w:rsidR="00EA6712" w:rsidRPr="00E3367E" w:rsidRDefault="00F51FC4" w:rsidP="00EA6712">
      <w:pPr>
        <w:pStyle w:val="Text1"/>
        <w:spacing w:before="0" w:after="240"/>
        <w:ind w:left="0"/>
        <w:rPr>
          <w:noProof/>
        </w:rPr>
      </w:pPr>
      <w:r>
        <w:rPr>
          <w:noProof/>
        </w:rPr>
        <w:t>Комисията признава приноса на Директивата за НТП като ключов политически инструмент за укрепване на позицията на първичните производители във веригата за доставки на храни. Настоящият доклад е една от незабавните мерки, изброени в документа за обсъждане, адресиран до съзаконодателя на 15 март 2024 г.</w:t>
      </w:r>
      <w:r w:rsidR="00AB553B">
        <w:rPr>
          <w:rStyle w:val="FootnoteReference"/>
          <w:noProof/>
        </w:rPr>
        <w:footnoteReference w:id="3"/>
      </w:r>
      <w:r>
        <w:rPr>
          <w:noProof/>
        </w:rPr>
        <w:t>, който има за цел да отговори на настоящите предизвикателства в селскостопанския сектор и на опасенията, изразени от земеделските стопани. В средносрочен и дългосрочен план Комисията предлага и други мерки, формиращи пакет, включително стартирането на обсерватория за разходите, маржовете и търговските практики във веригата за доставки на селскостопански и хранителни продукти с цел повишаване на прозрачността, целенасочени изменения на Регламента за общата организация на селскостопанските пазари</w:t>
      </w:r>
      <w:r w:rsidR="007A0045">
        <w:rPr>
          <w:rStyle w:val="FootnoteReference"/>
          <w:noProof/>
        </w:rPr>
        <w:footnoteReference w:id="4"/>
      </w:r>
      <w:r>
        <w:rPr>
          <w:noProof/>
        </w:rPr>
        <w:t xml:space="preserve"> („ООСП“), нови правила за правоприлагане по отношение на НТП в трансграничен контекст и оценка на директивата до 2025 г. </w:t>
      </w:r>
    </w:p>
    <w:p w14:paraId="41902B4D" w14:textId="55DB6527" w:rsidR="00EA6712" w:rsidRPr="00EA27D9" w:rsidRDefault="00EA6712" w:rsidP="00EA27D9">
      <w:pPr>
        <w:pStyle w:val="Heading2"/>
        <w:spacing w:before="0" w:after="240"/>
        <w:ind w:left="0" w:firstLine="0"/>
        <w:rPr>
          <w:noProof/>
        </w:rPr>
      </w:pPr>
      <w:bookmarkStart w:id="9" w:name="_Toc78461425"/>
      <w:bookmarkStart w:id="10" w:name="_Toc164695740"/>
      <w:r>
        <w:rPr>
          <w:noProof/>
        </w:rPr>
        <w:t>Цел и обхват на настоящия доклад</w:t>
      </w:r>
      <w:bookmarkEnd w:id="9"/>
      <w:bookmarkEnd w:id="10"/>
    </w:p>
    <w:p w14:paraId="52DA0EE0" w14:textId="657AF938" w:rsidR="00EA6712" w:rsidRDefault="00EA6712" w:rsidP="00EA6712">
      <w:pPr>
        <w:pStyle w:val="Text1"/>
        <w:spacing w:before="0" w:after="240"/>
        <w:ind w:left="0"/>
        <w:rPr>
          <w:noProof/>
        </w:rPr>
      </w:pPr>
      <w:r>
        <w:rPr>
          <w:noProof/>
        </w:rPr>
        <w:t>На 27 октомври 2021 г. Комисията представи доклад за състоянието на транспонирането и прилагането на директивата съгласно член 12 от нея, който обхваща 15-те ДЧ, които са уведомили за пълно транспониране до 31 юли 2021 г., както и FR, която е уведомила за частично транспониране</w:t>
      </w:r>
      <w:r w:rsidR="00E043A0">
        <w:rPr>
          <w:rStyle w:val="FootnoteReference"/>
          <w:noProof/>
        </w:rPr>
        <w:footnoteReference w:id="5"/>
      </w:r>
      <w:r>
        <w:rPr>
          <w:noProof/>
        </w:rPr>
        <w:t xml:space="preserve">. </w:t>
      </w:r>
    </w:p>
    <w:p w14:paraId="1279826A" w14:textId="23E534DA" w:rsidR="00EA6712" w:rsidRPr="003E394E" w:rsidRDefault="00EA6712" w:rsidP="00EA6712">
      <w:pPr>
        <w:pStyle w:val="Text1"/>
        <w:spacing w:before="0" w:after="240"/>
        <w:ind w:left="0"/>
        <w:rPr>
          <w:noProof/>
        </w:rPr>
      </w:pPr>
      <w:r>
        <w:rPr>
          <w:noProof/>
        </w:rPr>
        <w:t>Настоящият доклад включва информация за състоянието на прилагането във всички 27 ДЧ и в него се прави общ преглед на избраните от ДЧ решения при транспонирането. Той се отнася изключително до разпоредби, които се съдържат в националното законодателство и чрез които се транспонира Директивата за НТП.</w:t>
      </w:r>
    </w:p>
    <w:p w14:paraId="5A8CEA95" w14:textId="16913DBC" w:rsidR="00EA6712" w:rsidRPr="003E394E" w:rsidRDefault="00EA6712" w:rsidP="00EA6712">
      <w:pPr>
        <w:pStyle w:val="Text1"/>
        <w:spacing w:before="0" w:after="240"/>
        <w:ind w:left="0"/>
        <w:rPr>
          <w:noProof/>
        </w:rPr>
      </w:pPr>
      <w:r>
        <w:rPr>
          <w:noProof/>
        </w:rPr>
        <w:t>Като се има предвид, че проверката за съответствие — която представлява оценка на съвместимостта на националните мерки за транспониране с разпоредбите на директивата</w:t>
      </w:r>
      <w:r w:rsidR="009A1C85" w:rsidRPr="003E394E">
        <w:rPr>
          <w:rStyle w:val="FootnoteReference"/>
          <w:noProof/>
        </w:rPr>
        <w:footnoteReference w:id="6"/>
      </w:r>
      <w:r>
        <w:rPr>
          <w:noProof/>
        </w:rPr>
        <w:t xml:space="preserve"> — все още продължава, с настоящия доклад не се предоставя окончателна оценка на мерките за транспониране. Освен това съвсем наскоро бяха направени изменения в националното законодателство на няколко държави, така че настоящият доклад обхваща измененията в законодателството за транспониране, за които е направено официално уведомление до 1 март 2024 г.</w:t>
      </w:r>
    </w:p>
    <w:p w14:paraId="6B103A4E" w14:textId="62A73349" w:rsidR="00EA6712" w:rsidRDefault="00EA6712" w:rsidP="00EA6712">
      <w:pPr>
        <w:pStyle w:val="Text1"/>
        <w:spacing w:before="0" w:after="240"/>
        <w:ind w:left="0"/>
        <w:rPr>
          <w:noProof/>
        </w:rPr>
      </w:pPr>
      <w:r>
        <w:rPr>
          <w:noProof/>
        </w:rPr>
        <w:t>Също така следва да се отбележи, че в рамките на проверката за съответствие Комисията не оценява националните разпоредби, с които се запазват или въвеждат по-строги правила от тези, установени в Директивата за НТП. Тези разпоредби може да бъдат предмет на искане за предоставяне на сведения или допълнително проучване.</w:t>
      </w:r>
    </w:p>
    <w:p w14:paraId="6899BCEB" w14:textId="2B77D1CB" w:rsidR="00EA6712" w:rsidRPr="001E552B" w:rsidRDefault="00EA6712" w:rsidP="00EA6712">
      <w:pPr>
        <w:pStyle w:val="Text1"/>
        <w:ind w:left="0"/>
        <w:rPr>
          <w:noProof/>
        </w:rPr>
      </w:pPr>
      <w:r>
        <w:rPr>
          <w:noProof/>
        </w:rPr>
        <w:t>Настоящият доклад е придружен от работен документ на службите на Комисията („SWD“), в който се предоставя допълнителна информация, по-специално относно избраните от ДЧ решения при транспонирането.</w:t>
      </w:r>
    </w:p>
    <w:p w14:paraId="6CF16380" w14:textId="77777777" w:rsidR="00EA6712" w:rsidRPr="00E3367E" w:rsidRDefault="00EA6712" w:rsidP="0044053C">
      <w:pPr>
        <w:pStyle w:val="Heading1"/>
        <w:spacing w:before="240" w:after="240"/>
        <w:ind w:left="0" w:firstLine="0"/>
        <w:rPr>
          <w:noProof/>
        </w:rPr>
      </w:pPr>
      <w:bookmarkStart w:id="11" w:name="_Toc379988874"/>
      <w:bookmarkStart w:id="12" w:name="_Toc78461427"/>
      <w:bookmarkStart w:id="13" w:name="_Toc164695741"/>
      <w:r>
        <w:rPr>
          <w:noProof/>
        </w:rPr>
        <w:t>Общ преглед</w:t>
      </w:r>
      <w:bookmarkEnd w:id="11"/>
      <w:bookmarkEnd w:id="12"/>
      <w:r>
        <w:rPr>
          <w:noProof/>
        </w:rPr>
        <w:t xml:space="preserve"> на транспонирането</w:t>
      </w:r>
      <w:bookmarkEnd w:id="13"/>
    </w:p>
    <w:p w14:paraId="0383276E" w14:textId="77777777" w:rsidR="00EA6712" w:rsidRDefault="00EA6712" w:rsidP="00EA6712">
      <w:pPr>
        <w:pStyle w:val="Text1"/>
        <w:spacing w:before="0" w:after="240"/>
        <w:ind w:left="0"/>
        <w:rPr>
          <w:noProof/>
        </w:rPr>
      </w:pPr>
      <w:r>
        <w:rPr>
          <w:noProof/>
        </w:rPr>
        <w:t>Съгласно член 13 от директивата ДЧ трябваше да я транспонират в националното си законодателство до 1 май 2021 г. До декември 2022 г. всички ДЧ са уведомили Комисията за пълно транспониране</w:t>
      </w:r>
      <w:r>
        <w:rPr>
          <w:rStyle w:val="FootnoteReference"/>
          <w:noProof/>
        </w:rPr>
        <w:footnoteReference w:id="7"/>
      </w:r>
      <w:r>
        <w:rPr>
          <w:noProof/>
        </w:rPr>
        <w:t xml:space="preserve">. </w:t>
      </w:r>
    </w:p>
    <w:p w14:paraId="598C593D" w14:textId="77777777" w:rsidR="00EA6712" w:rsidRPr="003836AF" w:rsidRDefault="00EA6712" w:rsidP="00EA6712">
      <w:pPr>
        <w:pStyle w:val="Heading1"/>
        <w:spacing w:before="0" w:after="240"/>
        <w:ind w:left="0" w:firstLine="0"/>
        <w:rPr>
          <w:noProof/>
        </w:rPr>
      </w:pPr>
      <w:bookmarkStart w:id="14" w:name="_Toc160695387"/>
      <w:bookmarkStart w:id="15" w:name="_Toc78452816"/>
      <w:bookmarkStart w:id="16" w:name="_Toc78461428"/>
      <w:bookmarkStart w:id="17" w:name="_Toc164695742"/>
      <w:bookmarkEnd w:id="14"/>
      <w:bookmarkEnd w:id="15"/>
      <w:r>
        <w:rPr>
          <w:noProof/>
        </w:rPr>
        <w:t>Специфични въпроси при анализа</w:t>
      </w:r>
      <w:bookmarkStart w:id="18" w:name="_Toc379988879"/>
      <w:bookmarkEnd w:id="16"/>
      <w:bookmarkEnd w:id="17"/>
    </w:p>
    <w:p w14:paraId="78484E6D" w14:textId="77777777" w:rsidR="00EA6712" w:rsidRPr="003836AF" w:rsidRDefault="00EA6712" w:rsidP="00EA6712">
      <w:pPr>
        <w:pStyle w:val="Heading2"/>
        <w:spacing w:before="0" w:after="240"/>
        <w:ind w:left="0" w:firstLine="0"/>
        <w:rPr>
          <w:noProof/>
        </w:rPr>
      </w:pPr>
      <w:bookmarkStart w:id="19" w:name="_Toc78461429"/>
      <w:bookmarkStart w:id="20" w:name="_Toc164695743"/>
      <w:r>
        <w:rPr>
          <w:noProof/>
        </w:rPr>
        <w:t xml:space="preserve">Приложно поле и </w:t>
      </w:r>
      <w:bookmarkEnd w:id="18"/>
      <w:bookmarkEnd w:id="19"/>
      <w:r>
        <w:rPr>
          <w:noProof/>
        </w:rPr>
        <w:t>размер на предприятието (член 1)</w:t>
      </w:r>
      <w:bookmarkEnd w:id="20"/>
    </w:p>
    <w:p w14:paraId="694DB870" w14:textId="39B7CB16" w:rsidR="00333160" w:rsidRPr="003836AF" w:rsidRDefault="00EA6712" w:rsidP="00333160">
      <w:pPr>
        <w:pStyle w:val="Text1"/>
        <w:spacing w:before="0" w:after="240"/>
        <w:ind w:left="0"/>
        <w:rPr>
          <w:noProof/>
        </w:rPr>
      </w:pPr>
      <w:r>
        <w:rPr>
          <w:noProof/>
        </w:rPr>
        <w:t>Шест ДЧ са избрали прилагане на мерките за транспониране независимо от размера на стопанската дейност</w:t>
      </w:r>
      <w:r w:rsidRPr="000130AB">
        <w:rPr>
          <w:rStyle w:val="FootnoteReference"/>
          <w:noProof/>
        </w:rPr>
        <w:footnoteReference w:id="8"/>
      </w:r>
      <w:r>
        <w:rPr>
          <w:noProof/>
        </w:rPr>
        <w:t xml:space="preserve"> на доставчиците или купувачите. Всички останали ДЧ се позовават до известна степен на размера на предприятието, измерен чрез годишния оборот, като показател за преговорните позиции на операторите, които трябва да бъдат защитени, като ограничават приложното поле на приетото законодателство или части от него, както е предвидено в директивата. </w:t>
      </w:r>
    </w:p>
    <w:p w14:paraId="0EB4AFA9" w14:textId="0AE88D21" w:rsidR="00333160" w:rsidRPr="007C5483" w:rsidRDefault="00774BB8" w:rsidP="006B4D56">
      <w:pPr>
        <w:pStyle w:val="Heading3"/>
        <w:tabs>
          <w:tab w:val="clear" w:pos="1842"/>
          <w:tab w:val="num" w:pos="850"/>
        </w:tabs>
        <w:ind w:left="850"/>
        <w:rPr>
          <w:b/>
          <w:bCs w:val="0"/>
          <w:i w:val="0"/>
          <w:iCs/>
          <w:noProof/>
        </w:rPr>
      </w:pPr>
      <w:bookmarkStart w:id="21" w:name="_Toc164695744"/>
      <w:bookmarkStart w:id="22" w:name="_Toc78461433"/>
      <w:r>
        <w:rPr>
          <w:b/>
          <w:i w:val="0"/>
          <w:noProof/>
        </w:rPr>
        <w:t>Стопански субекти</w:t>
      </w:r>
      <w:r w:rsidR="00333160">
        <w:rPr>
          <w:b/>
          <w:i w:val="0"/>
          <w:noProof/>
        </w:rPr>
        <w:t xml:space="preserve"> по веригата и отношения във връзка с доставките</w:t>
      </w:r>
      <w:bookmarkEnd w:id="21"/>
    </w:p>
    <w:p w14:paraId="5E3F733E" w14:textId="05D3E042" w:rsidR="00D945E1" w:rsidRDefault="0058303B" w:rsidP="00D02E19">
      <w:pPr>
        <w:pStyle w:val="Text1"/>
        <w:spacing w:before="0" w:after="240"/>
        <w:ind w:left="0"/>
        <w:rPr>
          <w:iCs/>
          <w:noProof/>
        </w:rPr>
      </w:pPr>
      <w:r>
        <w:rPr>
          <w:noProof/>
        </w:rPr>
        <w:t>Що се отнася до отношенията между доставчици и купувачи на селскостопански и хранителни продукти, повечето от ДЧ са определили секторния и личния обхват, както е определено в директивата</w:t>
      </w:r>
      <w:r>
        <w:rPr>
          <w:rStyle w:val="FootnoteReference"/>
          <w:iCs/>
          <w:noProof/>
        </w:rPr>
        <w:footnoteReference w:id="9"/>
      </w:r>
      <w:r>
        <w:rPr>
          <w:noProof/>
        </w:rPr>
        <w:t xml:space="preserve">.  </w:t>
      </w:r>
    </w:p>
    <w:p w14:paraId="7DC8D70D" w14:textId="53BBC85E" w:rsidR="00D945E1" w:rsidRPr="00D945E1" w:rsidRDefault="0058303B" w:rsidP="0044053C">
      <w:pPr>
        <w:pStyle w:val="Text1"/>
        <w:spacing w:before="0" w:after="240"/>
        <w:ind w:left="0"/>
        <w:rPr>
          <w:noProof/>
        </w:rPr>
      </w:pPr>
      <w:r>
        <w:rPr>
          <w:noProof/>
        </w:rPr>
        <w:t xml:space="preserve">LV е разширила обхвата, за да включи отношенията между доставчици и търговци на дребно (само) на нехранителни продукти. SK е включила в определението за купувач и доставчик юридически лица, които не са стопански субекти. ES е избрала защита на всички оператори по веригата (включително купувачите). </w:t>
      </w:r>
    </w:p>
    <w:p w14:paraId="521D7C9E" w14:textId="07C971B5" w:rsidR="00EA6712" w:rsidRPr="003836AF" w:rsidRDefault="00EA6712" w:rsidP="00EA6712">
      <w:pPr>
        <w:pStyle w:val="Heading2"/>
        <w:spacing w:before="0" w:after="240"/>
        <w:ind w:left="0" w:firstLine="0"/>
        <w:rPr>
          <w:noProof/>
        </w:rPr>
      </w:pPr>
      <w:bookmarkStart w:id="23" w:name="_Toc163197665"/>
      <w:bookmarkStart w:id="24" w:name="_Toc164695745"/>
      <w:bookmarkEnd w:id="23"/>
      <w:r>
        <w:rPr>
          <w:noProof/>
        </w:rPr>
        <w:t>Забрана на НТП (член 3)</w:t>
      </w:r>
      <w:bookmarkEnd w:id="22"/>
      <w:bookmarkEnd w:id="24"/>
    </w:p>
    <w:p w14:paraId="50429E1A" w14:textId="0D1C7904" w:rsidR="00EA6712" w:rsidRPr="003836AF" w:rsidRDefault="00EA6712" w:rsidP="00EA6712">
      <w:pPr>
        <w:pStyle w:val="Text1"/>
        <w:spacing w:before="0" w:after="240"/>
        <w:ind w:left="0"/>
        <w:rPr>
          <w:noProof/>
        </w:rPr>
      </w:pPr>
      <w:r>
        <w:rPr>
          <w:noProof/>
        </w:rPr>
        <w:t>В директивата се изисква ДЧ да изготвят списък със забранени НТП, като забраните се разделят на две групи: i) забрани сами по себе си (</w:t>
      </w:r>
      <w:r>
        <w:rPr>
          <w:i/>
          <w:noProof/>
        </w:rPr>
        <w:t>per se</w:t>
      </w:r>
      <w:r>
        <w:rPr>
          <w:noProof/>
        </w:rPr>
        <w:t>) или безусловни забрани („черен списък“) и (ii) условни забрани („сив списък“), т.е. търговски практики, които са забранени, освен ако не са предварително договорени с ясни и недвусмислени условия в договора за доставка или в последващо споразумение между доставчика и купувача (член 3, параграф 2). Всяка практика е конкретно определена в директивата. ДЧ могат да приемат или запазят национални правила, които обхващат и други НТП, освен посочените в директивата, при условие че те са съвместими с правилата за функционирането на вътрешния пазар. Спазвайки определените изисквания, ДЧ могат също така да:</w:t>
      </w:r>
    </w:p>
    <w:p w14:paraId="26B82A15" w14:textId="77777777" w:rsidR="00EA6712" w:rsidRPr="003836AF" w:rsidRDefault="00EA6712" w:rsidP="00EA6712">
      <w:pPr>
        <w:pStyle w:val="Text1"/>
        <w:numPr>
          <w:ilvl w:val="0"/>
          <w:numId w:val="9"/>
        </w:numPr>
        <w:spacing w:before="0"/>
        <w:ind w:left="714" w:hanging="357"/>
        <w:rPr>
          <w:noProof/>
        </w:rPr>
      </w:pPr>
      <w:r>
        <w:rPr>
          <w:noProof/>
        </w:rPr>
        <w:t>използват общи формулировки за разширяване на обхвата на забраните върху практики, които не са изрично изброени;</w:t>
      </w:r>
    </w:p>
    <w:p w14:paraId="02332AEB" w14:textId="77777777" w:rsidR="00EA6712" w:rsidRPr="003836AF" w:rsidRDefault="00EA6712" w:rsidP="00EA6712">
      <w:pPr>
        <w:pStyle w:val="Text1"/>
        <w:numPr>
          <w:ilvl w:val="0"/>
          <w:numId w:val="9"/>
        </w:numPr>
        <w:spacing w:before="0"/>
        <w:ind w:left="714" w:hanging="357"/>
        <w:rPr>
          <w:noProof/>
        </w:rPr>
      </w:pPr>
      <w:r>
        <w:rPr>
          <w:noProof/>
        </w:rPr>
        <w:t>добавят други практики към списъците;</w:t>
      </w:r>
    </w:p>
    <w:p w14:paraId="00023132" w14:textId="77777777" w:rsidR="00EA6712" w:rsidRPr="003836AF" w:rsidRDefault="00EA6712" w:rsidP="00EA6712">
      <w:pPr>
        <w:pStyle w:val="Text1"/>
        <w:numPr>
          <w:ilvl w:val="0"/>
          <w:numId w:val="9"/>
        </w:numPr>
        <w:spacing w:before="0"/>
        <w:ind w:left="714" w:hanging="357"/>
        <w:rPr>
          <w:noProof/>
        </w:rPr>
      </w:pPr>
      <w:r>
        <w:rPr>
          <w:noProof/>
        </w:rPr>
        <w:t>разширят обхвата на изброените забрани или да ги направят по-строги;</w:t>
      </w:r>
    </w:p>
    <w:p w14:paraId="6F260B01" w14:textId="77777777" w:rsidR="00EA6712" w:rsidRPr="003836AF" w:rsidRDefault="00EA6712" w:rsidP="00EA6712">
      <w:pPr>
        <w:pStyle w:val="Text1"/>
        <w:numPr>
          <w:ilvl w:val="0"/>
          <w:numId w:val="9"/>
        </w:numPr>
        <w:spacing w:before="0"/>
        <w:ind w:left="714" w:hanging="357"/>
        <w:rPr>
          <w:noProof/>
        </w:rPr>
      </w:pPr>
      <w:r>
        <w:rPr>
          <w:noProof/>
        </w:rPr>
        <w:t xml:space="preserve">прехвърлят практики от „сивия списък“ в „черния списък“.   </w:t>
      </w:r>
    </w:p>
    <w:p w14:paraId="21810CE9" w14:textId="77777777" w:rsidR="00EA6712" w:rsidRPr="003836AF" w:rsidRDefault="00EA6712" w:rsidP="00EA6712">
      <w:pPr>
        <w:pStyle w:val="Text1"/>
        <w:spacing w:before="0" w:after="240"/>
        <w:ind w:left="0"/>
        <w:rPr>
          <w:noProof/>
        </w:rPr>
      </w:pPr>
      <w:r>
        <w:rPr>
          <w:noProof/>
        </w:rPr>
        <w:t xml:space="preserve">Повече информация относно избраните от ДЧ решения при транспонирането, включително отделни практики, се съдържа в SWD. Две практики, включени в „черния списък“, заслужават специално внимание, тъй като ДЧ имат възможност да се отклоняват в рамките на определени граници: </w:t>
      </w:r>
    </w:p>
    <w:p w14:paraId="6ED910BF" w14:textId="185B35DE" w:rsidR="00EA6712" w:rsidRPr="003836AF" w:rsidRDefault="00EA6712" w:rsidP="00EA6712">
      <w:pPr>
        <w:pStyle w:val="Text1"/>
        <w:numPr>
          <w:ilvl w:val="0"/>
          <w:numId w:val="10"/>
        </w:numPr>
        <w:spacing w:before="0" w:after="240"/>
        <w:rPr>
          <w:noProof/>
        </w:rPr>
      </w:pPr>
      <w:r>
        <w:rPr>
          <w:b/>
          <w:noProof/>
        </w:rPr>
        <w:t>Забавяне на плащанията</w:t>
      </w:r>
      <w:r>
        <w:rPr>
          <w:noProof/>
        </w:rPr>
        <w:t>: 16</w:t>
      </w:r>
      <w:r w:rsidRPr="007E047B">
        <w:rPr>
          <w:rStyle w:val="FootnoteReference"/>
          <w:noProof/>
        </w:rPr>
        <w:footnoteReference w:id="10"/>
      </w:r>
      <w:r>
        <w:rPr>
          <w:noProof/>
        </w:rPr>
        <w:t xml:space="preserve"> от 27 ДЧ прилагат разпоредбите на директивата, като са направили разграничение при продажбите на нетрайни (30-дневен срок на плащане) и трайни продукти (60-дневен срок), докато 11</w:t>
      </w:r>
      <w:r w:rsidRPr="003836AF">
        <w:rPr>
          <w:rStyle w:val="FootnoteReference"/>
          <w:noProof/>
        </w:rPr>
        <w:footnoteReference w:id="11"/>
      </w:r>
      <w:r>
        <w:rPr>
          <w:noProof/>
        </w:rPr>
        <w:t xml:space="preserve"> ДЧ прилагат по-строги правила относно забавянията на плащанията. </w:t>
      </w:r>
    </w:p>
    <w:p w14:paraId="186461E1" w14:textId="77777777" w:rsidR="00EA6712" w:rsidRPr="003836AF" w:rsidRDefault="00EA6712" w:rsidP="00EA6712">
      <w:pPr>
        <w:pStyle w:val="Text1"/>
        <w:spacing w:before="0" w:after="240"/>
        <w:ind w:left="720"/>
        <w:rPr>
          <w:noProof/>
        </w:rPr>
      </w:pPr>
      <w:r>
        <w:rPr>
          <w:noProof/>
        </w:rPr>
        <w:t xml:space="preserve">С изключение на BE, EE, HU, SE и SK, всички ДЧ са включили в своето законодателство за транспониране определението за нетрайни продукти, дадено в директивата. FR има различни определения за „нетрайни“ и „много нетрайни“ продукти. HR и SI са добавили в своето законодателство за транспониране списък с нетрайни продукти, докато LT е предоставила на институция, овластена от правителството, правото да одобрява списък с нетрайни продукти. </w:t>
      </w:r>
    </w:p>
    <w:p w14:paraId="5E0BBD31" w14:textId="6C3608F1" w:rsidR="00EA6712" w:rsidRDefault="00EA6712" w:rsidP="00EA6712">
      <w:pPr>
        <w:pStyle w:val="Text1"/>
        <w:numPr>
          <w:ilvl w:val="0"/>
          <w:numId w:val="10"/>
        </w:numPr>
        <w:spacing w:before="0" w:after="240"/>
        <w:rPr>
          <w:noProof/>
        </w:rPr>
      </w:pPr>
      <w:r>
        <w:rPr>
          <w:b/>
          <w:noProof/>
        </w:rPr>
        <w:t>Анулиране на поръчки с кратко предизвестие:</w:t>
      </w:r>
      <w:r>
        <w:rPr>
          <w:noProof/>
        </w:rPr>
        <w:t xml:space="preserve"> Всички ДЧ включват 30-дневния срок като минимален стандарт за анулиране, с изключение на EE, HU и SK. Шест ДЧ предвиждат възможност за определяне на срокове, които са по-кратки от 30 дни, за конкретни сектори в надлежно обосновани случаи (напр. крайно нетрайни стоки)</w:t>
      </w:r>
      <w:r w:rsidR="00A44761">
        <w:rPr>
          <w:rStyle w:val="FootnoteReference"/>
          <w:noProof/>
        </w:rPr>
        <w:footnoteReference w:id="12"/>
      </w:r>
      <w:r>
        <w:rPr>
          <w:noProof/>
        </w:rPr>
        <w:t xml:space="preserve">. </w:t>
      </w:r>
    </w:p>
    <w:p w14:paraId="0365F372" w14:textId="77777777" w:rsidR="00EA6712" w:rsidRPr="00900636" w:rsidRDefault="00EA6712" w:rsidP="00EA6712">
      <w:pPr>
        <w:pStyle w:val="Heading2"/>
        <w:spacing w:before="0" w:after="240"/>
        <w:ind w:left="0" w:firstLine="0"/>
        <w:rPr>
          <w:noProof/>
        </w:rPr>
      </w:pPr>
      <w:bookmarkStart w:id="25" w:name="_Toc160783899"/>
      <w:bookmarkStart w:id="26" w:name="_Toc78461434"/>
      <w:bookmarkStart w:id="27" w:name="_Toc164695746"/>
      <w:bookmarkEnd w:id="25"/>
      <w:r>
        <w:rPr>
          <w:noProof/>
        </w:rPr>
        <w:t>Механизми за правоприлагане (членове 4—8)</w:t>
      </w:r>
      <w:bookmarkEnd w:id="26"/>
      <w:bookmarkEnd w:id="27"/>
    </w:p>
    <w:p w14:paraId="79390C71" w14:textId="77777777" w:rsidR="00EA6712" w:rsidRPr="00CF2E9C" w:rsidRDefault="00EA6712" w:rsidP="00EA6712">
      <w:pPr>
        <w:pStyle w:val="Heading3"/>
        <w:tabs>
          <w:tab w:val="clear" w:pos="1842"/>
          <w:tab w:val="num" w:pos="851"/>
        </w:tabs>
        <w:spacing w:before="0" w:after="240"/>
        <w:ind w:left="0" w:firstLine="0"/>
        <w:rPr>
          <w:b/>
          <w:i w:val="0"/>
          <w:noProof/>
        </w:rPr>
      </w:pPr>
      <w:bookmarkStart w:id="28" w:name="_Toc78461435"/>
      <w:bookmarkStart w:id="29" w:name="_Toc164695747"/>
      <w:r>
        <w:rPr>
          <w:b/>
          <w:i w:val="0"/>
          <w:noProof/>
        </w:rPr>
        <w:t>Определяне на правоприлагащи органи (член 4)</w:t>
      </w:r>
      <w:bookmarkEnd w:id="28"/>
      <w:bookmarkEnd w:id="29"/>
    </w:p>
    <w:p w14:paraId="1C9F3574" w14:textId="70020680" w:rsidR="00EA6712" w:rsidRPr="00E3367E" w:rsidRDefault="00EA6712" w:rsidP="00EA6712">
      <w:pPr>
        <w:pStyle w:val="Text1"/>
        <w:spacing w:before="0" w:after="240"/>
        <w:ind w:left="0"/>
        <w:rPr>
          <w:noProof/>
        </w:rPr>
      </w:pPr>
      <w:r>
        <w:rPr>
          <w:noProof/>
        </w:rPr>
        <w:t>Всички 27 ДЧ са определили един или повече органи на национално равнище („правоприлагащи органи“) за прилагане на забраните, предвидени в член 3. Данните за връзка и уебсайтовете на органите са достъпни на специалния уебсайт</w:t>
      </w:r>
      <w:r w:rsidRPr="0002599E">
        <w:rPr>
          <w:noProof/>
          <w:vertAlign w:val="superscript"/>
        </w:rPr>
        <w:footnoteReference w:id="13"/>
      </w:r>
      <w:r>
        <w:rPr>
          <w:noProof/>
        </w:rPr>
        <w:t xml:space="preserve">. </w:t>
      </w:r>
    </w:p>
    <w:p w14:paraId="22D253EC" w14:textId="183878D9" w:rsidR="00EA6712" w:rsidRPr="003836AF" w:rsidRDefault="00EA6712" w:rsidP="00EA6712">
      <w:pPr>
        <w:pStyle w:val="Text1"/>
        <w:spacing w:before="0" w:after="240"/>
        <w:ind w:left="0"/>
        <w:rPr>
          <w:noProof/>
        </w:rPr>
      </w:pPr>
      <w:r>
        <w:rPr>
          <w:noProof/>
        </w:rPr>
        <w:t>Всички ДЧ са избрали административни органи, като повечето от тях са избрали да им възложат основните правомощия за правоприлагане: единадесет ДЧ са ги възложили на орган за защита на конкуренцията</w:t>
      </w:r>
      <w:r w:rsidRPr="003836AF">
        <w:rPr>
          <w:rStyle w:val="FootnoteReference"/>
          <w:noProof/>
        </w:rPr>
        <w:footnoteReference w:id="14"/>
      </w:r>
      <w:r>
        <w:rPr>
          <w:noProof/>
        </w:rPr>
        <w:t>; шест — на орган по въпросите на пазара на хранителни продукти</w:t>
      </w:r>
      <w:r w:rsidRPr="003836AF">
        <w:rPr>
          <w:rStyle w:val="FootnoteReference"/>
          <w:noProof/>
        </w:rPr>
        <w:footnoteReference w:id="15"/>
      </w:r>
      <w:r>
        <w:rPr>
          <w:noProof/>
        </w:rPr>
        <w:t>; пет — на своето Министерство на земеделието</w:t>
      </w:r>
      <w:r w:rsidRPr="003836AF">
        <w:rPr>
          <w:rStyle w:val="FootnoteReference"/>
          <w:noProof/>
        </w:rPr>
        <w:footnoteReference w:id="16"/>
      </w:r>
      <w:r>
        <w:rPr>
          <w:noProof/>
        </w:rPr>
        <w:t>; две — на орган, отговарящ за борбата с нелоялните търговски практики в хранително-вкусовия сектор</w:t>
      </w:r>
      <w:r w:rsidRPr="003836AF">
        <w:rPr>
          <w:rStyle w:val="FootnoteReference"/>
          <w:noProof/>
        </w:rPr>
        <w:footnoteReference w:id="17"/>
      </w:r>
      <w:r>
        <w:rPr>
          <w:noProof/>
        </w:rPr>
        <w:t>; две — на правителствен орган в рамките на Министерството на икономиката и финансите</w:t>
      </w:r>
      <w:r w:rsidRPr="003836AF">
        <w:rPr>
          <w:rStyle w:val="FootnoteReference"/>
          <w:noProof/>
        </w:rPr>
        <w:footnoteReference w:id="18"/>
      </w:r>
      <w:r>
        <w:rPr>
          <w:noProof/>
        </w:rPr>
        <w:t>; и една — на орган за защита на потребителите и пазарите</w:t>
      </w:r>
      <w:r w:rsidRPr="003836AF">
        <w:rPr>
          <w:rStyle w:val="FootnoteReference"/>
          <w:noProof/>
        </w:rPr>
        <w:footnoteReference w:id="19"/>
      </w:r>
      <w:r>
        <w:rPr>
          <w:noProof/>
        </w:rPr>
        <w:t>. Някои са предоставили на съд част от правомощията за правоприлагане, регламентирани в директивата</w:t>
      </w:r>
      <w:r w:rsidRPr="003836AF">
        <w:rPr>
          <w:rStyle w:val="FootnoteReference"/>
          <w:noProof/>
        </w:rPr>
        <w:footnoteReference w:id="20"/>
      </w:r>
      <w:r>
        <w:rPr>
          <w:noProof/>
        </w:rPr>
        <w:t xml:space="preserve">. </w:t>
      </w:r>
    </w:p>
    <w:p w14:paraId="79EA41B9" w14:textId="77777777" w:rsidR="00EA6712" w:rsidRPr="003836AF" w:rsidRDefault="00EA6712" w:rsidP="00EA6712">
      <w:pPr>
        <w:pStyle w:val="Text1"/>
        <w:spacing w:after="240"/>
        <w:ind w:left="0"/>
        <w:rPr>
          <w:noProof/>
        </w:rPr>
      </w:pPr>
      <w:r>
        <w:rPr>
          <w:noProof/>
        </w:rPr>
        <w:t>Три ДЧ (EL, LT</w:t>
      </w:r>
      <w:r w:rsidRPr="009B59BE">
        <w:rPr>
          <w:rStyle w:val="FootnoteReference"/>
          <w:noProof/>
        </w:rPr>
        <w:footnoteReference w:id="21"/>
      </w:r>
      <w:r>
        <w:rPr>
          <w:noProof/>
        </w:rPr>
        <w:t xml:space="preserve"> и RO) са определили два органа, като вторият е органът за защита на конкуренцията. </w:t>
      </w:r>
    </w:p>
    <w:p w14:paraId="2AE850DE" w14:textId="77777777" w:rsidR="00EA6712" w:rsidRPr="003836AF" w:rsidRDefault="00EA6712" w:rsidP="00EA6712">
      <w:pPr>
        <w:pStyle w:val="Heading3"/>
        <w:tabs>
          <w:tab w:val="clear" w:pos="1842"/>
          <w:tab w:val="num" w:pos="851"/>
        </w:tabs>
        <w:spacing w:before="0" w:after="240"/>
        <w:ind w:left="0" w:firstLine="0"/>
        <w:rPr>
          <w:b/>
          <w:i w:val="0"/>
          <w:noProof/>
        </w:rPr>
      </w:pPr>
      <w:bookmarkStart w:id="30" w:name="_Toc78461436"/>
      <w:bookmarkStart w:id="31" w:name="_Toc164695748"/>
      <w:r>
        <w:rPr>
          <w:b/>
          <w:i w:val="0"/>
          <w:noProof/>
        </w:rPr>
        <w:t>Подаване на жалби и поверителност (член 5)</w:t>
      </w:r>
      <w:bookmarkEnd w:id="30"/>
      <w:bookmarkEnd w:id="31"/>
    </w:p>
    <w:p w14:paraId="2D731576" w14:textId="77777777" w:rsidR="00EA6712" w:rsidRPr="003836AF" w:rsidRDefault="00EA6712" w:rsidP="008B70E5">
      <w:pPr>
        <w:pStyle w:val="Text1"/>
        <w:spacing w:before="0" w:after="240"/>
        <w:ind w:left="0"/>
        <w:rPr>
          <w:noProof/>
        </w:rPr>
      </w:pPr>
      <w:r>
        <w:rPr>
          <w:noProof/>
        </w:rPr>
        <w:t xml:space="preserve">Съгласно всички инструменти за транспониране, за които е съобщено на Комисията, не само отделните доставчици, но и организациите на производители или други организации на доставчици и асоциации на такива организации имат право да подадат жалба до определения правоприлагащ орган. </w:t>
      </w:r>
    </w:p>
    <w:p w14:paraId="330B2E47" w14:textId="4980CD3C" w:rsidR="00EA6712" w:rsidRPr="00E3367E" w:rsidRDefault="00EA6712" w:rsidP="008B70E5">
      <w:pPr>
        <w:pStyle w:val="Text1"/>
        <w:spacing w:before="0" w:after="240"/>
        <w:ind w:left="0"/>
        <w:rPr>
          <w:noProof/>
        </w:rPr>
      </w:pPr>
      <w:r>
        <w:rPr>
          <w:noProof/>
        </w:rPr>
        <w:t>В мнозинството от актовете за транспониране на ДЧ се предвиждат предпазни мерки за запазване на поверителност относно самоличността на жалбоподателя, чието разкриване би могло да навреди на неговите интереси или на интересите на неговите членове или доставчици</w:t>
      </w:r>
      <w:r w:rsidRPr="003836AF">
        <w:rPr>
          <w:rStyle w:val="FootnoteReference"/>
          <w:noProof/>
        </w:rPr>
        <w:footnoteReference w:id="22"/>
      </w:r>
      <w:r>
        <w:rPr>
          <w:noProof/>
        </w:rPr>
        <w:t>. Обикновено тези предпазни мерки следва да се предприемат по искане на доставчика</w:t>
      </w:r>
      <w:r w:rsidRPr="003836AF">
        <w:rPr>
          <w:rStyle w:val="FootnoteReference"/>
          <w:noProof/>
        </w:rPr>
        <w:footnoteReference w:id="23"/>
      </w:r>
      <w:r>
        <w:rPr>
          <w:noProof/>
        </w:rPr>
        <w:t>; в някои национални мерки за транспониране обаче в това отношение се допуска и инициатива на органа</w:t>
      </w:r>
      <w:r w:rsidRPr="003836AF">
        <w:rPr>
          <w:rStyle w:val="FootnoteReference"/>
          <w:noProof/>
        </w:rPr>
        <w:footnoteReference w:id="24"/>
      </w:r>
      <w:r>
        <w:rPr>
          <w:noProof/>
        </w:rPr>
        <w:t>. В повечето случаи от жалбоподателите се изисква да посочат информацията, за която изискват поверителност</w:t>
      </w:r>
      <w:r w:rsidRPr="003836AF">
        <w:rPr>
          <w:rStyle w:val="FootnoteReference"/>
          <w:noProof/>
        </w:rPr>
        <w:footnoteReference w:id="25"/>
      </w:r>
      <w:r>
        <w:rPr>
          <w:noProof/>
        </w:rPr>
        <w:t>. За разлика от това, съгласно полското законодателство, самоличността и информацията на жалбоподателя, чието разкриване би могло да навреди на жалбоподателя, винаги се пазят поверителни, освен ако жалбоподателят не разреши разкриване в писмен вид. В ES в законодателството се предвижда защита на самоличността на жалбоподателя и по време на съдебно производство. В някои ДЧ актовете за транспониране включват възможност за прекратяване на производството, ако неговото продължаване би довело до разкриване на поверителна информация</w:t>
      </w:r>
      <w:r w:rsidRPr="003836AF">
        <w:rPr>
          <w:rStyle w:val="FootnoteReference"/>
          <w:noProof/>
        </w:rPr>
        <w:footnoteReference w:id="26"/>
      </w:r>
      <w:r>
        <w:rPr>
          <w:noProof/>
        </w:rPr>
        <w:t>. В LT правоприлагащият орган има свобода на преценка за това дали да отхвърли искане за поверителност, ако конкретната информация има доказателствена стойност за установяване на нарушението. Анонимните жалби обаче са изрично уредени в тяхното законодателство.</w:t>
      </w:r>
    </w:p>
    <w:p w14:paraId="4EFB2E89" w14:textId="51716E58" w:rsidR="00EA6712" w:rsidRPr="00DD5887" w:rsidRDefault="00160B1B" w:rsidP="00EA6712">
      <w:pPr>
        <w:pStyle w:val="Heading3"/>
        <w:tabs>
          <w:tab w:val="clear" w:pos="1842"/>
          <w:tab w:val="num" w:pos="851"/>
        </w:tabs>
        <w:spacing w:before="0" w:after="240"/>
        <w:ind w:left="0" w:firstLine="0"/>
        <w:rPr>
          <w:b/>
          <w:i w:val="0"/>
          <w:noProof/>
        </w:rPr>
      </w:pPr>
      <w:bookmarkStart w:id="32" w:name="_Toc78461437"/>
      <w:bookmarkStart w:id="33" w:name="_Toc164695749"/>
      <w:r>
        <w:rPr>
          <w:b/>
          <w:i w:val="0"/>
          <w:noProof/>
        </w:rPr>
        <w:t>Правомощия на определените правоприлагащи органи (член 6)</w:t>
      </w:r>
      <w:bookmarkEnd w:id="32"/>
      <w:bookmarkEnd w:id="33"/>
    </w:p>
    <w:p w14:paraId="15352852" w14:textId="5D9A65B7" w:rsidR="00EA6712" w:rsidRDefault="00EA6712" w:rsidP="00EA6712">
      <w:pPr>
        <w:pStyle w:val="Text1"/>
        <w:spacing w:before="0" w:after="240"/>
        <w:ind w:left="0"/>
        <w:rPr>
          <w:noProof/>
        </w:rPr>
      </w:pPr>
      <w:r>
        <w:rPr>
          <w:noProof/>
        </w:rPr>
        <w:t xml:space="preserve">Повечето ДЧ възлагат на определените правоприлагащи органи правомощията, предвидени в член 6, а именно: </w:t>
      </w:r>
    </w:p>
    <w:p w14:paraId="33589081" w14:textId="77777777" w:rsidR="00EA6712" w:rsidRPr="003836AF" w:rsidRDefault="00EA6712" w:rsidP="00EA6712">
      <w:pPr>
        <w:pStyle w:val="Text1"/>
        <w:numPr>
          <w:ilvl w:val="0"/>
          <w:numId w:val="12"/>
        </w:numPr>
        <w:spacing w:before="0"/>
        <w:ind w:left="714" w:hanging="357"/>
        <w:rPr>
          <w:i/>
          <w:iCs/>
          <w:noProof/>
        </w:rPr>
      </w:pPr>
      <w:r>
        <w:rPr>
          <w:noProof/>
        </w:rPr>
        <w:t>правомощия за разследване и наблюдение</w:t>
      </w:r>
      <w:r w:rsidRPr="003836AF">
        <w:rPr>
          <w:rStyle w:val="FootnoteReference"/>
          <w:noProof/>
        </w:rPr>
        <w:footnoteReference w:id="27"/>
      </w:r>
      <w:r>
        <w:rPr>
          <w:noProof/>
        </w:rPr>
        <w:t>;</w:t>
      </w:r>
    </w:p>
    <w:p w14:paraId="67AC7FF9" w14:textId="539465A2" w:rsidR="00EA6712" w:rsidRPr="003836AF" w:rsidRDefault="00EA6712" w:rsidP="00EA6712">
      <w:pPr>
        <w:pStyle w:val="Text1"/>
        <w:numPr>
          <w:ilvl w:val="0"/>
          <w:numId w:val="12"/>
        </w:numPr>
        <w:spacing w:before="0"/>
        <w:ind w:left="714" w:hanging="357"/>
        <w:rPr>
          <w:i/>
          <w:iCs/>
          <w:noProof/>
        </w:rPr>
      </w:pPr>
      <w:r>
        <w:rPr>
          <w:noProof/>
        </w:rPr>
        <w:t>правомощието да вземат решения, когато е извършено нарушение на забраните, установени в член 3</w:t>
      </w:r>
      <w:r>
        <w:rPr>
          <w:rStyle w:val="FootnoteReference"/>
          <w:noProof/>
        </w:rPr>
        <w:t xml:space="preserve"> </w:t>
      </w:r>
      <w:r w:rsidRPr="003836AF">
        <w:rPr>
          <w:rStyle w:val="FootnoteReference"/>
          <w:noProof/>
        </w:rPr>
        <w:footnoteReference w:id="28"/>
      </w:r>
      <w:r>
        <w:rPr>
          <w:noProof/>
        </w:rPr>
        <w:t>;</w:t>
      </w:r>
    </w:p>
    <w:p w14:paraId="5FB66EDD" w14:textId="77777777" w:rsidR="00EA6712" w:rsidRPr="003836AF" w:rsidRDefault="00EA6712" w:rsidP="00EA6712">
      <w:pPr>
        <w:pStyle w:val="Text1"/>
        <w:numPr>
          <w:ilvl w:val="0"/>
          <w:numId w:val="12"/>
        </w:numPr>
        <w:spacing w:before="0"/>
        <w:ind w:left="714" w:hanging="357"/>
        <w:rPr>
          <w:i/>
          <w:iCs/>
          <w:noProof/>
        </w:rPr>
      </w:pPr>
      <w:r>
        <w:rPr>
          <w:noProof/>
        </w:rPr>
        <w:t>правомощието да изискат от купувача да прекрати забранената търговска практика</w:t>
      </w:r>
      <w:r w:rsidRPr="003836AF">
        <w:rPr>
          <w:rStyle w:val="FootnoteReference"/>
          <w:noProof/>
        </w:rPr>
        <w:footnoteReference w:id="29"/>
      </w:r>
      <w:r>
        <w:rPr>
          <w:noProof/>
        </w:rPr>
        <w:t xml:space="preserve">; </w:t>
      </w:r>
    </w:p>
    <w:p w14:paraId="74C7F457" w14:textId="77777777" w:rsidR="00EA6712" w:rsidRPr="003836AF" w:rsidRDefault="00EA6712" w:rsidP="00EA6712">
      <w:pPr>
        <w:pStyle w:val="Text1"/>
        <w:numPr>
          <w:ilvl w:val="0"/>
          <w:numId w:val="12"/>
        </w:numPr>
        <w:spacing w:before="0"/>
        <w:ind w:left="714" w:hanging="357"/>
        <w:rPr>
          <w:i/>
          <w:iCs/>
          <w:noProof/>
        </w:rPr>
      </w:pPr>
      <w:r>
        <w:rPr>
          <w:noProof/>
        </w:rPr>
        <w:t>правомощието да налагат или да образуват производства за налагане на глоби и други равностойни по ефективност санкции</w:t>
      </w:r>
      <w:r w:rsidRPr="003836AF">
        <w:rPr>
          <w:rStyle w:val="FootnoteReference"/>
          <w:noProof/>
        </w:rPr>
        <w:footnoteReference w:id="30"/>
      </w:r>
      <w:r>
        <w:rPr>
          <w:noProof/>
        </w:rPr>
        <w:t>, както и временни мерки спрямо извършителя на нарушението в съответствие с националните правила и процедури</w:t>
      </w:r>
      <w:r w:rsidRPr="003836AF">
        <w:rPr>
          <w:rStyle w:val="FootnoteReference"/>
          <w:noProof/>
        </w:rPr>
        <w:footnoteReference w:id="31"/>
      </w:r>
      <w:r>
        <w:rPr>
          <w:noProof/>
        </w:rPr>
        <w:t xml:space="preserve"> и</w:t>
      </w:r>
    </w:p>
    <w:p w14:paraId="35F5A890" w14:textId="77777777" w:rsidR="00EA6712" w:rsidRPr="003836AF" w:rsidRDefault="00EA6712" w:rsidP="00EA6712">
      <w:pPr>
        <w:pStyle w:val="Text1"/>
        <w:numPr>
          <w:ilvl w:val="0"/>
          <w:numId w:val="12"/>
        </w:numPr>
        <w:spacing w:before="0"/>
        <w:ind w:left="714" w:hanging="357"/>
        <w:rPr>
          <w:i/>
          <w:iCs/>
          <w:noProof/>
        </w:rPr>
      </w:pPr>
      <w:r>
        <w:rPr>
          <w:noProof/>
        </w:rPr>
        <w:t>правомощието да публикуват взетите решения</w:t>
      </w:r>
      <w:r w:rsidRPr="003836AF">
        <w:rPr>
          <w:rStyle w:val="FootnoteReference"/>
          <w:noProof/>
        </w:rPr>
        <w:footnoteReference w:id="32"/>
      </w:r>
      <w:r>
        <w:rPr>
          <w:noProof/>
        </w:rPr>
        <w:t xml:space="preserve">. </w:t>
      </w:r>
    </w:p>
    <w:p w14:paraId="2C507900" w14:textId="46532CD4" w:rsidR="00EA6712" w:rsidRPr="00E3367E" w:rsidRDefault="00EA6712" w:rsidP="00EA6712">
      <w:pPr>
        <w:pStyle w:val="Text1"/>
        <w:spacing w:after="240"/>
        <w:ind w:left="0"/>
        <w:rPr>
          <w:noProof/>
        </w:rPr>
      </w:pPr>
      <w:r>
        <w:rPr>
          <w:noProof/>
        </w:rPr>
        <w:t>В девет ДЧ правоприлагащият орган има също така правомощието да валидира задължения, които трябва да бъдат поети от нарушителя</w:t>
      </w:r>
      <w:r w:rsidRPr="00C263F3">
        <w:rPr>
          <w:rStyle w:val="FootnoteReference"/>
          <w:noProof/>
        </w:rPr>
        <w:footnoteReference w:id="33"/>
      </w:r>
      <w:r>
        <w:rPr>
          <w:noProof/>
        </w:rPr>
        <w:t>, или да отправя предупреждения</w:t>
      </w:r>
      <w:r w:rsidRPr="00C263F3">
        <w:rPr>
          <w:rStyle w:val="FootnoteReference"/>
          <w:noProof/>
        </w:rPr>
        <w:footnoteReference w:id="34"/>
      </w:r>
      <w:r>
        <w:rPr>
          <w:noProof/>
        </w:rPr>
        <w:t xml:space="preserve"> или препоръки, ако е извършено нарушение</w:t>
      </w:r>
      <w:r w:rsidRPr="003836AF">
        <w:rPr>
          <w:rStyle w:val="FootnoteReference"/>
          <w:noProof/>
        </w:rPr>
        <w:footnoteReference w:id="35"/>
      </w:r>
      <w:r>
        <w:rPr>
          <w:noProof/>
        </w:rPr>
        <w:t xml:space="preserve">. </w:t>
      </w:r>
    </w:p>
    <w:p w14:paraId="263EC2ED" w14:textId="77777777" w:rsidR="00EA6712" w:rsidRPr="00DD5887" w:rsidRDefault="00EA6712" w:rsidP="00EA6712">
      <w:pPr>
        <w:pStyle w:val="Heading3"/>
        <w:tabs>
          <w:tab w:val="clear" w:pos="1842"/>
          <w:tab w:val="num" w:pos="851"/>
        </w:tabs>
        <w:spacing w:before="0" w:after="240"/>
        <w:ind w:left="0" w:firstLine="0"/>
        <w:rPr>
          <w:b/>
          <w:i w:val="0"/>
          <w:noProof/>
        </w:rPr>
      </w:pPr>
      <w:bookmarkStart w:id="35" w:name="_Toc78461438"/>
      <w:bookmarkStart w:id="36" w:name="_Toc164695750"/>
      <w:r>
        <w:rPr>
          <w:b/>
          <w:i w:val="0"/>
          <w:noProof/>
        </w:rPr>
        <w:t>Мерки за правоприлагане и санкции (член 6)</w:t>
      </w:r>
      <w:bookmarkEnd w:id="35"/>
      <w:bookmarkEnd w:id="36"/>
    </w:p>
    <w:p w14:paraId="50C8D457" w14:textId="77777777" w:rsidR="00EA6712" w:rsidRDefault="00EA6712" w:rsidP="00EA6712">
      <w:pPr>
        <w:pStyle w:val="Text1"/>
        <w:spacing w:before="0" w:after="240"/>
        <w:ind w:left="0"/>
        <w:rPr>
          <w:noProof/>
        </w:rPr>
      </w:pPr>
      <w:r>
        <w:rPr>
          <w:noProof/>
        </w:rPr>
        <w:t xml:space="preserve">Мерките за правоприлагане обхващат голям набор от инструменти, включващи санкции, средства за правна защита и поемане на задължения. Най-често срещаните мерки, с които националните правоприлагащи органи разполагат, са финансовите санкции (глоби или други равностойни по ефективност санкции), каквито са предвидени във всички 27 ДЧ. </w:t>
      </w:r>
    </w:p>
    <w:p w14:paraId="4386EA11" w14:textId="77777777" w:rsidR="00EA6712" w:rsidRPr="00756773" w:rsidRDefault="00EA6712" w:rsidP="00EA6712">
      <w:pPr>
        <w:pStyle w:val="Heading3"/>
        <w:tabs>
          <w:tab w:val="clear" w:pos="1842"/>
          <w:tab w:val="num" w:pos="851"/>
        </w:tabs>
        <w:spacing w:before="0" w:after="240"/>
        <w:ind w:left="0" w:firstLine="0"/>
        <w:rPr>
          <w:rFonts w:eastAsiaTheme="minorEastAsia"/>
          <w:b/>
          <w:i w:val="0"/>
          <w:noProof/>
        </w:rPr>
      </w:pPr>
      <w:bookmarkStart w:id="37" w:name="_Toc160695396"/>
      <w:bookmarkStart w:id="38" w:name="_Toc164695751"/>
      <w:bookmarkStart w:id="39" w:name="_Toc78461439"/>
      <w:bookmarkEnd w:id="37"/>
      <w:r>
        <w:rPr>
          <w:b/>
          <w:i w:val="0"/>
          <w:noProof/>
        </w:rPr>
        <w:t>Административно или съдебно правоприлагане и алтернативно разрешаване на спорове</w:t>
      </w:r>
      <w:bookmarkEnd w:id="38"/>
      <w:r>
        <w:rPr>
          <w:b/>
          <w:i w:val="0"/>
          <w:noProof/>
        </w:rPr>
        <w:t xml:space="preserve"> </w:t>
      </w:r>
      <w:bookmarkEnd w:id="39"/>
    </w:p>
    <w:p w14:paraId="29CE6D90" w14:textId="77777777" w:rsidR="00EA6712" w:rsidRPr="00B51048" w:rsidRDefault="00EA6712" w:rsidP="00EA6712">
      <w:pPr>
        <w:pStyle w:val="Text1"/>
        <w:spacing w:before="0" w:after="240"/>
        <w:ind w:left="0"/>
        <w:rPr>
          <w:noProof/>
        </w:rPr>
      </w:pPr>
      <w:bookmarkStart w:id="40" w:name="_Toc78452829"/>
      <w:bookmarkStart w:id="41" w:name="_Toc78461440"/>
      <w:r>
        <w:rPr>
          <w:noProof/>
        </w:rPr>
        <w:t>Повечето мерки и механизми за правоприлагане могат да се смятат за правоприлагане по административен ред.</w:t>
      </w:r>
      <w:bookmarkEnd w:id="40"/>
      <w:bookmarkEnd w:id="41"/>
    </w:p>
    <w:p w14:paraId="6F4DE98D" w14:textId="77777777" w:rsidR="00EA6712" w:rsidRPr="00B51048" w:rsidRDefault="00EA6712" w:rsidP="00EA6712">
      <w:pPr>
        <w:pStyle w:val="Text1"/>
        <w:spacing w:before="0" w:after="240"/>
        <w:ind w:left="0"/>
        <w:rPr>
          <w:noProof/>
        </w:rPr>
      </w:pPr>
      <w:bookmarkStart w:id="42" w:name="_Toc78452830"/>
      <w:bookmarkStart w:id="43" w:name="_Toc78461441"/>
      <w:r>
        <w:rPr>
          <w:noProof/>
        </w:rPr>
        <w:t>В актовете за транспониране на някои ДЧ изрично се разглежда правоприлагането както по административен, така и по съдебен ред. Освен това в австрийското и финландското законодателство се предвижда, че някои правомощия (например санкции) са запазени за съда, докато (във FI) други мерки (като мерките за преустановяване на нарушения) могат да се приемат както от административния, така и от съдебния орган. Във FR административният орган може да издава мерки за преустановяване на нарушения и административни глоби, докато съдът може да приема мерки за преустановяване на нарушения, корективни мерки и гражданскоправни санкции (</w:t>
      </w:r>
      <w:r>
        <w:rPr>
          <w:i/>
          <w:noProof/>
        </w:rPr>
        <w:t>amendes civiles</w:t>
      </w:r>
      <w:r>
        <w:rPr>
          <w:noProof/>
        </w:rPr>
        <w:t>). В българското законодателство се предвижда, че наличието на институция, която отговаря за конкретни производства съгласно законодателството за транспониране, не трябва да бъде пречка страна по договор за доставка да защити правата си по друг установен ред, като косвено се признава ролята на други правоприлагащи органи, включително съдилищата. Латвийското законодателство предвижда, че паралелно със Съвета за защита на конкуренцията, по реда, предвиден в Закона за гражданския процес, съдът също може да установи дали е налице нарушение на закона за транспониране.</w:t>
      </w:r>
      <w:bookmarkEnd w:id="42"/>
      <w:bookmarkEnd w:id="43"/>
    </w:p>
    <w:p w14:paraId="1B05C7ED" w14:textId="77777777" w:rsidR="00EA6712" w:rsidRPr="008E0E7A" w:rsidRDefault="00EA6712" w:rsidP="00EA6712">
      <w:pPr>
        <w:pStyle w:val="Text1"/>
        <w:spacing w:before="0" w:after="240"/>
        <w:ind w:left="0"/>
        <w:rPr>
          <w:b/>
          <w:bCs/>
          <w:noProof/>
        </w:rPr>
      </w:pPr>
      <w:r>
        <w:rPr>
          <w:noProof/>
        </w:rPr>
        <w:t>Някои ДЧ явно използват система от паралелни средства за правна защита, без обаче да предвиждат конкретни правила за координация между административните и съдебните органи.</w:t>
      </w:r>
    </w:p>
    <w:p w14:paraId="47D392C2" w14:textId="7FEBAA23" w:rsidR="00EA6712" w:rsidRPr="00CF2E9C" w:rsidRDefault="00EA6712" w:rsidP="00EA6712">
      <w:pPr>
        <w:pStyle w:val="Heading3"/>
        <w:tabs>
          <w:tab w:val="clear" w:pos="1842"/>
          <w:tab w:val="num" w:pos="851"/>
        </w:tabs>
        <w:spacing w:before="0" w:after="240"/>
        <w:ind w:left="0" w:firstLine="0"/>
        <w:rPr>
          <w:rFonts w:eastAsiaTheme="minorEastAsia"/>
          <w:b/>
          <w:i w:val="0"/>
          <w:noProof/>
        </w:rPr>
      </w:pPr>
      <w:bookmarkStart w:id="44" w:name="_Toc164695752"/>
      <w:r>
        <w:rPr>
          <w:b/>
          <w:i w:val="0"/>
          <w:noProof/>
        </w:rPr>
        <w:t>Сътрудничество между компетентните органи (член 8)</w:t>
      </w:r>
      <w:bookmarkEnd w:id="44"/>
      <w:r>
        <w:rPr>
          <w:b/>
          <w:i w:val="0"/>
          <w:noProof/>
        </w:rPr>
        <w:t xml:space="preserve"> </w:t>
      </w:r>
    </w:p>
    <w:p w14:paraId="1AB1F724" w14:textId="50944B8C" w:rsidR="00EA6712" w:rsidRPr="00900636" w:rsidRDefault="00EA6712" w:rsidP="00EA6712">
      <w:pPr>
        <w:pStyle w:val="paragraph"/>
        <w:spacing w:before="0" w:beforeAutospacing="0" w:after="0" w:afterAutospacing="0"/>
        <w:jc w:val="both"/>
        <w:textAlignment w:val="baseline"/>
        <w:rPr>
          <w:rStyle w:val="eop"/>
          <w:noProof/>
        </w:rPr>
      </w:pPr>
      <w:r>
        <w:rPr>
          <w:rStyle w:val="normaltextrun"/>
          <w:noProof/>
        </w:rPr>
        <w:t>В съответствие с член 8, параграф 3 Комисията създаде публичен уебсайт</w:t>
      </w:r>
      <w:r w:rsidRPr="00900636">
        <w:rPr>
          <w:rStyle w:val="FootnoteReference"/>
          <w:noProof/>
        </w:rPr>
        <w:footnoteReference w:id="36"/>
      </w:r>
      <w:r>
        <w:rPr>
          <w:rStyle w:val="normaltextrun"/>
          <w:noProof/>
        </w:rPr>
        <w:t>, който съдържа данни за връзка с националните правоприлагащи органи и връзки към съответните им уебсайтове. Освен това Комисията създаде цифров форум, за да се улесни обменът на информация.</w:t>
      </w:r>
      <w:r>
        <w:rPr>
          <w:rStyle w:val="eop"/>
          <w:noProof/>
        </w:rPr>
        <w:t> </w:t>
      </w:r>
    </w:p>
    <w:p w14:paraId="3862F1AD" w14:textId="77777777" w:rsidR="00EA6712" w:rsidRPr="00187A5D" w:rsidRDefault="00EA6712" w:rsidP="00EA6712">
      <w:pPr>
        <w:pStyle w:val="paragraph"/>
        <w:spacing w:before="0" w:beforeAutospacing="0" w:after="0" w:afterAutospacing="0"/>
        <w:jc w:val="both"/>
        <w:textAlignment w:val="baseline"/>
        <w:rPr>
          <w:rFonts w:ascii="Segoe UI" w:hAnsi="Segoe UI" w:cs="Segoe UI"/>
          <w:noProof/>
          <w:sz w:val="18"/>
          <w:szCs w:val="18"/>
        </w:rPr>
      </w:pPr>
    </w:p>
    <w:p w14:paraId="46DE4C45" w14:textId="313BC5C0" w:rsidR="00EA6712" w:rsidRDefault="00EA6712" w:rsidP="00EA6712">
      <w:pPr>
        <w:pStyle w:val="paragraph"/>
        <w:spacing w:before="0" w:beforeAutospacing="0" w:after="0" w:afterAutospacing="0"/>
        <w:jc w:val="both"/>
        <w:textAlignment w:val="baseline"/>
        <w:rPr>
          <w:rStyle w:val="normaltextrun"/>
          <w:noProof/>
        </w:rPr>
      </w:pPr>
      <w:r>
        <w:rPr>
          <w:rStyle w:val="normaltextrun"/>
          <w:noProof/>
        </w:rPr>
        <w:t xml:space="preserve">В резултат на тясното сътрудничество, което Комисията проведе с ДЧ при съответните процеси на транспониране, посредством редовни срещи, в рамките на което предостави отговори на въпроси относно изпълнението и над 50 индивидуални писмени отговора относно изпълнението, Комисията улесни създаването на Мрежата за правоприлагане във връзка със НТП („Мрежата“). Съставена от представители на </w:t>
      </w:r>
      <w:r>
        <w:rPr>
          <w:noProof/>
        </w:rPr>
        <w:t xml:space="preserve">националните правоприлагащи органи, </w:t>
      </w:r>
      <w:r>
        <w:rPr>
          <w:rStyle w:val="normaltextrun"/>
          <w:noProof/>
        </w:rPr>
        <w:t xml:space="preserve">мрежата участва в обсъждания на прилагането на директивата въз основа на годишните доклади на ДЧ (член 10, параграф 2). Тя има за цел да се гарантира общ подход по отношение на прилагането на правилата, определени в директивата, и споделянето на добри практики, нови разработки и нови инструменти за правоприлагане. Освен това, тя може да издава препоръки като част от своите съвместни усилия за подобряване на рамката за правоприлагане. </w:t>
      </w:r>
    </w:p>
    <w:p w14:paraId="5D7359F6" w14:textId="0E6F064A" w:rsidR="00EA6712" w:rsidRPr="00187A5D" w:rsidRDefault="00EA6712" w:rsidP="00EA6712">
      <w:pPr>
        <w:pStyle w:val="paragraph"/>
        <w:jc w:val="both"/>
        <w:rPr>
          <w:b/>
          <w:noProof/>
        </w:rPr>
      </w:pPr>
      <w:r>
        <w:rPr>
          <w:rStyle w:val="normaltextrun"/>
          <w:noProof/>
        </w:rPr>
        <w:t>От създаването си през юни 2022 г. мрежата е провела две заседания на равнище ръководители на правоприлагащите органи и две на техническо равнище. В допълнение към това тя я провела специални заседания, насочени към по-задълбочено обсъждане на конкретни теми от техническо естество. От 2022 г. насам са проведени пет такива специални заседания. Сред обсъдените теми са например изчисляването на праговете на оборота, правоприлагането в трансграничен контекст и обединенията за съвместни покупки. При обсъждането на правоприлагането в трансграничен контекст са идентифицирани възможните области за подобрение, подробно описани в раздел 3.5.</w:t>
      </w:r>
    </w:p>
    <w:p w14:paraId="2D4F27DB" w14:textId="167ADFAA" w:rsidR="00EA6712" w:rsidRPr="00CF2E9C" w:rsidRDefault="00EA6712" w:rsidP="00EA6712">
      <w:pPr>
        <w:pStyle w:val="Heading3"/>
        <w:tabs>
          <w:tab w:val="clear" w:pos="1842"/>
          <w:tab w:val="num" w:pos="851"/>
        </w:tabs>
        <w:spacing w:before="0" w:after="240"/>
        <w:ind w:left="0" w:firstLine="0"/>
        <w:rPr>
          <w:rFonts w:eastAsiaTheme="minorEastAsia"/>
          <w:b/>
          <w:i w:val="0"/>
          <w:noProof/>
        </w:rPr>
      </w:pPr>
      <w:bookmarkStart w:id="45" w:name="_Toc164695753"/>
      <w:r>
        <w:rPr>
          <w:b/>
          <w:i w:val="0"/>
          <w:noProof/>
        </w:rPr>
        <w:t>Публикуване на годишните доклад</w:t>
      </w:r>
      <w:r w:rsidR="00774BB8">
        <w:rPr>
          <w:b/>
          <w:i w:val="0"/>
          <w:noProof/>
        </w:rPr>
        <w:t>и</w:t>
      </w:r>
      <w:r>
        <w:rPr>
          <w:b/>
          <w:i w:val="0"/>
          <w:noProof/>
        </w:rPr>
        <w:t xml:space="preserve"> за дейностите на правоприлагащите органи (член 10)</w:t>
      </w:r>
      <w:bookmarkEnd w:id="45"/>
    </w:p>
    <w:p w14:paraId="50B8CF34" w14:textId="77777777" w:rsidR="00EA6712" w:rsidRDefault="00EA6712" w:rsidP="00EA6712">
      <w:pPr>
        <w:pStyle w:val="Text1"/>
        <w:spacing w:after="240"/>
        <w:ind w:left="0"/>
        <w:rPr>
          <w:noProof/>
        </w:rPr>
      </w:pPr>
      <w:bookmarkStart w:id="46" w:name="_Hlk160782132"/>
      <w:r>
        <w:rPr>
          <w:noProof/>
        </w:rPr>
        <w:t xml:space="preserve">За да се подобри достъпът до годишните доклади, публикувани от националните правоприлагащи органи на техните уебсайтове </w:t>
      </w:r>
      <w:r>
        <w:rPr>
          <w:rStyle w:val="normaltextrun"/>
          <w:noProof/>
        </w:rPr>
        <w:t>(член 10, параграф 1)</w:t>
      </w:r>
      <w:r>
        <w:rPr>
          <w:noProof/>
        </w:rPr>
        <w:t xml:space="preserve">, </w:t>
      </w:r>
      <w:r>
        <w:rPr>
          <w:rStyle w:val="normaltextrun"/>
          <w:noProof/>
        </w:rPr>
        <w:t>Комисията</w:t>
      </w:r>
      <w:r>
        <w:rPr>
          <w:noProof/>
        </w:rPr>
        <w:t xml:space="preserve"> възнамерява да публикува връзките към тях в консолидиран вид на уебстраницата за НТП</w:t>
      </w:r>
      <w:r w:rsidRPr="001E552B">
        <w:rPr>
          <w:rStyle w:val="FootnoteReference"/>
          <w:noProof/>
        </w:rPr>
        <w:footnoteReference w:id="37"/>
      </w:r>
      <w:r>
        <w:rPr>
          <w:noProof/>
        </w:rPr>
        <w:t xml:space="preserve"> през 2024 г.</w:t>
      </w:r>
    </w:p>
    <w:bookmarkEnd w:id="46"/>
    <w:p w14:paraId="5CF1E524" w14:textId="5C40BAD5" w:rsidR="00EA6712" w:rsidRPr="003E394E" w:rsidRDefault="00EA6712" w:rsidP="00EA6712">
      <w:pPr>
        <w:pStyle w:val="Text1"/>
        <w:spacing w:after="240"/>
        <w:ind w:left="0"/>
        <w:rPr>
          <w:noProof/>
        </w:rPr>
      </w:pPr>
      <w:r>
        <w:rPr>
          <w:noProof/>
        </w:rPr>
        <w:t>Като се има предвид, че прилагането на националното законодателство за транспониране започна на 1 ноември 2021 г. за нови споразумения и най-късно 12 месеца след публикуването на това законодателство — за съществуващите договори, се наблюдават различни срокове за транспониране в ДЧ. Това разминаване доведе до отклонения в броя на случаите на изпълнение, докладвани досега</w:t>
      </w:r>
      <w:r>
        <w:rPr>
          <w:rStyle w:val="FootnoteReference"/>
          <w:noProof/>
        </w:rPr>
        <w:footnoteReference w:id="38"/>
      </w:r>
      <w:r>
        <w:rPr>
          <w:noProof/>
        </w:rPr>
        <w:t xml:space="preserve">. Някои ДЧ обръщат специално внимание на предоставянето на насоки на доставчиците и купувачите, за да се гарантира спазването на правилата, а други проведоха проучвания в хранително-вкусовия сектор или започнаха редица разследвания по собствена инициатива (т.е. разследвания, които не се основават на оплаквания или сигнали). През 2023 г. около 75 % от делата и разследванията по собствена инициатива са от ES поради предишния опит в правоприлагането и наличните ресурси. Разкрити са 269 нарушения (около 27 % от приключените разследвания), което е довело до обща финансова санкция в размер над 22 милиона евро. Нивото на финансовите санкции е различно в рамките на ЕС. </w:t>
      </w:r>
    </w:p>
    <w:p w14:paraId="46F07B75" w14:textId="1F3BD9E0" w:rsidR="00EA6712" w:rsidRDefault="00A7534D" w:rsidP="00EA6712">
      <w:pPr>
        <w:pStyle w:val="Text1"/>
        <w:spacing w:after="240"/>
        <w:ind w:left="0"/>
        <w:rPr>
          <w:noProof/>
        </w:rPr>
      </w:pPr>
      <w:r>
        <w:rPr>
          <w:noProof/>
        </w:rPr>
        <w:t xml:space="preserve">Най-често разкриваните НТП са забавени плащания за нетрайни (след 30 дни) или трайни (след 60 дни) селскостопански и хранителни продукти (50 % и 13 %), плащания, несвързани с конкретна сделка (7 %), искания за плащане от доставчика за маркетингови действия (7 %), както и за складиране, излагане и включване в продуктовата гама (7 %). Около 41 % от откритите НТП са били идентифицирани на ниво търговия на дребно (47 % през 2022 г.), 36 % на ниво преработка (27 % през 2022 г.) и 22 % на ниво търговия на едро (25 % през 2022 г.). </w:t>
      </w:r>
    </w:p>
    <w:p w14:paraId="12BD0821" w14:textId="76D8FFC2" w:rsidR="00EA6712" w:rsidRDefault="00EA6712" w:rsidP="008B70E5">
      <w:pPr>
        <w:pStyle w:val="Text1"/>
        <w:spacing w:after="240"/>
        <w:ind w:left="0"/>
        <w:rPr>
          <w:noProof/>
        </w:rPr>
      </w:pPr>
      <w:bookmarkStart w:id="47" w:name="_Hlk161823587"/>
      <w:r>
        <w:rPr>
          <w:noProof/>
        </w:rPr>
        <w:t>Общ преглед на обобщените данни за дейностите по правоприлагане на ДЧ през 2022 г. и отчасти за 2023 г.</w:t>
      </w:r>
      <w:r w:rsidRPr="008B70E5">
        <w:rPr>
          <w:rStyle w:val="FootnoteReference"/>
          <w:noProof/>
          <w:lang w:val="en-IE"/>
        </w:rPr>
        <w:footnoteReference w:id="39"/>
      </w:r>
      <w:r>
        <w:rPr>
          <w:noProof/>
        </w:rPr>
        <w:t xml:space="preserve"> е поместен в SWD.</w:t>
      </w:r>
    </w:p>
    <w:bookmarkEnd w:id="47"/>
    <w:p w14:paraId="78ED9E8B" w14:textId="06FE73EB" w:rsidR="00EA6712" w:rsidRPr="00921455" w:rsidRDefault="00EA6712" w:rsidP="00C81092">
      <w:pPr>
        <w:spacing w:line="240" w:lineRule="auto"/>
        <w:jc w:val="both"/>
        <w:rPr>
          <w:rFonts w:ascii="Times New Roman" w:hAnsi="Times New Roman" w:cs="Times New Roman"/>
          <w:noProof/>
          <w:sz w:val="24"/>
          <w:szCs w:val="24"/>
        </w:rPr>
      </w:pPr>
      <w:r>
        <w:rPr>
          <w:rFonts w:ascii="Times New Roman" w:hAnsi="Times New Roman"/>
          <w:noProof/>
          <w:sz w:val="24"/>
        </w:rPr>
        <w:t>В този контекст следва да се подчертае, че броят на извършените дейности по правоприлагане зависи от наличието на човешки ресурси в съответните органи, чието основно разпределение за прилагане на законодателството за НТП е различно в различните ДЧ</w:t>
      </w:r>
      <w:r w:rsidRPr="00921455">
        <w:rPr>
          <w:rStyle w:val="FootnoteReference"/>
          <w:rFonts w:ascii="Times New Roman" w:hAnsi="Times New Roman" w:cs="Times New Roman"/>
          <w:noProof/>
          <w:sz w:val="24"/>
          <w:szCs w:val="24"/>
        </w:rPr>
        <w:footnoteReference w:id="40"/>
      </w:r>
      <w:r>
        <w:rPr>
          <w:rFonts w:ascii="Times New Roman" w:hAnsi="Times New Roman"/>
          <w:noProof/>
          <w:sz w:val="24"/>
        </w:rPr>
        <w:t xml:space="preserve">. </w:t>
      </w:r>
    </w:p>
    <w:p w14:paraId="4EE8426A" w14:textId="77777777" w:rsidR="00EA6712" w:rsidRPr="00F71C02" w:rsidRDefault="00EA6712" w:rsidP="008B70E5">
      <w:pPr>
        <w:pStyle w:val="Heading2"/>
        <w:spacing w:before="0" w:after="240"/>
        <w:ind w:left="0" w:firstLine="0"/>
        <w:rPr>
          <w:noProof/>
        </w:rPr>
      </w:pPr>
      <w:bookmarkStart w:id="48" w:name="_Toc164695754"/>
      <w:r>
        <w:rPr>
          <w:noProof/>
        </w:rPr>
        <w:t>По-строги национални правила (член 9)</w:t>
      </w:r>
      <w:bookmarkEnd w:id="48"/>
    </w:p>
    <w:p w14:paraId="3F48C987" w14:textId="69691864" w:rsidR="00EA6712" w:rsidRPr="00F108D9" w:rsidRDefault="00EA6712" w:rsidP="008B70E5">
      <w:pPr>
        <w:pStyle w:val="Text1"/>
        <w:ind w:left="0"/>
        <w:rPr>
          <w:noProof/>
        </w:rPr>
      </w:pPr>
      <w:r>
        <w:rPr>
          <w:noProof/>
        </w:rPr>
        <w:t>Съгласно член 9 от директивата ДЧ могат да въведат по-строги правила, за да осигурят по-високо ниво на защита, при условие че те са съвместими с правилата за функционирането на вътрешния пазар. Това може да се отнася до по-строго определен обхват, както е посочено по-горе, или до практики, които не са посочени в директивата, като напр. забраната за продажба или покупка под производствените разходи, за препродажба на загуба или под покупната цена или всяко друго задължение за спазване на определено ценово ниво.</w:t>
      </w:r>
    </w:p>
    <w:p w14:paraId="445C51C3" w14:textId="05152279" w:rsidR="00EA6712" w:rsidRPr="00E072EB" w:rsidRDefault="00EA6712" w:rsidP="0044053C">
      <w:pPr>
        <w:pStyle w:val="Text1"/>
        <w:ind w:left="0"/>
        <w:rPr>
          <w:b/>
          <w:bCs/>
          <w:noProof/>
          <w:szCs w:val="24"/>
        </w:rPr>
      </w:pPr>
      <w:r>
        <w:rPr>
          <w:noProof/>
        </w:rPr>
        <w:t>„Продажби или покупки под себестойността“ и „препродажба на загуба“ не са конкретно уредени в директивата или Регламента за обща организация на селскостопанските пазари.  Въпреки че четири ДЧ са въвели разпоредба за „продажба или покупка под производствените разходи“</w:t>
      </w:r>
      <w:r w:rsidRPr="00137891">
        <w:rPr>
          <w:rStyle w:val="FootnoteReference"/>
          <w:noProof/>
          <w:szCs w:val="24"/>
        </w:rPr>
        <w:footnoteReference w:id="41"/>
      </w:r>
      <w:r>
        <w:rPr>
          <w:noProof/>
        </w:rPr>
        <w:t xml:space="preserve">, </w:t>
      </w:r>
      <w:r>
        <w:rPr>
          <w:noProof/>
          <w:color w:val="231F20"/>
        </w:rPr>
        <w:t>три ДЧ са въвели разпоредба за „препродажба на загуба“</w:t>
      </w:r>
      <w:r w:rsidRPr="00137891">
        <w:rPr>
          <w:rStyle w:val="FootnoteReference"/>
          <w:rFonts w:eastAsiaTheme="minorEastAsia"/>
          <w:noProof/>
          <w:color w:val="231F20"/>
          <w:szCs w:val="24"/>
        </w:rPr>
        <w:footnoteReference w:id="42"/>
      </w:r>
      <w:r>
        <w:rPr>
          <w:noProof/>
          <w:color w:val="231F20"/>
        </w:rPr>
        <w:t>, а две — за друго задължение за спазване на определено ценово ниво</w:t>
      </w:r>
      <w:r>
        <w:rPr>
          <w:rStyle w:val="FootnoteReference"/>
          <w:rFonts w:eastAsiaTheme="minorEastAsia"/>
          <w:noProof/>
          <w:color w:val="231F20"/>
          <w:szCs w:val="24"/>
        </w:rPr>
        <w:footnoteReference w:id="43"/>
      </w:r>
      <w:r>
        <w:rPr>
          <w:noProof/>
          <w:color w:val="231F20"/>
        </w:rPr>
        <w:t>.</w:t>
      </w:r>
      <w:r>
        <w:rPr>
          <w:b/>
          <w:noProof/>
          <w:color w:val="000000" w:themeColor="text1"/>
        </w:rPr>
        <w:t xml:space="preserve"> </w:t>
      </w:r>
    </w:p>
    <w:p w14:paraId="24B98740" w14:textId="77777777" w:rsidR="00EA6712" w:rsidRPr="00DD5F7F" w:rsidRDefault="00EA6712" w:rsidP="00EA6712">
      <w:pPr>
        <w:pStyle w:val="Heading2"/>
        <w:rPr>
          <w:noProof/>
        </w:rPr>
      </w:pPr>
      <w:bookmarkStart w:id="49" w:name="_Toc164695755"/>
      <w:r>
        <w:rPr>
          <w:noProof/>
        </w:rPr>
        <w:t>Фокус върху правоприлагането в трансграничен контекст</w:t>
      </w:r>
      <w:bookmarkEnd w:id="49"/>
    </w:p>
    <w:p w14:paraId="7C865AD1" w14:textId="3ED983C0" w:rsidR="00EA6712" w:rsidRPr="006B2FF4" w:rsidRDefault="00EA6712" w:rsidP="006B4D56">
      <w:pPr>
        <w:pStyle w:val="Text1"/>
        <w:ind w:left="0"/>
        <w:rPr>
          <w:noProof/>
          <w:szCs w:val="24"/>
        </w:rPr>
      </w:pPr>
      <w:r>
        <w:rPr>
          <w:noProof/>
        </w:rPr>
        <w:t>През 2019 г. 17 % от селскостопанските продукти на ЕС, консумирани в дадена ДЧ, са с произход от друга ДЧ</w:t>
      </w:r>
      <w:r>
        <w:rPr>
          <w:rStyle w:val="FootnoteReference"/>
          <w:bCs/>
          <w:noProof/>
          <w:szCs w:val="24"/>
        </w:rPr>
        <w:footnoteReference w:id="44"/>
      </w:r>
      <w:r>
        <w:rPr>
          <w:noProof/>
        </w:rPr>
        <w:t xml:space="preserve">. Обменът на информация относно общите подходи за правоприлагане в мрежата се счита за полезен и за успех на директивата. В обсъжданията между правоприлагащите органи в мрежата се отбелязва, че общото задължение по член 8 да си оказват взаимна помощ при трансгранични разследвания може не винаги да осигурява достатъчно правно основание за гарантиране на ефективно и ефикасно сътрудничество и правоприлагане. Това важи особено за случаите в трансграничен контекст, при които купувачите, участващи в търговски практики, се намират в ДЧ, различна от тази, в която е установен доставчикът. При такива ситуации се изисква обмен на поверителна информация, евентуално приемане на мерки за принудително изпълнение срещу купувач, установен в ДЧ, различна от тази, в която се намира правоприлагащият орган на доставчика, или преразпределение на дела в мрежата от правоприлагащите органи, както и събиране на глоби. Това може да доведе и до проблеми, свързани с езиците, използвани при обмена. Влияние върху такива трудности може да окаже и различният избор при различните видове правоприлагащи органи, определени от ДЧ </w:t>
      </w:r>
      <w:bookmarkStart w:id="50" w:name="_Hlk163565588"/>
      <w:r>
        <w:rPr>
          <w:noProof/>
        </w:rPr>
        <w:t xml:space="preserve">(напр. органите за защита на конкуренцията разполагат с правни инструменти, чрез които могат да си сътрудничат по-лесно, отколкото други правоприлагащи органи). </w:t>
      </w:r>
      <w:bookmarkEnd w:id="50"/>
      <w:r>
        <w:rPr>
          <w:noProof/>
        </w:rPr>
        <w:t>Освен това купувачите на селскостопански и хранителни продукти могат да доставят продукти в няколко ДЧ, което предполага необходимост от координиране на действията на правоприлагащите органи. В този контекст Комисията счита, че може да са необходими нови правила за правоприлагането в трансграничен контекст срещу нелоялните търговски практики</w:t>
      </w:r>
      <w:r w:rsidRPr="006B2FF4">
        <w:rPr>
          <w:rStyle w:val="FootnoteReference"/>
          <w:noProof/>
          <w:szCs w:val="24"/>
        </w:rPr>
        <w:footnoteReference w:id="45"/>
      </w:r>
      <w:r>
        <w:rPr>
          <w:noProof/>
        </w:rPr>
        <w:t>. Тези нови правила ще имат за цел да се подобри обменът на информация между компетентните правоприлагащи органи или да се предостави възможност за координирани действия спрямо купувачите в трансграничен контекст.</w:t>
      </w:r>
    </w:p>
    <w:p w14:paraId="07A68ED0" w14:textId="6506D946" w:rsidR="001D6A4B" w:rsidRPr="00774BB8" w:rsidRDefault="00A475CC" w:rsidP="00774BB8">
      <w:pPr>
        <w:pStyle w:val="ListParagraph"/>
        <w:ind w:left="0"/>
        <w:jc w:val="both"/>
        <w:rPr>
          <w:rFonts w:ascii="Times New Roman" w:eastAsia="Times New Roman" w:hAnsi="Times New Roman" w:cs="Times New Roman"/>
          <w:noProof/>
          <w:sz w:val="24"/>
          <w:szCs w:val="20"/>
          <w:lang w:eastAsia="en-GB"/>
        </w:rPr>
      </w:pPr>
      <w:r w:rsidRPr="00774BB8">
        <w:rPr>
          <w:rFonts w:ascii="Times New Roman" w:eastAsia="Times New Roman" w:hAnsi="Times New Roman" w:cs="Times New Roman"/>
          <w:noProof/>
          <w:sz w:val="24"/>
          <w:szCs w:val="20"/>
          <w:lang w:eastAsia="en-GB"/>
        </w:rPr>
        <w:t>Част от обсъжданията в рамките на мрежата бяха насочени и към трансграничния характер на разглеждането на жалби срещу НТП по отношение на обединенията за съвместни покупки</w:t>
      </w:r>
      <w:r w:rsidR="004370A2" w:rsidRPr="00774BB8">
        <w:rPr>
          <w:rStyle w:val="FootnoteReference"/>
          <w:rFonts w:ascii="Times New Roman" w:hAnsi="Times New Roman" w:cs="Times New Roman"/>
          <w:noProof/>
          <w:sz w:val="24"/>
          <w:szCs w:val="24"/>
          <w:lang w:eastAsia="en-GB"/>
        </w:rPr>
        <w:footnoteReference w:id="46"/>
      </w:r>
      <w:r w:rsidRPr="00774BB8">
        <w:rPr>
          <w:rFonts w:ascii="Times New Roman" w:eastAsia="Times New Roman" w:hAnsi="Times New Roman" w:cs="Times New Roman"/>
          <w:noProof/>
          <w:sz w:val="24"/>
          <w:szCs w:val="20"/>
          <w:lang w:eastAsia="en-GB"/>
        </w:rPr>
        <w:t>. Макар да следва да се отбележи, че обединенията за съвместни покупки са предмет на Директивата относно НТП както и останалите купувачи и поради това няма особена причина те да бъдат третирани по различен начин, мрежата подчерта в своите обсъждания предизвикателствата, свързани с местоположението на тези обединения, в някои случаи извън ЕС, както и натиска, упражняван върху ресурсите на правоприлагащия орган.</w:t>
      </w:r>
      <w:bookmarkStart w:id="51" w:name="_Toc160695403"/>
      <w:bookmarkEnd w:id="51"/>
    </w:p>
    <w:p w14:paraId="05964BDA" w14:textId="5B08C935" w:rsidR="00F1366D" w:rsidRPr="00F1366D" w:rsidRDefault="002A351E" w:rsidP="00EA6712">
      <w:pPr>
        <w:pStyle w:val="Text1"/>
        <w:spacing w:after="240"/>
        <w:ind w:left="0"/>
        <w:rPr>
          <w:noProof/>
        </w:rPr>
      </w:pPr>
      <w:r>
        <w:rPr>
          <w:noProof/>
        </w:rPr>
        <w:t>В доклад на JRC</w:t>
      </w:r>
      <w:r w:rsidRPr="00F1366D">
        <w:rPr>
          <w:rStyle w:val="FootnoteReference"/>
          <w:noProof/>
          <w:lang w:val="en-IE"/>
        </w:rPr>
        <w:footnoteReference w:id="47"/>
      </w:r>
      <w:r>
        <w:rPr>
          <w:noProof/>
        </w:rPr>
        <w:t xml:space="preserve"> от май 2020 г.</w:t>
      </w:r>
      <w:r w:rsidR="00EA6712" w:rsidRPr="00F1366D">
        <w:rPr>
          <w:rStyle w:val="FootnoteReference"/>
          <w:noProof/>
          <w:lang w:val="en-IE"/>
        </w:rPr>
        <w:footnoteReference w:id="48"/>
      </w:r>
      <w:r>
        <w:rPr>
          <w:noProof/>
        </w:rPr>
        <w:t xml:space="preserve"> се посочва, че националните и европейските обединения за съвместни покупки могат да играят роля за насърчаването на конкуренцията във веригата за доставки на храни и да оказват положително въздействие върху потребителските цени</w:t>
      </w:r>
      <w:r w:rsidR="00823F12" w:rsidRPr="00F1366D">
        <w:rPr>
          <w:rStyle w:val="FootnoteReference"/>
          <w:noProof/>
          <w:lang w:val="en-US"/>
        </w:rPr>
        <w:footnoteReference w:id="49"/>
      </w:r>
      <w:r>
        <w:rPr>
          <w:noProof/>
        </w:rPr>
        <w:t>. В същото време в документа се прави и заключението, че ролята на обединенията за съвместни покупки по отношение на участниците нагоре по веригата, като например земеделските стопани, не е ясна и налага допълнително проучване. Комисията възнамерява да актуализира тези резултати през 2024 г.</w:t>
      </w:r>
    </w:p>
    <w:p w14:paraId="1BA95A03" w14:textId="5BF5E148" w:rsidR="00EA6712" w:rsidRPr="002A4B2B" w:rsidRDefault="008F17AA" w:rsidP="00EA6712">
      <w:pPr>
        <w:pStyle w:val="Heading1"/>
        <w:spacing w:before="0" w:after="240"/>
        <w:ind w:left="0" w:firstLine="0"/>
        <w:rPr>
          <w:noProof/>
          <w:szCs w:val="24"/>
        </w:rPr>
      </w:pPr>
      <w:r>
        <w:rPr>
          <w:noProof/>
        </w:rPr>
        <w:t xml:space="preserve"> </w:t>
      </w:r>
      <w:bookmarkStart w:id="52" w:name="_Toc164695756"/>
      <w:r>
        <w:rPr>
          <w:noProof/>
        </w:rPr>
        <w:t>Оценка на директивата (член 12)</w:t>
      </w:r>
      <w:bookmarkEnd w:id="52"/>
    </w:p>
    <w:p w14:paraId="4AEEE30E" w14:textId="0E49AC00" w:rsidR="00EA6712" w:rsidRDefault="00EA6712" w:rsidP="00EA6712">
      <w:pPr>
        <w:pStyle w:val="Text1"/>
        <w:ind w:left="0"/>
        <w:rPr>
          <w:noProof/>
        </w:rPr>
      </w:pPr>
      <w:r>
        <w:rPr>
          <w:noProof/>
        </w:rPr>
        <w:t>Съгласно директивата Комисията трябва да извърши до 1 ноември 2025 г. първата оценка</w:t>
      </w:r>
      <w:r>
        <w:rPr>
          <w:rStyle w:val="FootnoteReference"/>
          <w:noProof/>
        </w:rPr>
        <w:footnoteReference w:id="50"/>
      </w:r>
      <w:r>
        <w:rPr>
          <w:noProof/>
        </w:rPr>
        <w:t xml:space="preserve"> на директивата. Оценката ще се основава на резултата от помощно проучване, в рамките на което ще бъдат организирани подходящи целеви консултации с всички участващи заинтересовани страни, доставчици и купувачи.</w:t>
      </w:r>
    </w:p>
    <w:p w14:paraId="4989723E" w14:textId="1BB42A9E" w:rsidR="00EA6712" w:rsidRDefault="00EA6712" w:rsidP="00EA6712">
      <w:pPr>
        <w:pStyle w:val="Text1"/>
        <w:ind w:left="0"/>
        <w:rPr>
          <w:noProof/>
        </w:rPr>
      </w:pPr>
      <w:r>
        <w:rPr>
          <w:noProof/>
        </w:rPr>
        <w:t xml:space="preserve">За да допринесе за тази оценка, </w:t>
      </w:r>
      <w:r>
        <w:rPr>
          <w:rStyle w:val="normaltextrun"/>
          <w:noProof/>
        </w:rPr>
        <w:t>Комисията</w:t>
      </w:r>
      <w:r>
        <w:rPr>
          <w:noProof/>
        </w:rPr>
        <w:t xml:space="preserve"> провежда, </w:t>
      </w:r>
      <w:r>
        <w:rPr>
          <w:i/>
          <w:noProof/>
        </w:rPr>
        <w:t>inter alia</w:t>
      </w:r>
      <w:r>
        <w:rPr>
          <w:noProof/>
        </w:rPr>
        <w:t xml:space="preserve">, </w:t>
      </w:r>
      <w:r>
        <w:rPr>
          <w:b/>
          <w:noProof/>
        </w:rPr>
        <w:t>годишни проучвания във всички държави от ЕС,</w:t>
      </w:r>
      <w:r>
        <w:rPr>
          <w:noProof/>
        </w:rPr>
        <w:t xml:space="preserve"> като започва с базово проучване през 2020 г</w:t>
      </w:r>
      <w:r>
        <w:rPr>
          <w:rStyle w:val="FootnoteReference"/>
          <w:noProof/>
        </w:rPr>
        <w:footnoteReference w:id="51"/>
      </w:r>
      <w:r>
        <w:rPr>
          <w:noProof/>
        </w:rPr>
        <w:t xml:space="preserve">. </w:t>
      </w:r>
    </w:p>
    <w:p w14:paraId="38F08C6A" w14:textId="3B582FED" w:rsidR="00EA6712" w:rsidRDefault="00EA6712" w:rsidP="00EA6712">
      <w:pPr>
        <w:pStyle w:val="Text1"/>
        <w:ind w:left="0"/>
        <w:rPr>
          <w:noProof/>
        </w:rPr>
      </w:pPr>
      <w:r>
        <w:rPr>
          <w:noProof/>
        </w:rPr>
        <w:t>Освен това някои ДЧ вече са извършили свои собствени първи оценки, като DE</w:t>
      </w:r>
      <w:r>
        <w:rPr>
          <w:rStyle w:val="FootnoteReference"/>
          <w:noProof/>
        </w:rPr>
        <w:footnoteReference w:id="52"/>
      </w:r>
      <w:r>
        <w:rPr>
          <w:noProof/>
        </w:rPr>
        <w:t xml:space="preserve"> и SE</w:t>
      </w:r>
      <w:r>
        <w:rPr>
          <w:rStyle w:val="FootnoteReference"/>
          <w:noProof/>
        </w:rPr>
        <w:footnoteReference w:id="53"/>
      </w:r>
      <w:r>
        <w:rPr>
          <w:noProof/>
        </w:rPr>
        <w:t>.</w:t>
      </w:r>
    </w:p>
    <w:p w14:paraId="7F479AD1" w14:textId="77777777" w:rsidR="00EA6712" w:rsidRPr="00E3367E" w:rsidRDefault="00EA6712" w:rsidP="00EA6712">
      <w:pPr>
        <w:pStyle w:val="Heading1"/>
        <w:spacing w:after="360"/>
        <w:ind w:left="0" w:firstLine="0"/>
        <w:rPr>
          <w:noProof/>
        </w:rPr>
      </w:pPr>
      <w:bookmarkStart w:id="53" w:name="_Toc78452832"/>
      <w:bookmarkStart w:id="54" w:name="_Toc78461443"/>
      <w:bookmarkStart w:id="55" w:name="_Toc164695757"/>
      <w:bookmarkEnd w:id="53"/>
      <w:r>
        <w:rPr>
          <w:noProof/>
        </w:rPr>
        <w:t>Заключения</w:t>
      </w:r>
      <w:bookmarkEnd w:id="54"/>
      <w:bookmarkEnd w:id="55"/>
    </w:p>
    <w:p w14:paraId="3BC48C0B" w14:textId="41E81AE1" w:rsidR="006D0504" w:rsidRDefault="00EA6712" w:rsidP="00EA6712">
      <w:pPr>
        <w:pStyle w:val="Text1"/>
        <w:spacing w:before="0" w:after="240"/>
        <w:ind w:left="0"/>
        <w:rPr>
          <w:noProof/>
        </w:rPr>
      </w:pPr>
      <w:r>
        <w:rPr>
          <w:noProof/>
        </w:rPr>
        <w:t xml:space="preserve">Директивата относно НТП има за цел да преодолее, посредством минимална хармонизация на равнището на ЕС, досегашната ситуация, </w:t>
      </w:r>
      <w:r w:rsidR="00774BB8">
        <w:rPr>
          <w:noProof/>
        </w:rPr>
        <w:t xml:space="preserve">която се </w:t>
      </w:r>
      <w:r>
        <w:rPr>
          <w:noProof/>
        </w:rPr>
        <w:t>характеризира</w:t>
      </w:r>
      <w:r w:rsidR="00774BB8">
        <w:rPr>
          <w:noProof/>
        </w:rPr>
        <w:t>ше</w:t>
      </w:r>
      <w:r>
        <w:rPr>
          <w:noProof/>
        </w:rPr>
        <w:t xml:space="preserve"> с фрагментирани национални законодателства. Към декември 2022 г. директивата е транспонирана в националните законодателства на всички ДЧ.</w:t>
      </w:r>
    </w:p>
    <w:p w14:paraId="790B3BBC" w14:textId="286F76FD" w:rsidR="00EA6712" w:rsidRPr="00F108D9" w:rsidRDefault="00EA6712" w:rsidP="00EA6712">
      <w:pPr>
        <w:pStyle w:val="Text1"/>
        <w:spacing w:before="0" w:after="240"/>
        <w:ind w:left="0"/>
        <w:rPr>
          <w:noProof/>
        </w:rPr>
      </w:pPr>
      <w:r>
        <w:rPr>
          <w:noProof/>
        </w:rPr>
        <w:t>Голяма част от тези ДЧ са въвели равнище на защита, по-високо от установеното в директивата минимално ниво. Въвеждането на национални правила, които са по-строги от тези в директивата, е възможно, при условие че се спазват правилата на вътрешния пазар на ЕС. Като цяло ДЧ следват секторния подход и прилагат директивата единствено във веригата за доставки на селскостопански и хранителни продукти. По отношение на обхвата, повече от половината от ДЧ се отклоняват от категориите за оборот, така както са определени в директивата, като някои прилагат правилата независимо от оборота на съответните оператори. Повечето ДЧ са разширили списъка с НТП, като са направили забраните на директивата по-строги, например като са превърнали „сивите“ практики в „черни“ или като са добавили още забрани за търговски практики към посочените в директивата. За разлика от тях, ДЧ, които не са имали такова законодателство преди директивата, като цяло са се съобразили с обхвата на директивата. Въпреки това все още не е приключила проверката за съответствие, с която се оценява съвместимостта на националните мерки за транспониране с директивата.</w:t>
      </w:r>
    </w:p>
    <w:p w14:paraId="3EFF8638" w14:textId="005C12F1" w:rsidR="00EA6712" w:rsidRDefault="006D0504" w:rsidP="00EA6712">
      <w:pPr>
        <w:pStyle w:val="Text1"/>
        <w:spacing w:before="0" w:after="240"/>
        <w:ind w:left="0"/>
        <w:rPr>
          <w:noProof/>
        </w:rPr>
      </w:pPr>
      <w:r>
        <w:rPr>
          <w:noProof/>
        </w:rPr>
        <w:t>В поредица от заседания мрежата от национални правоприлагащи органи е осъществила сътрудничество, обменила е най-добри практики за прилагането на тази нова директива и работи по начини за засилване на сътрудничеството в някои области, като например правоприлагането в трансграничен контекст. Стартирането на новата обсерватория за производствените разходи, маржовете и търговските практики във веригата за доставки на селскостопански и хранителни продукти допълнително ще допринесе за повишаване на прозрачността и доверието.</w:t>
      </w:r>
    </w:p>
    <w:p w14:paraId="6BCCF3F9" w14:textId="674F6A4F" w:rsidR="00EA6712" w:rsidRDefault="00EA6712" w:rsidP="00EA6712">
      <w:pPr>
        <w:pStyle w:val="Text1"/>
        <w:spacing w:after="240"/>
        <w:ind w:left="0"/>
        <w:rPr>
          <w:noProof/>
        </w:rPr>
      </w:pPr>
      <w:r>
        <w:rPr>
          <w:noProof/>
        </w:rPr>
        <w:t>Подобряването на позицията на земеделските стопани във веригата за доставки на храни, подпомагането на техните доходи и осигуряването на справедливо възнаграждение са важни цели на политиката с оглед подпомагане на конкурентоспособността, устойчивостта и издръжливостта на селскостопанския сектор. Усещането за неравнопоставеност и загрижеността относно жизнеспособността на селскостопанската дейност, свързани, наред с другото, с възможните дисбаланси в позицията при водене на преговори в ущърб на земеделските стопани, подхраниха неотдавнашните им протести. Мерките, обхванати от посочения по-горе документ за обсъждане, показват значението, което Комисията отдава на укрепването на позицията на земеделските стопани във веригата за доставки на храни.</w:t>
      </w:r>
    </w:p>
    <w:p w14:paraId="56329BCA" w14:textId="1A26EFE7" w:rsidR="0068186B" w:rsidRDefault="00EA6712" w:rsidP="00EA6712">
      <w:pPr>
        <w:pStyle w:val="Text1"/>
        <w:spacing w:before="0" w:after="240"/>
        <w:ind w:left="0"/>
        <w:rPr>
          <w:noProof/>
        </w:rPr>
      </w:pPr>
      <w:r>
        <w:rPr>
          <w:noProof/>
        </w:rPr>
        <w:t>Въпреки че е нов инструмент, с Директивата относно НТП се дава отговор на някои от тези опасения, като на земеделските стопани и относително по-слабите доставчици във веригата за доставки на храни се дава възможност да работят по един по-сигурен и ефективен начин благодарение на по-справедливите търговски практики и безпрепятствено да изразяват както мнението си, така и своето недоволство. Процесът на правоприлагане набира сила и ще допринася за осигуряването на все по-</w:t>
      </w:r>
      <w:r w:rsidR="00774BB8">
        <w:rPr>
          <w:noProof/>
        </w:rPr>
        <w:t>голяма</w:t>
      </w:r>
      <w:r>
        <w:rPr>
          <w:noProof/>
        </w:rPr>
        <w:t xml:space="preserve"> защита на земеделските стопани и по-слабите доставчици. Оценката, планирана за 2025 г., ще бъде </w:t>
      </w:r>
      <w:bookmarkEnd w:id="1"/>
      <w:r>
        <w:rPr>
          <w:noProof/>
        </w:rPr>
        <w:t>моментът за обсъждане на евентуалната необходимост от приспособяване на самата директива и на параметрите ѝ по отношение на обхвата или разглежданите практики.</w:t>
      </w:r>
      <w:bookmarkEnd w:id="2"/>
      <w:r>
        <w:rPr>
          <w:noProof/>
        </w:rPr>
        <w:t xml:space="preserve"> </w:t>
      </w:r>
    </w:p>
    <w:sectPr w:rsidR="0068186B" w:rsidSect="00EA671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F3A07" w14:textId="77777777" w:rsidR="003F22E9" w:rsidRDefault="003F22E9" w:rsidP="00EA6712">
      <w:pPr>
        <w:spacing w:after="0" w:line="240" w:lineRule="auto"/>
      </w:pPr>
      <w:r>
        <w:separator/>
      </w:r>
    </w:p>
  </w:endnote>
  <w:endnote w:type="continuationSeparator" w:id="0">
    <w:p w14:paraId="437B38E3" w14:textId="77777777" w:rsidR="003F22E9" w:rsidRDefault="003F22E9" w:rsidP="00EA6712">
      <w:pPr>
        <w:spacing w:after="0" w:line="240" w:lineRule="auto"/>
      </w:pPr>
      <w:r>
        <w:continuationSeparator/>
      </w:r>
    </w:p>
  </w:endnote>
  <w:endnote w:type="continuationNotice" w:id="1">
    <w:p w14:paraId="2A3E9620" w14:textId="77777777" w:rsidR="003F22E9" w:rsidRDefault="003F2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F860" w14:textId="723403F7" w:rsidR="00C466D8" w:rsidRPr="00C466D8" w:rsidRDefault="00C466D8" w:rsidP="00C466D8">
    <w:pPr>
      <w:pStyle w:val="FooterCoverPage"/>
      <w:rPr>
        <w:rFonts w:ascii="Arial" w:hAnsi="Arial" w:cs="Arial"/>
        <w:b/>
        <w:sz w:val="48"/>
      </w:rPr>
    </w:pPr>
    <w:r w:rsidRPr="00C466D8">
      <w:rPr>
        <w:rFonts w:ascii="Arial" w:hAnsi="Arial" w:cs="Arial"/>
        <w:b/>
        <w:sz w:val="48"/>
      </w:rPr>
      <w:t>BG</w:t>
    </w:r>
    <w:r w:rsidRPr="00C466D8">
      <w:rPr>
        <w:rFonts w:ascii="Arial" w:hAnsi="Arial" w:cs="Arial"/>
        <w:b/>
        <w:sz w:val="48"/>
      </w:rPr>
      <w:tab/>
    </w:r>
    <w:r w:rsidRPr="00C466D8">
      <w:rPr>
        <w:rFonts w:ascii="Arial" w:hAnsi="Arial" w:cs="Arial"/>
        <w:b/>
        <w:sz w:val="48"/>
      </w:rPr>
      <w:tab/>
    </w:r>
    <w:r w:rsidRPr="00C466D8">
      <w:tab/>
    </w:r>
    <w:r w:rsidRPr="00C466D8">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8799D" w14:textId="09873E6F" w:rsidR="00C466D8" w:rsidRPr="00C466D8" w:rsidRDefault="00C466D8" w:rsidP="00C466D8">
    <w:pPr>
      <w:pStyle w:val="FooterCoverPage"/>
      <w:rPr>
        <w:rFonts w:ascii="Arial" w:hAnsi="Arial" w:cs="Arial"/>
        <w:b/>
        <w:sz w:val="48"/>
      </w:rPr>
    </w:pPr>
    <w:r w:rsidRPr="00C466D8">
      <w:rPr>
        <w:rFonts w:ascii="Arial" w:hAnsi="Arial" w:cs="Arial"/>
        <w:b/>
        <w:sz w:val="48"/>
      </w:rPr>
      <w:t>BG</w:t>
    </w:r>
    <w:r w:rsidRPr="00C466D8">
      <w:rPr>
        <w:rFonts w:ascii="Arial" w:hAnsi="Arial" w:cs="Arial"/>
        <w:b/>
        <w:sz w:val="48"/>
      </w:rPr>
      <w:tab/>
    </w:r>
    <w:r w:rsidRPr="00C466D8">
      <w:rPr>
        <w:rFonts w:ascii="Arial" w:hAnsi="Arial" w:cs="Arial"/>
        <w:b/>
        <w:sz w:val="48"/>
      </w:rPr>
      <w:tab/>
    </w:r>
    <w:r w:rsidRPr="00C466D8">
      <w:tab/>
    </w:r>
    <w:r w:rsidRPr="00C466D8">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7BA4" w14:textId="77777777" w:rsidR="00C466D8" w:rsidRPr="00C466D8" w:rsidRDefault="00C466D8" w:rsidP="00C466D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6819" w14:textId="77777777" w:rsidR="00EA6712" w:rsidRDefault="00EA67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252741"/>
      <w:docPartObj>
        <w:docPartGallery w:val="Page Numbers (Bottom of Page)"/>
        <w:docPartUnique/>
      </w:docPartObj>
    </w:sdtPr>
    <w:sdtEndPr>
      <w:rPr>
        <w:noProof/>
      </w:rPr>
    </w:sdtEndPr>
    <w:sdtContent>
      <w:p w14:paraId="48C26886" w14:textId="507B83ED" w:rsidR="00EA6712" w:rsidRDefault="00EA6712">
        <w:pPr>
          <w:pStyle w:val="Footer"/>
          <w:jc w:val="center"/>
        </w:pPr>
        <w:r>
          <w:fldChar w:fldCharType="begin"/>
        </w:r>
        <w:r>
          <w:instrText xml:space="preserve"> PAGE   \* MERGEFORMAT </w:instrText>
        </w:r>
        <w:r>
          <w:fldChar w:fldCharType="separate"/>
        </w:r>
        <w:r w:rsidR="00C466D8">
          <w:rPr>
            <w:noProof/>
          </w:rPr>
          <w:t>1</w:t>
        </w:r>
        <w:r>
          <w:fldChar w:fldCharType="end"/>
        </w:r>
      </w:p>
    </w:sdtContent>
  </w:sdt>
  <w:p w14:paraId="5F0C078A" w14:textId="77777777" w:rsidR="00EA6712" w:rsidRDefault="00EA67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DF197" w14:textId="77777777" w:rsidR="00EA6712" w:rsidRDefault="00EA6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2FF6B" w14:textId="77777777" w:rsidR="003F22E9" w:rsidRDefault="003F22E9" w:rsidP="00EA6712">
      <w:pPr>
        <w:spacing w:after="0" w:line="240" w:lineRule="auto"/>
      </w:pPr>
      <w:r>
        <w:separator/>
      </w:r>
    </w:p>
  </w:footnote>
  <w:footnote w:type="continuationSeparator" w:id="0">
    <w:p w14:paraId="1EF7D6E4" w14:textId="77777777" w:rsidR="003F22E9" w:rsidRDefault="003F22E9" w:rsidP="00EA6712">
      <w:pPr>
        <w:spacing w:after="0" w:line="240" w:lineRule="auto"/>
      </w:pPr>
      <w:r>
        <w:continuationSeparator/>
      </w:r>
    </w:p>
  </w:footnote>
  <w:footnote w:type="continuationNotice" w:id="1">
    <w:p w14:paraId="68231A68" w14:textId="77777777" w:rsidR="003F22E9" w:rsidRDefault="003F22E9">
      <w:pPr>
        <w:spacing w:after="0" w:line="240" w:lineRule="auto"/>
      </w:pPr>
    </w:p>
  </w:footnote>
  <w:footnote w:id="2">
    <w:p w14:paraId="5D636B91" w14:textId="4681FDC7" w:rsidR="00A76883" w:rsidRPr="00A76883" w:rsidRDefault="00A76883" w:rsidP="00A13839">
      <w:pPr>
        <w:pStyle w:val="FootnoteText"/>
        <w:ind w:left="170" w:hanging="170"/>
      </w:pPr>
      <w:r>
        <w:rPr>
          <w:rStyle w:val="FootnoteReference"/>
        </w:rPr>
        <w:footnoteRef/>
      </w:r>
      <w:r>
        <w:t> Директива (ЕС) 2019/633 на Европейския парламент и на Съвета от 17 април 2019 г. относно нелоялните търговски практики в отношенията между стопанските субекти във веригата за доставки на селскостопански и хранителни продукти</w:t>
      </w:r>
      <w:r>
        <w:rPr>
          <w:sz w:val="24"/>
        </w:rPr>
        <w:t xml:space="preserve"> </w:t>
      </w:r>
      <w:r>
        <w:t>(ОВ L 111, 25.4.2019 г., стр. 59).</w:t>
      </w:r>
    </w:p>
  </w:footnote>
  <w:footnote w:id="3">
    <w:p w14:paraId="2700CB54" w14:textId="77777777" w:rsidR="00AB553B" w:rsidRPr="000F7237" w:rsidRDefault="00AB553B" w:rsidP="00AB553B">
      <w:pPr>
        <w:pStyle w:val="FootnoteText"/>
      </w:pPr>
      <w:r>
        <w:rPr>
          <w:rStyle w:val="FootnoteReference"/>
        </w:rPr>
        <w:footnoteRef/>
      </w:r>
      <w:r>
        <w:t xml:space="preserve"> https://ec.europa.eu/commission/presscorner/detail/bg/ip_24_1493</w:t>
      </w:r>
    </w:p>
  </w:footnote>
  <w:footnote w:id="4">
    <w:p w14:paraId="5188176D" w14:textId="1CDF87BA" w:rsidR="007A0045" w:rsidRPr="00D554B3" w:rsidRDefault="007A0045" w:rsidP="006B4D56">
      <w:pPr>
        <w:pStyle w:val="FootnoteText"/>
        <w:ind w:left="170" w:hanging="170"/>
      </w:pPr>
      <w:r>
        <w:rPr>
          <w:rStyle w:val="FootnoteReference"/>
        </w:rPr>
        <w:footnoteRef/>
      </w:r>
      <w:r>
        <w:t xml:space="preserve"> Регламент (ЕС) № 1308/2013 на Европейския парламент и на Съвета от 17 декември 2013 г. за установяване на обща организация на пазарите на селскостопански продукти (ОВ L 347, 20.12.2013 г., стр. 671). </w:t>
      </w:r>
      <w:hyperlink r:id="rId1" w:history="1">
        <w:r>
          <w:rPr>
            <w:rStyle w:val="Hyperlink"/>
            <w:sz w:val="18"/>
          </w:rPr>
          <w:t>https://eur-lex.europa.eu/legal-content/BG/TXT/?uri=celex%3A32013R1308</w:t>
        </w:r>
      </w:hyperlink>
      <w:r>
        <w:rPr>
          <w:sz w:val="18"/>
        </w:rPr>
        <w:t>.</w:t>
      </w:r>
    </w:p>
  </w:footnote>
  <w:footnote w:id="5">
    <w:p w14:paraId="6EB078C2" w14:textId="0AEA66A9" w:rsidR="00E043A0" w:rsidRPr="006B4D56" w:rsidRDefault="00E043A0" w:rsidP="006B4D56">
      <w:pPr>
        <w:pStyle w:val="FootnoteText"/>
        <w:tabs>
          <w:tab w:val="left" w:pos="142"/>
        </w:tabs>
        <w:ind w:left="170" w:hanging="170"/>
        <w:rPr>
          <w:sz w:val="18"/>
          <w:szCs w:val="18"/>
        </w:rPr>
      </w:pPr>
      <w:r>
        <w:rPr>
          <w:rStyle w:val="FootnoteReference"/>
        </w:rPr>
        <w:footnoteRef/>
      </w:r>
      <w:r>
        <w:t xml:space="preserve"> </w:t>
      </w:r>
      <w:hyperlink r:id="rId2" w:history="1">
        <w:r>
          <w:rPr>
            <w:rStyle w:val="Hyperlink"/>
            <w:sz w:val="18"/>
          </w:rPr>
          <w:t>Доклад на Комисията до Европейския парламент, Съвета, Европейския икономически и социален комитет и Комитета на регионите относно транспонирането и прилагането на Директива (ЕС) 2019/633 на Европейския парламент и на Съвета от 17 април 2019 г. относно нелоялните търговски практики в отношенията между стопанските субекти във веригата за доставки на селскостопански и хранителни продукти</w:t>
        </w:r>
      </w:hyperlink>
      <w:r>
        <w:rPr>
          <w:rStyle w:val="Hyperlink"/>
          <w:sz w:val="18"/>
        </w:rPr>
        <w:t>.</w:t>
      </w:r>
    </w:p>
  </w:footnote>
  <w:footnote w:id="6">
    <w:p w14:paraId="0218573A" w14:textId="78D0CEEF" w:rsidR="009A1C85" w:rsidRPr="00900636" w:rsidRDefault="009A1C85" w:rsidP="009A1C85">
      <w:pPr>
        <w:pStyle w:val="Text1"/>
        <w:tabs>
          <w:tab w:val="left" w:pos="142"/>
        </w:tabs>
        <w:spacing w:before="0" w:after="0"/>
        <w:ind w:left="159" w:hanging="170"/>
        <w:rPr>
          <w:sz w:val="18"/>
          <w:szCs w:val="18"/>
        </w:rPr>
      </w:pPr>
      <w:r>
        <w:rPr>
          <w:rStyle w:val="FootnoteReference"/>
          <w:sz w:val="18"/>
          <w:szCs w:val="18"/>
        </w:rPr>
        <w:footnoteRef/>
      </w:r>
      <w:r>
        <w:rPr>
          <w:sz w:val="18"/>
        </w:rPr>
        <w:t xml:space="preserve">  Инструментариум за по-добро регулиране, 2023 г.</w:t>
      </w:r>
    </w:p>
  </w:footnote>
  <w:footnote w:id="7">
    <w:p w14:paraId="28EC5C3A" w14:textId="7ABEF485" w:rsidR="00EA6712" w:rsidRPr="00386382" w:rsidRDefault="00EA6712" w:rsidP="00EA6712">
      <w:pPr>
        <w:pStyle w:val="FootnoteText"/>
      </w:pPr>
      <w:r>
        <w:rPr>
          <w:rStyle w:val="FootnoteReference"/>
          <w:sz w:val="18"/>
          <w:szCs w:val="18"/>
        </w:rPr>
        <w:footnoteRef/>
      </w:r>
      <w:r>
        <w:rPr>
          <w:sz w:val="18"/>
        </w:rPr>
        <w:t xml:space="preserve"> </w:t>
      </w:r>
      <w:hyperlink r:id="rId3" w:history="1">
        <w:r>
          <w:rPr>
            <w:rStyle w:val="Hyperlink"/>
            <w:sz w:val="18"/>
          </w:rPr>
          <w:t>Директива - 2019/633 - BG - EUR-Lex (europa.eu)</w:t>
        </w:r>
      </w:hyperlink>
      <w:r>
        <w:rPr>
          <w:rStyle w:val="Hyperlink"/>
          <w:sz w:val="18"/>
        </w:rPr>
        <w:t>.</w:t>
      </w:r>
    </w:p>
  </w:footnote>
  <w:footnote w:id="8">
    <w:p w14:paraId="0E9AEF32" w14:textId="4284C1B7" w:rsidR="00EA6712" w:rsidRPr="00900636" w:rsidRDefault="00EA6712" w:rsidP="00386382">
      <w:pPr>
        <w:pStyle w:val="FootnoteText"/>
        <w:tabs>
          <w:tab w:val="left" w:pos="120"/>
        </w:tabs>
        <w:ind w:left="113" w:hanging="113"/>
        <w:rPr>
          <w:sz w:val="18"/>
          <w:szCs w:val="18"/>
        </w:rPr>
      </w:pPr>
      <w:r>
        <w:rPr>
          <w:rStyle w:val="FootnoteReference"/>
          <w:sz w:val="18"/>
          <w:szCs w:val="18"/>
        </w:rPr>
        <w:footnoteRef/>
      </w:r>
      <w:r>
        <w:rPr>
          <w:sz w:val="18"/>
        </w:rPr>
        <w:t xml:space="preserve"> CY, EE, ES, FR, IT, SK. Въпреки че запазват общото прилагане на законодателството за прилагане независимо от размера на предприятието, някои от тези ДЧ се позовават на размера на предприятието, за да предвидят някои изключения или отклонения. Например в CY сроковете за плащане варират в зависимост от размера на предприятието при продукти, доставяни редовно от доставчици на грозде за производството на вино на купувачи с годишен оборот под 2 000 000 EUR; Испанското законодателство не се прилага за предприятия за хотелиерство, ресторантьорство и кетъринг услуги с оборот под 10 милиона евро; както и предприятия, занимаващи се с услуги по настаняване с оборот под 50 милиона евро. </w:t>
      </w:r>
    </w:p>
  </w:footnote>
  <w:footnote w:id="9">
    <w:p w14:paraId="39DEA7F6" w14:textId="7A085AD9" w:rsidR="00AC3D07" w:rsidRPr="006B4D56" w:rsidRDefault="0058303B" w:rsidP="0058303B">
      <w:pPr>
        <w:pStyle w:val="FootnoteText"/>
        <w:ind w:left="113" w:hanging="113"/>
        <w:rPr>
          <w:sz w:val="18"/>
          <w:szCs w:val="18"/>
        </w:rPr>
      </w:pPr>
      <w:r>
        <w:rPr>
          <w:rStyle w:val="FootnoteReference"/>
        </w:rPr>
        <w:footnoteRef/>
      </w:r>
      <w:r>
        <w:t xml:space="preserve"> </w:t>
      </w:r>
      <w:r>
        <w:rPr>
          <w:sz w:val="18"/>
        </w:rPr>
        <w:t>Изключването на определени видове купувачи (напр. кооперации) от страна на някои ДЧ е предмет на текуща проверка за съответствие.</w:t>
      </w:r>
    </w:p>
    <w:p w14:paraId="34B7CCAC" w14:textId="30F585F0" w:rsidR="0058303B" w:rsidRPr="00333160" w:rsidRDefault="0058303B" w:rsidP="0058303B">
      <w:pPr>
        <w:pStyle w:val="FootnoteText"/>
        <w:ind w:left="113" w:hanging="113"/>
      </w:pPr>
    </w:p>
  </w:footnote>
  <w:footnote w:id="10">
    <w:p w14:paraId="68D707A3" w14:textId="5ED754AF" w:rsidR="00EA6712" w:rsidRPr="00386382" w:rsidRDefault="00EA6712" w:rsidP="00EA6712">
      <w:pPr>
        <w:pStyle w:val="FootnoteText"/>
        <w:ind w:left="170" w:hanging="170"/>
        <w:mirrorIndents/>
      </w:pPr>
      <w:r>
        <w:rPr>
          <w:rStyle w:val="FootnoteReference"/>
          <w:sz w:val="18"/>
          <w:szCs w:val="18"/>
        </w:rPr>
        <w:footnoteRef/>
      </w:r>
      <w:r>
        <w:rPr>
          <w:sz w:val="18"/>
        </w:rPr>
        <w:t xml:space="preserve"> AT, CY, DE, DK, EL, ES, FR, HR, IE, IT, LU, LV, MT, NL, PL, SI.</w:t>
      </w:r>
    </w:p>
  </w:footnote>
  <w:footnote w:id="11">
    <w:p w14:paraId="1C4CD414" w14:textId="29478978" w:rsidR="00EA6712" w:rsidRPr="00B11324" w:rsidRDefault="00EA6712" w:rsidP="00EA6712">
      <w:pPr>
        <w:pStyle w:val="Text1"/>
        <w:spacing w:before="0" w:after="0"/>
        <w:ind w:left="0"/>
        <w:rPr>
          <w:sz w:val="18"/>
          <w:szCs w:val="18"/>
        </w:rPr>
      </w:pPr>
      <w:r>
        <w:rPr>
          <w:rStyle w:val="FootnoteReference"/>
          <w:sz w:val="18"/>
          <w:szCs w:val="18"/>
        </w:rPr>
        <w:footnoteRef/>
      </w:r>
      <w:r>
        <w:rPr>
          <w:sz w:val="18"/>
        </w:rPr>
        <w:t xml:space="preserve"> BE, BG, CZ, EE, FI, HU, LT, PT, RO, SE, SK.</w:t>
      </w:r>
    </w:p>
  </w:footnote>
  <w:footnote w:id="12">
    <w:p w14:paraId="1E74332F" w14:textId="05D8B52A" w:rsidR="00A44761" w:rsidRPr="00A44761" w:rsidRDefault="00A44761">
      <w:pPr>
        <w:pStyle w:val="FootnoteText"/>
      </w:pPr>
      <w:r>
        <w:rPr>
          <w:rStyle w:val="FootnoteReference"/>
        </w:rPr>
        <w:footnoteRef/>
      </w:r>
      <w:r>
        <w:t xml:space="preserve"> BE, DK, FR, IE, IT, SE.</w:t>
      </w:r>
    </w:p>
  </w:footnote>
  <w:footnote w:id="13">
    <w:p w14:paraId="4A70D144" w14:textId="65AABBD6" w:rsidR="00EA6712" w:rsidRPr="006C7540" w:rsidRDefault="00EA6712" w:rsidP="00A13839">
      <w:pPr>
        <w:tabs>
          <w:tab w:val="left" w:pos="120"/>
        </w:tabs>
        <w:spacing w:after="0" w:line="240" w:lineRule="auto"/>
        <w:jc w:val="both"/>
        <w:rPr>
          <w:rFonts w:ascii="Times New Roman" w:hAnsi="Times New Roman"/>
          <w:sz w:val="18"/>
          <w:szCs w:val="18"/>
        </w:rPr>
      </w:pPr>
      <w:r>
        <w:rPr>
          <w:rFonts w:ascii="Times New Roman" w:hAnsi="Times New Roman" w:cs="Times New Roman"/>
          <w:sz w:val="18"/>
          <w:szCs w:val="18"/>
          <w:vertAlign w:val="superscript"/>
        </w:rPr>
        <w:footnoteRef/>
      </w:r>
      <w:hyperlink r:id="rId4" w:history="1">
        <w:r>
          <w:rPr>
            <w:rStyle w:val="Hyperlink"/>
            <w:rFonts w:ascii="Times New Roman" w:hAnsi="Times New Roman"/>
            <w:sz w:val="18"/>
          </w:rPr>
          <w:t>https://agriculture.ec.europa.eu/common-agricultural-policy/agri-food-supply-chain/unfair-trading-practices_bg</w:t>
        </w:r>
      </w:hyperlink>
      <w:r>
        <w:rPr>
          <w:rFonts w:ascii="Times New Roman" w:hAnsi="Times New Roman"/>
          <w:sz w:val="18"/>
        </w:rPr>
        <w:t xml:space="preserve">. </w:t>
      </w:r>
    </w:p>
  </w:footnote>
  <w:footnote w:id="14">
    <w:p w14:paraId="6518FAE9" w14:textId="61F4E7B1" w:rsidR="00EA6712" w:rsidRPr="00386382" w:rsidRDefault="00EA6712" w:rsidP="00EA6712">
      <w:pPr>
        <w:pStyle w:val="FootnoteText"/>
        <w:ind w:left="170" w:hanging="170"/>
        <w:mirrorIndents/>
        <w:rPr>
          <w:sz w:val="18"/>
        </w:rPr>
      </w:pPr>
      <w:r>
        <w:rPr>
          <w:rStyle w:val="FootnoteReference"/>
          <w:sz w:val="18"/>
          <w:szCs w:val="18"/>
        </w:rPr>
        <w:footnoteRef/>
      </w:r>
      <w:r>
        <w:rPr>
          <w:sz w:val="18"/>
        </w:rPr>
        <w:t xml:space="preserve"> AT, BG, CZ, DK, EE, HR, LU, LV, PL, SE, SI.</w:t>
      </w:r>
    </w:p>
  </w:footnote>
  <w:footnote w:id="15">
    <w:p w14:paraId="0A5EBB5A" w14:textId="77777777" w:rsidR="00EA6712" w:rsidRPr="00900636" w:rsidRDefault="00EA6712" w:rsidP="00EA6712">
      <w:pPr>
        <w:pStyle w:val="FootnoteText"/>
        <w:ind w:left="170" w:hanging="170"/>
        <w:mirrorIndents/>
        <w:rPr>
          <w:sz w:val="18"/>
          <w:szCs w:val="18"/>
        </w:rPr>
      </w:pPr>
      <w:r>
        <w:rPr>
          <w:rStyle w:val="FootnoteReference"/>
          <w:sz w:val="18"/>
          <w:szCs w:val="18"/>
        </w:rPr>
        <w:footnoteRef/>
      </w:r>
      <w:r>
        <w:rPr>
          <w:sz w:val="18"/>
        </w:rPr>
        <w:t xml:space="preserve"> DE (Федерална служба за земеделие и храни, определена от федералното министерство), ES (Агенция за информация и контрол на храните (AICA)), FI (Омбудсман по въпросите на пазара на храни), HU (Служба за безопасност по веригата за доставки на храни, определена от правителството), LT (Агенция за развитие на бизнеса и пазарите в селските райони) и PT (Орган по икономика и безопасност на храните (ASAE - Autoridade de Segurança Alimentar e Económica)).</w:t>
      </w:r>
    </w:p>
  </w:footnote>
  <w:footnote w:id="16">
    <w:p w14:paraId="6F462516" w14:textId="0B69612C" w:rsidR="00EA6712" w:rsidRPr="00900636" w:rsidRDefault="00EA6712" w:rsidP="00EA6712">
      <w:pPr>
        <w:pStyle w:val="FootnoteText"/>
        <w:ind w:left="170" w:hanging="170"/>
        <w:mirrorIndents/>
        <w:rPr>
          <w:sz w:val="18"/>
          <w:szCs w:val="18"/>
        </w:rPr>
      </w:pPr>
      <w:r>
        <w:rPr>
          <w:rStyle w:val="FootnoteReference"/>
          <w:sz w:val="18"/>
          <w:szCs w:val="18"/>
        </w:rPr>
        <w:footnoteRef/>
      </w:r>
      <w:r>
        <w:rPr>
          <w:sz w:val="18"/>
        </w:rPr>
        <w:t xml:space="preserve"> CY, IE, IT (вътрешно подразделение на министерството), RO, SK.</w:t>
      </w:r>
    </w:p>
  </w:footnote>
  <w:footnote w:id="17">
    <w:p w14:paraId="7109C270" w14:textId="77777777" w:rsidR="00EA6712" w:rsidRPr="00900636" w:rsidRDefault="00EA6712" w:rsidP="00EA6712">
      <w:pPr>
        <w:pStyle w:val="FootnoteText"/>
        <w:ind w:left="170" w:hanging="170"/>
        <w:mirrorIndents/>
        <w:rPr>
          <w:sz w:val="18"/>
          <w:szCs w:val="18"/>
        </w:rPr>
      </w:pPr>
      <w:r>
        <w:rPr>
          <w:rStyle w:val="FootnoteReference"/>
          <w:sz w:val="18"/>
          <w:szCs w:val="18"/>
        </w:rPr>
        <w:footnoteRef/>
      </w:r>
      <w:r>
        <w:rPr>
          <w:sz w:val="18"/>
        </w:rPr>
        <w:t xml:space="preserve"> EL, MT. </w:t>
      </w:r>
    </w:p>
  </w:footnote>
  <w:footnote w:id="18">
    <w:p w14:paraId="1E752FDC" w14:textId="70B3BBFE" w:rsidR="00EA6712" w:rsidRPr="00900636" w:rsidRDefault="00EA6712" w:rsidP="00EA6712">
      <w:pPr>
        <w:pStyle w:val="FootnoteText"/>
        <w:ind w:left="170" w:hanging="170"/>
        <w:rPr>
          <w:sz w:val="18"/>
          <w:szCs w:val="18"/>
        </w:rPr>
      </w:pPr>
      <w:r>
        <w:rPr>
          <w:rStyle w:val="FootnoteReference"/>
          <w:sz w:val="18"/>
          <w:szCs w:val="18"/>
        </w:rPr>
        <w:footnoteRef/>
      </w:r>
      <w:r>
        <w:rPr>
          <w:sz w:val="18"/>
        </w:rPr>
        <w:t xml:space="preserve"> За FR — DGCCRF (Генерална дирекция по въпросите на конкуренцията, потреблението и борбата с измамите);</w:t>
      </w:r>
      <w:r>
        <w:t xml:space="preserve"> за BE, </w:t>
      </w:r>
      <w:r>
        <w:rPr>
          <w:color w:val="000000"/>
        </w:rPr>
        <w:t>Генерална дирекция за икономическа инспекция на Федералното министерство на икономиката.</w:t>
      </w:r>
    </w:p>
  </w:footnote>
  <w:footnote w:id="19">
    <w:p w14:paraId="10B9D76D" w14:textId="77777777" w:rsidR="00EA6712" w:rsidRPr="006C7540" w:rsidRDefault="00EA6712" w:rsidP="00EA6712">
      <w:pPr>
        <w:pStyle w:val="FootnoteText"/>
        <w:ind w:left="170" w:hanging="170"/>
        <w:mirrorIndents/>
        <w:rPr>
          <w:sz w:val="18"/>
          <w:szCs w:val="18"/>
        </w:rPr>
      </w:pPr>
      <w:r>
        <w:rPr>
          <w:rStyle w:val="FootnoteReference"/>
          <w:sz w:val="18"/>
          <w:szCs w:val="18"/>
        </w:rPr>
        <w:footnoteRef/>
      </w:r>
      <w:r>
        <w:rPr>
          <w:sz w:val="18"/>
        </w:rPr>
        <w:t xml:space="preserve"> NL.</w:t>
      </w:r>
    </w:p>
  </w:footnote>
  <w:footnote w:id="20">
    <w:p w14:paraId="448A3588" w14:textId="77777777" w:rsidR="00EA6712" w:rsidRPr="00900636" w:rsidRDefault="00EA6712" w:rsidP="00EA6712">
      <w:pPr>
        <w:pStyle w:val="FootnoteText"/>
        <w:rPr>
          <w:sz w:val="18"/>
          <w:szCs w:val="18"/>
        </w:rPr>
      </w:pPr>
      <w:r>
        <w:rPr>
          <w:rStyle w:val="FootnoteReference"/>
          <w:sz w:val="18"/>
          <w:szCs w:val="18"/>
        </w:rPr>
        <w:footnoteRef/>
      </w:r>
      <w:r>
        <w:rPr>
          <w:sz w:val="18"/>
        </w:rPr>
        <w:t xml:space="preserve"> По-конкретно по отношение на правомощието за налагане на санкции (AT, FI, FR). </w:t>
      </w:r>
    </w:p>
  </w:footnote>
  <w:footnote w:id="21">
    <w:p w14:paraId="05348072" w14:textId="77777777" w:rsidR="00EA6712" w:rsidRPr="001A4821" w:rsidRDefault="00EA6712" w:rsidP="00EA6712">
      <w:pPr>
        <w:pStyle w:val="FootnoteText"/>
      </w:pPr>
      <w:r>
        <w:rPr>
          <w:rStyle w:val="FootnoteReference"/>
          <w:sz w:val="18"/>
          <w:szCs w:val="18"/>
        </w:rPr>
        <w:footnoteRef/>
      </w:r>
      <w:r>
        <w:rPr>
          <w:sz w:val="18"/>
        </w:rPr>
        <w:t xml:space="preserve"> Вторият правоприлагащ орган е компетентен само по отношение на практики, в които участват търговци на дребно със значителна пазарна сила.</w:t>
      </w:r>
    </w:p>
  </w:footnote>
  <w:footnote w:id="22">
    <w:p w14:paraId="4A304751" w14:textId="3A3FEEEB" w:rsidR="00EA6712" w:rsidRPr="00900636" w:rsidRDefault="00EA6712" w:rsidP="00EA6712">
      <w:pPr>
        <w:pStyle w:val="FootnoteText"/>
        <w:ind w:left="227" w:hanging="227"/>
        <w:mirrorIndents/>
        <w:rPr>
          <w:sz w:val="18"/>
          <w:szCs w:val="18"/>
        </w:rPr>
      </w:pPr>
      <w:r>
        <w:rPr>
          <w:rStyle w:val="FootnoteReference"/>
          <w:sz w:val="18"/>
          <w:szCs w:val="18"/>
        </w:rPr>
        <w:footnoteRef/>
      </w:r>
      <w:r>
        <w:rPr>
          <w:sz w:val="18"/>
        </w:rPr>
        <w:t xml:space="preserve"> В някои ДЧ обаче (напр. LV, PT, SE) поверителност е осигурена само за самоличността, но не и за друга чувствителна информация.</w:t>
      </w:r>
    </w:p>
  </w:footnote>
  <w:footnote w:id="23">
    <w:p w14:paraId="392CC737" w14:textId="41BD79B9" w:rsidR="00EA6712" w:rsidRPr="00900636" w:rsidRDefault="00EA6712" w:rsidP="00EA6712">
      <w:pPr>
        <w:pStyle w:val="FootnoteText"/>
        <w:ind w:left="170" w:hanging="170"/>
        <w:mirrorIndents/>
        <w:rPr>
          <w:sz w:val="18"/>
          <w:szCs w:val="18"/>
        </w:rPr>
      </w:pPr>
      <w:r>
        <w:rPr>
          <w:rStyle w:val="FootnoteReference"/>
          <w:sz w:val="18"/>
          <w:szCs w:val="18"/>
        </w:rPr>
        <w:footnoteRef/>
      </w:r>
      <w:r>
        <w:rPr>
          <w:sz w:val="18"/>
        </w:rPr>
        <w:t xml:space="preserve"> Всички ДЧ с изключение на AT, FI, FR, LV, PL, SE. От тях в законодателството на BG е посочено, че самоличността на жалбоподателя винаги трябва да остане поверителна.</w:t>
      </w:r>
    </w:p>
  </w:footnote>
  <w:footnote w:id="24">
    <w:p w14:paraId="05E36C30" w14:textId="77777777" w:rsidR="00EA6712" w:rsidRPr="00900636" w:rsidRDefault="00EA6712" w:rsidP="00EA6712">
      <w:pPr>
        <w:pStyle w:val="FootnoteText"/>
        <w:ind w:left="170" w:hanging="170"/>
        <w:mirrorIndents/>
        <w:rPr>
          <w:sz w:val="18"/>
          <w:szCs w:val="18"/>
        </w:rPr>
      </w:pPr>
      <w:r>
        <w:rPr>
          <w:rStyle w:val="FootnoteReference"/>
          <w:sz w:val="18"/>
          <w:szCs w:val="18"/>
        </w:rPr>
        <w:footnoteRef/>
      </w:r>
      <w:r>
        <w:rPr>
          <w:sz w:val="18"/>
        </w:rPr>
        <w:t xml:space="preserve"> Напр. HU.</w:t>
      </w:r>
    </w:p>
  </w:footnote>
  <w:footnote w:id="25">
    <w:p w14:paraId="00BA33CD" w14:textId="1CF38B92" w:rsidR="00EA6712" w:rsidRPr="00900636" w:rsidRDefault="00EA6712" w:rsidP="00EA6712">
      <w:pPr>
        <w:pStyle w:val="FootnoteText"/>
        <w:ind w:left="170" w:hanging="170"/>
        <w:mirrorIndents/>
        <w:rPr>
          <w:sz w:val="18"/>
          <w:szCs w:val="18"/>
        </w:rPr>
      </w:pPr>
      <w:r>
        <w:rPr>
          <w:rStyle w:val="FootnoteReference"/>
          <w:sz w:val="18"/>
          <w:szCs w:val="18"/>
        </w:rPr>
        <w:footnoteRef/>
      </w:r>
      <w:r>
        <w:rPr>
          <w:sz w:val="18"/>
        </w:rPr>
        <w:t xml:space="preserve"> BE, BG, CY, DK, EL, ES, IE, IT, LU, NL SI.</w:t>
      </w:r>
    </w:p>
  </w:footnote>
  <w:footnote w:id="26">
    <w:p w14:paraId="0261E218" w14:textId="463E1FF4" w:rsidR="00EA6712" w:rsidRPr="00900636" w:rsidRDefault="00EA6712" w:rsidP="00EA6712">
      <w:pPr>
        <w:pStyle w:val="FootnoteText"/>
        <w:ind w:left="170" w:hanging="170"/>
        <w:mirrorIndents/>
        <w:rPr>
          <w:sz w:val="18"/>
          <w:szCs w:val="18"/>
        </w:rPr>
      </w:pPr>
      <w:r>
        <w:rPr>
          <w:rStyle w:val="FootnoteReference"/>
          <w:sz w:val="18"/>
          <w:szCs w:val="18"/>
        </w:rPr>
        <w:footnoteRef/>
      </w:r>
      <w:r>
        <w:rPr>
          <w:sz w:val="18"/>
        </w:rPr>
        <w:t xml:space="preserve"> AT, BE, CY, DE, DK, EE, FI, IT, MT, PT. </w:t>
      </w:r>
    </w:p>
  </w:footnote>
  <w:footnote w:id="27">
    <w:p w14:paraId="1B83AEC5" w14:textId="761EFD5D" w:rsidR="00EA6712" w:rsidRPr="006C7540" w:rsidRDefault="00EA6712" w:rsidP="00EA6712">
      <w:pPr>
        <w:pStyle w:val="FootnoteText"/>
        <w:ind w:left="170" w:hanging="170"/>
        <w:mirrorIndents/>
        <w:rPr>
          <w:sz w:val="18"/>
          <w:szCs w:val="18"/>
        </w:rPr>
      </w:pPr>
      <w:r>
        <w:rPr>
          <w:rStyle w:val="FootnoteReference"/>
          <w:sz w:val="18"/>
          <w:szCs w:val="18"/>
        </w:rPr>
        <w:footnoteRef/>
      </w:r>
      <w:r>
        <w:rPr>
          <w:sz w:val="18"/>
        </w:rPr>
        <w:t xml:space="preserve"> </w:t>
      </w:r>
      <w:bookmarkStart w:id="34" w:name="_Hlk163136694"/>
      <w:r>
        <w:rPr>
          <w:sz w:val="18"/>
        </w:rPr>
        <w:t>Всички ДЧ.</w:t>
      </w:r>
    </w:p>
    <w:bookmarkEnd w:id="34"/>
  </w:footnote>
  <w:footnote w:id="28">
    <w:p w14:paraId="25D479E1" w14:textId="1DEABED7" w:rsidR="00EA6712" w:rsidRPr="006C7540" w:rsidRDefault="00EA6712" w:rsidP="00EA6712">
      <w:pPr>
        <w:pStyle w:val="FootnoteText"/>
        <w:ind w:left="170" w:hanging="170"/>
        <w:mirrorIndents/>
        <w:rPr>
          <w:sz w:val="18"/>
          <w:szCs w:val="18"/>
        </w:rPr>
      </w:pPr>
      <w:r>
        <w:rPr>
          <w:rStyle w:val="FootnoteReference"/>
          <w:sz w:val="18"/>
          <w:szCs w:val="18"/>
        </w:rPr>
        <w:footnoteRef/>
      </w:r>
      <w:r>
        <w:rPr>
          <w:sz w:val="18"/>
        </w:rPr>
        <w:t xml:space="preserve"> Всички ДЧ с изключение на EE, ES, FI, SI, SK.</w:t>
      </w:r>
    </w:p>
  </w:footnote>
  <w:footnote w:id="29">
    <w:p w14:paraId="63547B56" w14:textId="3536186B" w:rsidR="00EA6712" w:rsidRPr="006B4D56" w:rsidRDefault="00EA6712" w:rsidP="00EA6712">
      <w:pPr>
        <w:pStyle w:val="FootnoteText"/>
        <w:ind w:left="170" w:hanging="170"/>
        <w:mirrorIndents/>
        <w:rPr>
          <w:sz w:val="18"/>
          <w:szCs w:val="18"/>
        </w:rPr>
      </w:pPr>
      <w:r>
        <w:rPr>
          <w:rStyle w:val="FootnoteReference"/>
          <w:sz w:val="18"/>
          <w:szCs w:val="18"/>
        </w:rPr>
        <w:footnoteRef/>
      </w:r>
      <w:r>
        <w:rPr>
          <w:sz w:val="18"/>
        </w:rPr>
        <w:t xml:space="preserve"> Всички ДЧ с изключение на AT, HU.</w:t>
      </w:r>
    </w:p>
  </w:footnote>
  <w:footnote w:id="30">
    <w:p w14:paraId="3B0C80D6" w14:textId="7538BD5A" w:rsidR="00EA6712" w:rsidRPr="00592F46" w:rsidRDefault="00EA6712" w:rsidP="00EA6712">
      <w:pPr>
        <w:pStyle w:val="FootnoteText"/>
        <w:ind w:left="170" w:hanging="170"/>
        <w:mirrorIndents/>
        <w:rPr>
          <w:sz w:val="18"/>
          <w:szCs w:val="18"/>
        </w:rPr>
      </w:pPr>
      <w:r>
        <w:rPr>
          <w:rStyle w:val="FootnoteReference"/>
          <w:sz w:val="18"/>
          <w:szCs w:val="18"/>
          <w:lang w:val="en-IE"/>
        </w:rPr>
        <w:footnoteRef/>
      </w:r>
      <w:r>
        <w:rPr>
          <w:sz w:val="18"/>
        </w:rPr>
        <w:t xml:space="preserve"> Всички ДЧ (за AT: правомощие на съда по спорове в областта на картелното право; за FI: правомощие на съда).</w:t>
      </w:r>
    </w:p>
  </w:footnote>
  <w:footnote w:id="31">
    <w:p w14:paraId="69B76F7A" w14:textId="1CC5095A" w:rsidR="00EA6712" w:rsidRPr="00900636" w:rsidRDefault="00EA6712" w:rsidP="00EA6712">
      <w:pPr>
        <w:pStyle w:val="FootnoteText"/>
        <w:ind w:left="170" w:hanging="170"/>
        <w:mirrorIndents/>
        <w:rPr>
          <w:sz w:val="18"/>
          <w:szCs w:val="18"/>
        </w:rPr>
      </w:pPr>
      <w:r>
        <w:rPr>
          <w:rStyle w:val="FootnoteReference"/>
          <w:sz w:val="18"/>
          <w:szCs w:val="18"/>
          <w:lang w:val="en-IE"/>
        </w:rPr>
        <w:footnoteRef/>
      </w:r>
      <w:r>
        <w:rPr>
          <w:sz w:val="18"/>
        </w:rPr>
        <w:t xml:space="preserve"> Специално предвидени в националните мерки за транспониране в: BG, DK, EL, FI, FR, ES, IE, LT, LU, LV, NL, PT, RO.</w:t>
      </w:r>
    </w:p>
  </w:footnote>
  <w:footnote w:id="32">
    <w:p w14:paraId="3D3C7E14" w14:textId="1F6E43DC" w:rsidR="00EA6712" w:rsidRPr="006C7540" w:rsidRDefault="00EA6712" w:rsidP="00EA6712">
      <w:pPr>
        <w:pStyle w:val="FootnoteText"/>
        <w:ind w:left="170" w:hanging="170"/>
        <w:mirrorIndents/>
        <w:rPr>
          <w:sz w:val="18"/>
          <w:szCs w:val="18"/>
        </w:rPr>
      </w:pPr>
      <w:r>
        <w:rPr>
          <w:rStyle w:val="FootnoteReference"/>
          <w:sz w:val="18"/>
          <w:szCs w:val="18"/>
          <w:lang w:val="en-IE"/>
        </w:rPr>
        <w:footnoteRef/>
      </w:r>
      <w:r>
        <w:rPr>
          <w:sz w:val="18"/>
        </w:rPr>
        <w:t xml:space="preserve"> Всички ДЧ с изключение на CZ, LV, PT.</w:t>
      </w:r>
    </w:p>
  </w:footnote>
  <w:footnote w:id="33">
    <w:p w14:paraId="54BD882D" w14:textId="642E1F9E" w:rsidR="00EA6712" w:rsidRPr="00900636" w:rsidRDefault="00EA6712" w:rsidP="00EA6712">
      <w:pPr>
        <w:pStyle w:val="FootnoteText"/>
        <w:ind w:left="170" w:hanging="170"/>
        <w:mirrorIndents/>
        <w:rPr>
          <w:sz w:val="18"/>
          <w:szCs w:val="18"/>
        </w:rPr>
      </w:pPr>
      <w:r>
        <w:rPr>
          <w:rStyle w:val="FootnoteReference"/>
          <w:sz w:val="18"/>
          <w:szCs w:val="18"/>
          <w:lang w:val="en-IE"/>
        </w:rPr>
        <w:footnoteRef/>
      </w:r>
      <w:r>
        <w:rPr>
          <w:sz w:val="18"/>
        </w:rPr>
        <w:t xml:space="preserve"> BE, BG, CZ, HR, HU, PL.</w:t>
      </w:r>
    </w:p>
  </w:footnote>
  <w:footnote w:id="34">
    <w:p w14:paraId="061E080F" w14:textId="587FE24A" w:rsidR="00EA6712" w:rsidRPr="00900636" w:rsidRDefault="00EA6712" w:rsidP="00EA6712">
      <w:pPr>
        <w:pStyle w:val="FootnoteText"/>
        <w:ind w:left="170" w:hanging="170"/>
        <w:mirrorIndents/>
        <w:rPr>
          <w:sz w:val="18"/>
          <w:szCs w:val="18"/>
        </w:rPr>
      </w:pPr>
      <w:r>
        <w:rPr>
          <w:rStyle w:val="FootnoteReference"/>
          <w:sz w:val="18"/>
          <w:szCs w:val="18"/>
          <w:lang w:val="en-IE"/>
        </w:rPr>
        <w:footnoteRef/>
      </w:r>
      <w:r>
        <w:rPr>
          <w:sz w:val="18"/>
        </w:rPr>
        <w:t xml:space="preserve"> BE, FI, LV.</w:t>
      </w:r>
    </w:p>
  </w:footnote>
  <w:footnote w:id="35">
    <w:p w14:paraId="4927D588" w14:textId="77777777" w:rsidR="00EA6712" w:rsidRPr="005D2423" w:rsidRDefault="00EA6712" w:rsidP="00EA6712">
      <w:pPr>
        <w:pStyle w:val="FootnoteText"/>
        <w:ind w:left="170" w:hanging="170"/>
        <w:mirrorIndents/>
      </w:pPr>
      <w:r>
        <w:rPr>
          <w:rStyle w:val="FootnoteReference"/>
          <w:sz w:val="18"/>
          <w:szCs w:val="18"/>
          <w:lang w:val="en-IE"/>
        </w:rPr>
        <w:footnoteRef/>
      </w:r>
      <w:r>
        <w:rPr>
          <w:sz w:val="18"/>
        </w:rPr>
        <w:t xml:space="preserve"> EL.</w:t>
      </w:r>
    </w:p>
  </w:footnote>
  <w:footnote w:id="36">
    <w:p w14:paraId="18379115" w14:textId="35B88B30" w:rsidR="00EA6712" w:rsidRPr="006C7540" w:rsidRDefault="00EA6712" w:rsidP="00EA6712">
      <w:pPr>
        <w:pStyle w:val="FootnoteText"/>
      </w:pPr>
      <w:r>
        <w:rPr>
          <w:rStyle w:val="FootnoteReference"/>
          <w:sz w:val="18"/>
          <w:szCs w:val="18"/>
        </w:rPr>
        <w:footnoteRef/>
      </w:r>
      <w:r>
        <w:t xml:space="preserve"> </w:t>
      </w:r>
      <w:hyperlink r:id="rId5" w:history="1">
        <w:r>
          <w:rPr>
            <w:rStyle w:val="Hyperlink"/>
            <w:sz w:val="18"/>
          </w:rPr>
          <w:t>https://agriculture.ec.europa.eu/common-agricultural-policy/agri-food-supply-chain/unfair-trading-practices_bg</w:t>
        </w:r>
      </w:hyperlink>
      <w:r>
        <w:rPr>
          <w:rStyle w:val="Hyperlink"/>
          <w:sz w:val="18"/>
        </w:rPr>
        <w:t>.</w:t>
      </w:r>
    </w:p>
  </w:footnote>
  <w:footnote w:id="37">
    <w:p w14:paraId="26C5A1D4" w14:textId="03C08FD3" w:rsidR="00EA6712" w:rsidRPr="006C7540" w:rsidRDefault="00EA6712" w:rsidP="00EA6712">
      <w:pPr>
        <w:pStyle w:val="FootnoteText"/>
        <w:ind w:left="170" w:hanging="170"/>
        <w:rPr>
          <w:sz w:val="18"/>
          <w:szCs w:val="18"/>
        </w:rPr>
      </w:pPr>
      <w:r>
        <w:rPr>
          <w:rStyle w:val="FootnoteReference"/>
        </w:rPr>
        <w:footnoteRef/>
      </w:r>
      <w:r>
        <w:rPr>
          <w:sz w:val="18"/>
        </w:rPr>
        <w:t xml:space="preserve"> </w:t>
      </w:r>
      <w:hyperlink r:id="rId6" w:history="1">
        <w:r>
          <w:rPr>
            <w:rStyle w:val="Hyperlink"/>
            <w:sz w:val="18"/>
          </w:rPr>
          <w:t>https://agriculture.ec.europa.eu/common-agricultural-policy/agri-food-supply-chain/unfair-trading-practices_bg</w:t>
        </w:r>
      </w:hyperlink>
      <w:r>
        <w:rPr>
          <w:rStyle w:val="Hyperlink"/>
          <w:sz w:val="18"/>
        </w:rPr>
        <w:t>.</w:t>
      </w:r>
    </w:p>
  </w:footnote>
  <w:footnote w:id="38">
    <w:p w14:paraId="06DE1BA2" w14:textId="3D190E52" w:rsidR="00EA6712" w:rsidRPr="00137891" w:rsidRDefault="00EA6712" w:rsidP="00EA6712">
      <w:pPr>
        <w:pStyle w:val="FootnoteText"/>
        <w:ind w:left="170" w:hanging="170"/>
        <w:rPr>
          <w:sz w:val="18"/>
          <w:szCs w:val="18"/>
        </w:rPr>
      </w:pPr>
      <w:r>
        <w:rPr>
          <w:rStyle w:val="FootnoteReference"/>
          <w:sz w:val="18"/>
          <w:szCs w:val="18"/>
        </w:rPr>
        <w:footnoteRef/>
      </w:r>
      <w:r>
        <w:rPr>
          <w:sz w:val="18"/>
        </w:rPr>
        <w:t xml:space="preserve"> Докладването на броя на случаите може да зависи и от вътрешните правила на правоприлагащите органи и следователно да доведе до докладване на прекалено малко или прекалено много случаи. </w:t>
      </w:r>
    </w:p>
  </w:footnote>
  <w:footnote w:id="39">
    <w:p w14:paraId="11D6D29F" w14:textId="77777777" w:rsidR="00EA6712" w:rsidRPr="00B71DB6" w:rsidRDefault="00EA6712" w:rsidP="00EA6712">
      <w:pPr>
        <w:pStyle w:val="FootnoteText"/>
        <w:rPr>
          <w:sz w:val="18"/>
          <w:szCs w:val="18"/>
        </w:rPr>
      </w:pPr>
      <w:r>
        <w:rPr>
          <w:rStyle w:val="FootnoteReference"/>
          <w:sz w:val="18"/>
          <w:szCs w:val="18"/>
        </w:rPr>
        <w:footnoteRef/>
      </w:r>
      <w:r>
        <w:rPr>
          <w:sz w:val="18"/>
        </w:rPr>
        <w:t xml:space="preserve"> До крайния срок 15 март 2024 г. само 18 ДЧ са изпратили своя годишен доклад на Комисията.</w:t>
      </w:r>
    </w:p>
  </w:footnote>
  <w:footnote w:id="40">
    <w:p w14:paraId="795ADD26" w14:textId="5C6B2587" w:rsidR="00EA6712" w:rsidRPr="006C7540" w:rsidRDefault="00EA6712" w:rsidP="00DD0379">
      <w:pPr>
        <w:pStyle w:val="FootnoteText"/>
        <w:ind w:left="170" w:hanging="170"/>
        <w:jc w:val="left"/>
      </w:pPr>
      <w:r>
        <w:rPr>
          <w:rStyle w:val="FootnoteReference"/>
          <w:sz w:val="18"/>
          <w:szCs w:val="18"/>
        </w:rPr>
        <w:footnoteRef/>
      </w:r>
      <w:r>
        <w:rPr>
          <w:sz w:val="18"/>
        </w:rPr>
        <w:t xml:space="preserve"> Например, според германския доклад за оценка, ограниченият персонал, съчетан с мащабните усилия за разследване, създават предизвикателства за работата на правоприлагащия орган. </w:t>
      </w:r>
      <w:hyperlink r:id="rId7" w:history="1">
        <w:r>
          <w:rPr>
            <w:rStyle w:val="Hyperlink"/>
            <w:sz w:val="18"/>
          </w:rPr>
          <w:t>https://www.bmel.de/SharedDocs/Downloads/DE/_Internationales/aussenwirtschaftspolitik/evaluierungsbericht-agrarolkg.html</w:t>
        </w:r>
      </w:hyperlink>
      <w:r>
        <w:t>.</w:t>
      </w:r>
    </w:p>
  </w:footnote>
  <w:footnote w:id="41">
    <w:p w14:paraId="75DBA375" w14:textId="77777777" w:rsidR="00EA6712" w:rsidRPr="00080A51" w:rsidRDefault="00EA6712" w:rsidP="00EA6712">
      <w:pPr>
        <w:spacing w:after="0" w:line="240" w:lineRule="auto"/>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color w:val="000000" w:themeColor="text1"/>
          <w:sz w:val="18"/>
        </w:rPr>
        <w:t xml:space="preserve">ES, HR, HU, IT. </w:t>
      </w:r>
    </w:p>
  </w:footnote>
  <w:footnote w:id="42">
    <w:p w14:paraId="061AA9E8" w14:textId="77777777" w:rsidR="00EA6712" w:rsidRPr="00080A51" w:rsidRDefault="00EA6712" w:rsidP="00EA6712">
      <w:pPr>
        <w:pStyle w:val="FootnoteText"/>
        <w:rPr>
          <w:sz w:val="18"/>
          <w:szCs w:val="18"/>
        </w:rPr>
      </w:pPr>
      <w:r>
        <w:rPr>
          <w:rStyle w:val="FootnoteReference"/>
          <w:sz w:val="18"/>
          <w:szCs w:val="18"/>
        </w:rPr>
        <w:footnoteRef/>
      </w:r>
      <w:r>
        <w:rPr>
          <w:sz w:val="18"/>
        </w:rPr>
        <w:t xml:space="preserve"> ES, HU, RO.</w:t>
      </w:r>
    </w:p>
  </w:footnote>
  <w:footnote w:id="43">
    <w:p w14:paraId="122A6E17" w14:textId="24E54091" w:rsidR="00EA6712" w:rsidRPr="00EA6712" w:rsidRDefault="00EA6712">
      <w:pPr>
        <w:pStyle w:val="FootnoteText"/>
      </w:pPr>
      <w:r>
        <w:rPr>
          <w:rStyle w:val="FootnoteReference"/>
        </w:rPr>
        <w:footnoteRef/>
      </w:r>
      <w:r>
        <w:t xml:space="preserve"> ЕS, IT.</w:t>
      </w:r>
    </w:p>
  </w:footnote>
  <w:footnote w:id="44">
    <w:p w14:paraId="175E54CF" w14:textId="50C62672" w:rsidR="00EA6712" w:rsidRPr="00080A51" w:rsidRDefault="00EA6712" w:rsidP="00EA6712">
      <w:pPr>
        <w:pStyle w:val="FootnoteText"/>
        <w:rPr>
          <w:sz w:val="18"/>
          <w:szCs w:val="18"/>
        </w:rPr>
      </w:pPr>
      <w:r>
        <w:rPr>
          <w:rStyle w:val="FootnoteReference"/>
          <w:sz w:val="18"/>
          <w:szCs w:val="18"/>
        </w:rPr>
        <w:footnoteRef/>
      </w:r>
      <w:r>
        <w:rPr>
          <w:sz w:val="18"/>
        </w:rPr>
        <w:t xml:space="preserve"> </w:t>
      </w:r>
      <w:hyperlink r:id="rId8" w:history="1">
        <w:r>
          <w:rPr>
            <w:rStyle w:val="Hyperlink"/>
            <w:sz w:val="18"/>
          </w:rPr>
          <w:t>https://eur-lex.europa.eu/legal-content/BG/TXT/?uri=comnat%3ASWD_2021_0317_FIN</w:t>
        </w:r>
      </w:hyperlink>
      <w:r>
        <w:rPr>
          <w:sz w:val="18"/>
        </w:rPr>
        <w:t xml:space="preserve"> (стр. 17, фигура 7).</w:t>
      </w:r>
    </w:p>
  </w:footnote>
  <w:footnote w:id="45">
    <w:p w14:paraId="18E83722" w14:textId="5CBDBFCD" w:rsidR="00EA6712" w:rsidRPr="006C7540" w:rsidRDefault="00EA6712" w:rsidP="00EA6712">
      <w:pPr>
        <w:pStyle w:val="FootnoteText"/>
        <w:rPr>
          <w:sz w:val="18"/>
          <w:szCs w:val="18"/>
        </w:rPr>
      </w:pPr>
      <w:r>
        <w:rPr>
          <w:rStyle w:val="FootnoteReference"/>
          <w:sz w:val="18"/>
          <w:szCs w:val="18"/>
        </w:rPr>
        <w:footnoteRef/>
      </w:r>
      <w:r>
        <w:rPr>
          <w:sz w:val="18"/>
        </w:rPr>
        <w:t xml:space="preserve"> </w:t>
      </w:r>
      <w:hyperlink r:id="rId9" w:history="1">
        <w:r>
          <w:rPr>
            <w:rStyle w:val="Hyperlink"/>
            <w:sz w:val="18"/>
          </w:rPr>
          <w:t>Допълнителни мерки на Комисията в подкрепа на земеделските стопани в ЕС (europa.eu)</w:t>
        </w:r>
      </w:hyperlink>
      <w:r>
        <w:rPr>
          <w:rStyle w:val="Hyperlink"/>
          <w:sz w:val="18"/>
        </w:rPr>
        <w:t>.</w:t>
      </w:r>
    </w:p>
  </w:footnote>
  <w:footnote w:id="46">
    <w:p w14:paraId="276507AB" w14:textId="1BF210F7" w:rsidR="004370A2" w:rsidRPr="00386382" w:rsidRDefault="004370A2">
      <w:pPr>
        <w:pStyle w:val="FootnoteText"/>
      </w:pPr>
      <w:r>
        <w:rPr>
          <w:rStyle w:val="FootnoteReference"/>
        </w:rPr>
        <w:footnoteRef/>
      </w:r>
      <w:r>
        <w:t xml:space="preserve"> Четири национални правоприлагащи органа (CZ, FR, IT, SE) са разследвали или в момента разследват центрове за закупуване или обединения за съвместни покупки на европейско равнище.</w:t>
      </w:r>
    </w:p>
  </w:footnote>
  <w:footnote w:id="47">
    <w:p w14:paraId="563A10B9" w14:textId="379FF411" w:rsidR="002A351E" w:rsidRPr="00B128A4" w:rsidRDefault="002A351E" w:rsidP="002A351E">
      <w:pPr>
        <w:pStyle w:val="FootnoteText"/>
        <w:ind w:left="170" w:hanging="170"/>
        <w:rPr>
          <w:sz w:val="18"/>
          <w:szCs w:val="18"/>
        </w:rPr>
      </w:pPr>
      <w:r>
        <w:rPr>
          <w:rStyle w:val="FootnoteReference"/>
          <w:sz w:val="18"/>
          <w:szCs w:val="18"/>
        </w:rPr>
        <w:footnoteRef/>
      </w:r>
      <w:r>
        <w:rPr>
          <w:sz w:val="18"/>
        </w:rPr>
        <w:t xml:space="preserve"> </w:t>
      </w:r>
      <w:r>
        <w:t xml:space="preserve">В </w:t>
      </w:r>
      <w:hyperlink r:id="rId10" w:anchor="title3" w:history="1">
        <w:r>
          <w:rPr>
            <w:rStyle w:val="Hyperlink"/>
            <w:sz w:val="18"/>
          </w:rPr>
          <w:t>изявление</w:t>
        </w:r>
      </w:hyperlink>
      <w:r>
        <w:t xml:space="preserve"> на Европейския парламент относно обединенията за съвместни покупки към </w:t>
      </w:r>
      <w:r>
        <w:rPr>
          <w:rStyle w:val="normaltextrun"/>
        </w:rPr>
        <w:t>Комисията</w:t>
      </w:r>
      <w:r>
        <w:t xml:space="preserve"> бе отправен призив да извърши задълбочен анализ относно обхвата и въздействието на националните и международните обединения за съвместни покупки, в отговор на който бе изготвен посоченият доклад на JRC.</w:t>
      </w:r>
    </w:p>
  </w:footnote>
  <w:footnote w:id="48">
    <w:p w14:paraId="1EB04DCD" w14:textId="59603231" w:rsidR="00EA6712" w:rsidRPr="009A715A" w:rsidRDefault="00EA6712" w:rsidP="00EA6712">
      <w:pPr>
        <w:pStyle w:val="FootnoteText"/>
      </w:pPr>
      <w:r>
        <w:rPr>
          <w:rStyle w:val="FootnoteReference"/>
          <w:sz w:val="18"/>
          <w:szCs w:val="18"/>
        </w:rPr>
        <w:footnoteRef/>
      </w:r>
      <w:r>
        <w:rPr>
          <w:sz w:val="18"/>
        </w:rPr>
        <w:t xml:space="preserve"> </w:t>
      </w:r>
      <w:hyperlink r:id="rId11" w:history="1">
        <w:r>
          <w:rPr>
            <w:rStyle w:val="Hyperlink"/>
            <w:sz w:val="18"/>
          </w:rPr>
          <w:t>Хранилище за публикации на Съвместния изследователски център (JRC) — Retail alliances in the agricultural and food supply chain (Обединения за търговия на дребно във веригата за доставки на селскостопански продукти и храни) (europa.eu)</w:t>
        </w:r>
      </w:hyperlink>
      <w:r>
        <w:rPr>
          <w:rStyle w:val="Hyperlink"/>
          <w:sz w:val="18"/>
        </w:rPr>
        <w:t>.</w:t>
      </w:r>
    </w:p>
  </w:footnote>
  <w:footnote w:id="49">
    <w:p w14:paraId="0F7E299A" w14:textId="0653D787" w:rsidR="00823F12" w:rsidRPr="00823F12" w:rsidRDefault="00823F12" w:rsidP="00774BB8">
      <w:pPr>
        <w:pStyle w:val="FootnoteText"/>
        <w:ind w:left="170" w:hanging="170"/>
        <w:jc w:val="left"/>
      </w:pPr>
      <w:r>
        <w:rPr>
          <w:rStyle w:val="FootnoteReference"/>
        </w:rPr>
        <w:footnoteRef/>
      </w:r>
      <w:r>
        <w:t xml:space="preserve"> През 2023 г. Комисията приключи разследването на две международни обединения за търговия на дребно.</w:t>
      </w:r>
      <w:r>
        <w:rPr>
          <w:sz w:val="18"/>
        </w:rPr>
        <w:t xml:space="preserve"> Тя не откри доказателства за антиконкурентни последици, като вместо това установи, че отстъпките, получени от обединенията, са допринесли за цялостните ценови стратегии на търговците на дребно, което им е позволило да намалят цените на дребно, така че да съответстват или да подбиват цените на конкурентите, вж.: Antitrust: Commission closes antitrust investigations into AgeCore and Coopernic’  MEX/23/3847 (Brussels, 13 July 2023) (Антитръстови правила:</w:t>
      </w:r>
      <w:r w:rsidR="00774BB8">
        <w:rPr>
          <w:sz w:val="18"/>
        </w:rPr>
        <w:t xml:space="preserve"> </w:t>
      </w:r>
      <w:r>
        <w:rPr>
          <w:sz w:val="18"/>
        </w:rPr>
        <w:t>Комисията приключва антитръстовите разследвания на AgeCore и Coopernic“ MEX/23/3847 (Брюксел, 13 юли 2023 г.).</w:t>
      </w:r>
    </w:p>
  </w:footnote>
  <w:footnote w:id="50">
    <w:p w14:paraId="6CA563F9" w14:textId="5A725CD6" w:rsidR="00EA6712" w:rsidRPr="00900636" w:rsidRDefault="00EA6712" w:rsidP="00EA6712">
      <w:pPr>
        <w:pStyle w:val="FootnoteText"/>
        <w:rPr>
          <w:sz w:val="18"/>
          <w:szCs w:val="18"/>
        </w:rPr>
      </w:pPr>
      <w:r>
        <w:rPr>
          <w:rStyle w:val="FootnoteReference"/>
          <w:sz w:val="18"/>
          <w:szCs w:val="18"/>
        </w:rPr>
        <w:footnoteRef/>
      </w:r>
      <w:r>
        <w:rPr>
          <w:sz w:val="18"/>
        </w:rPr>
        <w:t xml:space="preserve"> </w:t>
      </w:r>
      <w:hyperlink r:id="rId12" w:history="1">
        <w:r>
          <w:rPr>
            <w:rStyle w:val="Hyperlink"/>
            <w:sz w:val="18"/>
          </w:rPr>
          <w:t>Верига за доставки на селскостопански и хранителни продукти — борба с нелоялните търговски практики (europa.eu)</w:t>
        </w:r>
      </w:hyperlink>
      <w:r>
        <w:rPr>
          <w:rStyle w:val="Hyperlink"/>
          <w:sz w:val="18"/>
        </w:rPr>
        <w:t>.</w:t>
      </w:r>
    </w:p>
  </w:footnote>
  <w:footnote w:id="51">
    <w:p w14:paraId="1FF931A2" w14:textId="7060722E" w:rsidR="00EA6712" w:rsidRPr="00386382" w:rsidRDefault="00EA6712" w:rsidP="00EA6712">
      <w:pPr>
        <w:pStyle w:val="FootnoteText"/>
      </w:pPr>
      <w:r>
        <w:rPr>
          <w:rStyle w:val="FootnoteReference"/>
          <w:sz w:val="18"/>
          <w:szCs w:val="18"/>
        </w:rPr>
        <w:footnoteRef/>
      </w:r>
      <w:r>
        <w:rPr>
          <w:sz w:val="18"/>
        </w:rPr>
        <w:t xml:space="preserve"> </w:t>
      </w:r>
      <w:hyperlink r:id="rId13" w:history="1">
        <w:r>
          <w:rPr>
            <w:rStyle w:val="Hyperlink"/>
            <w:sz w:val="18"/>
          </w:rPr>
          <w:t>Нелоялни търговски практики (europa.eu)</w:t>
        </w:r>
      </w:hyperlink>
      <w:r>
        <w:rPr>
          <w:rStyle w:val="Hyperlink"/>
          <w:sz w:val="18"/>
        </w:rPr>
        <w:t>.</w:t>
      </w:r>
    </w:p>
  </w:footnote>
  <w:footnote w:id="52">
    <w:p w14:paraId="35F1D62A" w14:textId="7D9FA320" w:rsidR="00EA6712" w:rsidRPr="00386382" w:rsidRDefault="00EA6712" w:rsidP="00EA6712">
      <w:pPr>
        <w:pStyle w:val="FootnoteText"/>
        <w:ind w:left="170" w:hanging="170"/>
      </w:pPr>
      <w:r>
        <w:rPr>
          <w:rStyle w:val="FootnoteReference"/>
        </w:rPr>
        <w:footnoteRef/>
      </w:r>
      <w:r>
        <w:tab/>
      </w:r>
      <w:hyperlink r:id="rId14" w:history="1">
        <w:r>
          <w:rPr>
            <w:rStyle w:val="Hyperlink"/>
            <w:sz w:val="18"/>
          </w:rPr>
          <w:t>Оценка на DE</w:t>
        </w:r>
      </w:hyperlink>
      <w:r>
        <w:rPr>
          <w:rStyle w:val="Hyperlink"/>
          <w:sz w:val="18"/>
        </w:rPr>
        <w:t>.</w:t>
      </w:r>
    </w:p>
  </w:footnote>
  <w:footnote w:id="53">
    <w:p w14:paraId="56F4F82D" w14:textId="316D3A01" w:rsidR="00EA6712" w:rsidRPr="00D9165F" w:rsidRDefault="00EA6712" w:rsidP="00EA6712">
      <w:pPr>
        <w:ind w:left="170" w:hanging="170"/>
      </w:pPr>
      <w:r>
        <w:rPr>
          <w:rStyle w:val="FootnoteReference"/>
          <w:rFonts w:ascii="Times New Roman" w:hAnsi="Times New Roman" w:cs="Times New Roman"/>
          <w:sz w:val="18"/>
          <w:szCs w:val="18"/>
        </w:rPr>
        <w:footnoteRef/>
      </w:r>
      <w:r>
        <w:rPr>
          <w:rFonts w:ascii="Times New Roman" w:hAnsi="Times New Roman"/>
          <w:sz w:val="18"/>
        </w:rPr>
        <w:t xml:space="preserve"> </w:t>
      </w:r>
      <w:r>
        <w:tab/>
      </w:r>
      <w:hyperlink r:id="rId15" w:history="1">
        <w:r>
          <w:rPr>
            <w:rStyle w:val="Hyperlink"/>
            <w:rFonts w:ascii="Times New Roman" w:hAnsi="Times New Roman"/>
            <w:sz w:val="18"/>
          </w:rPr>
          <w:t>Оценка на SE</w:t>
        </w:r>
      </w:hyperlink>
      <w:r>
        <w:rPr>
          <w:rFonts w:ascii="Times New Roman" w:hAnsi="Times New Roman"/>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5576A" w14:textId="77777777" w:rsidR="00C466D8" w:rsidRPr="00C466D8" w:rsidRDefault="00C466D8" w:rsidP="00C466D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4EE92" w14:textId="77777777" w:rsidR="00C466D8" w:rsidRPr="00C466D8" w:rsidRDefault="00C466D8" w:rsidP="00C466D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B88A2" w14:textId="77777777" w:rsidR="00C466D8" w:rsidRPr="00C466D8" w:rsidRDefault="00C466D8" w:rsidP="00C466D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FB310" w14:textId="77777777" w:rsidR="00EA6712" w:rsidRDefault="00EA67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6A1BB" w14:textId="77777777" w:rsidR="00EA6712" w:rsidRDefault="00EA67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D2723" w14:textId="77777777" w:rsidR="00EA6712" w:rsidRDefault="00EA6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888"/>
    <w:multiLevelType w:val="hybridMultilevel"/>
    <w:tmpl w:val="ACACB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1F3BA4"/>
    <w:multiLevelType w:val="multilevel"/>
    <w:tmpl w:val="276A638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486349"/>
    <w:multiLevelType w:val="hybridMultilevel"/>
    <w:tmpl w:val="8A8211D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 w15:restartNumberingAfterBreak="0">
    <w:nsid w:val="1AC6434A"/>
    <w:multiLevelType w:val="hybridMultilevel"/>
    <w:tmpl w:val="4900F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173A4D"/>
    <w:multiLevelType w:val="hybridMultilevel"/>
    <w:tmpl w:val="9836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27E26"/>
    <w:multiLevelType w:val="hybridMultilevel"/>
    <w:tmpl w:val="9B28D950"/>
    <w:lvl w:ilvl="0" w:tplc="58923A5C">
      <w:start w:val="1"/>
      <w:numFmt w:val="bullet"/>
      <w:lvlText w:val="•"/>
      <w:lvlJc w:val="left"/>
      <w:pPr>
        <w:tabs>
          <w:tab w:val="num" w:pos="720"/>
        </w:tabs>
        <w:ind w:left="720" w:hanging="360"/>
      </w:pPr>
      <w:rPr>
        <w:rFonts w:ascii="Arial" w:hAnsi="Arial" w:hint="default"/>
      </w:rPr>
    </w:lvl>
    <w:lvl w:ilvl="1" w:tplc="63BEF738" w:tentative="1">
      <w:start w:val="1"/>
      <w:numFmt w:val="bullet"/>
      <w:lvlText w:val="•"/>
      <w:lvlJc w:val="left"/>
      <w:pPr>
        <w:tabs>
          <w:tab w:val="num" w:pos="1440"/>
        </w:tabs>
        <w:ind w:left="1440" w:hanging="360"/>
      </w:pPr>
      <w:rPr>
        <w:rFonts w:ascii="Arial" w:hAnsi="Arial" w:hint="default"/>
      </w:rPr>
    </w:lvl>
    <w:lvl w:ilvl="2" w:tplc="CB7E406E" w:tentative="1">
      <w:start w:val="1"/>
      <w:numFmt w:val="bullet"/>
      <w:lvlText w:val="•"/>
      <w:lvlJc w:val="left"/>
      <w:pPr>
        <w:tabs>
          <w:tab w:val="num" w:pos="2160"/>
        </w:tabs>
        <w:ind w:left="2160" w:hanging="360"/>
      </w:pPr>
      <w:rPr>
        <w:rFonts w:ascii="Arial" w:hAnsi="Arial" w:hint="default"/>
      </w:rPr>
    </w:lvl>
    <w:lvl w:ilvl="3" w:tplc="0AEE8C96" w:tentative="1">
      <w:start w:val="1"/>
      <w:numFmt w:val="bullet"/>
      <w:lvlText w:val="•"/>
      <w:lvlJc w:val="left"/>
      <w:pPr>
        <w:tabs>
          <w:tab w:val="num" w:pos="2880"/>
        </w:tabs>
        <w:ind w:left="2880" w:hanging="360"/>
      </w:pPr>
      <w:rPr>
        <w:rFonts w:ascii="Arial" w:hAnsi="Arial" w:hint="default"/>
      </w:rPr>
    </w:lvl>
    <w:lvl w:ilvl="4" w:tplc="E6481F80" w:tentative="1">
      <w:start w:val="1"/>
      <w:numFmt w:val="bullet"/>
      <w:lvlText w:val="•"/>
      <w:lvlJc w:val="left"/>
      <w:pPr>
        <w:tabs>
          <w:tab w:val="num" w:pos="3600"/>
        </w:tabs>
        <w:ind w:left="3600" w:hanging="360"/>
      </w:pPr>
      <w:rPr>
        <w:rFonts w:ascii="Arial" w:hAnsi="Arial" w:hint="default"/>
      </w:rPr>
    </w:lvl>
    <w:lvl w:ilvl="5" w:tplc="BE2C50DC" w:tentative="1">
      <w:start w:val="1"/>
      <w:numFmt w:val="bullet"/>
      <w:lvlText w:val="•"/>
      <w:lvlJc w:val="left"/>
      <w:pPr>
        <w:tabs>
          <w:tab w:val="num" w:pos="4320"/>
        </w:tabs>
        <w:ind w:left="4320" w:hanging="360"/>
      </w:pPr>
      <w:rPr>
        <w:rFonts w:ascii="Arial" w:hAnsi="Arial" w:hint="default"/>
      </w:rPr>
    </w:lvl>
    <w:lvl w:ilvl="6" w:tplc="5D224A9C" w:tentative="1">
      <w:start w:val="1"/>
      <w:numFmt w:val="bullet"/>
      <w:lvlText w:val="•"/>
      <w:lvlJc w:val="left"/>
      <w:pPr>
        <w:tabs>
          <w:tab w:val="num" w:pos="5040"/>
        </w:tabs>
        <w:ind w:left="5040" w:hanging="360"/>
      </w:pPr>
      <w:rPr>
        <w:rFonts w:ascii="Arial" w:hAnsi="Arial" w:hint="default"/>
      </w:rPr>
    </w:lvl>
    <w:lvl w:ilvl="7" w:tplc="8FB0BB48" w:tentative="1">
      <w:start w:val="1"/>
      <w:numFmt w:val="bullet"/>
      <w:lvlText w:val="•"/>
      <w:lvlJc w:val="left"/>
      <w:pPr>
        <w:tabs>
          <w:tab w:val="num" w:pos="5760"/>
        </w:tabs>
        <w:ind w:left="5760" w:hanging="360"/>
      </w:pPr>
      <w:rPr>
        <w:rFonts w:ascii="Arial" w:hAnsi="Arial" w:hint="default"/>
      </w:rPr>
    </w:lvl>
    <w:lvl w:ilvl="8" w:tplc="6CF0B8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B37CAC"/>
    <w:multiLevelType w:val="hybridMultilevel"/>
    <w:tmpl w:val="27F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D704B"/>
    <w:multiLevelType w:val="hybridMultilevel"/>
    <w:tmpl w:val="76AAC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40C7394"/>
    <w:multiLevelType w:val="hybridMultilevel"/>
    <w:tmpl w:val="A7C48E36"/>
    <w:lvl w:ilvl="0" w:tplc="4E84A74A">
      <w:start w:val="1"/>
      <w:numFmt w:val="bullet"/>
      <w:lvlText w:val=""/>
      <w:lvlJc w:val="left"/>
      <w:pPr>
        <w:ind w:left="720" w:hanging="360"/>
      </w:pPr>
      <w:rPr>
        <w:rFonts w:ascii="Symbol" w:hAnsi="Symbol"/>
      </w:rPr>
    </w:lvl>
    <w:lvl w:ilvl="1" w:tplc="6BC83468">
      <w:start w:val="1"/>
      <w:numFmt w:val="bullet"/>
      <w:lvlText w:val=""/>
      <w:lvlJc w:val="left"/>
      <w:pPr>
        <w:ind w:left="720" w:hanging="360"/>
      </w:pPr>
      <w:rPr>
        <w:rFonts w:ascii="Symbol" w:hAnsi="Symbol"/>
      </w:rPr>
    </w:lvl>
    <w:lvl w:ilvl="2" w:tplc="F622221C">
      <w:start w:val="1"/>
      <w:numFmt w:val="bullet"/>
      <w:lvlText w:val=""/>
      <w:lvlJc w:val="left"/>
      <w:pPr>
        <w:ind w:left="720" w:hanging="360"/>
      </w:pPr>
      <w:rPr>
        <w:rFonts w:ascii="Symbol" w:hAnsi="Symbol"/>
      </w:rPr>
    </w:lvl>
    <w:lvl w:ilvl="3" w:tplc="E41EDE54">
      <w:start w:val="1"/>
      <w:numFmt w:val="bullet"/>
      <w:lvlText w:val=""/>
      <w:lvlJc w:val="left"/>
      <w:pPr>
        <w:ind w:left="720" w:hanging="360"/>
      </w:pPr>
      <w:rPr>
        <w:rFonts w:ascii="Symbol" w:hAnsi="Symbol"/>
      </w:rPr>
    </w:lvl>
    <w:lvl w:ilvl="4" w:tplc="BA143EFE">
      <w:start w:val="1"/>
      <w:numFmt w:val="bullet"/>
      <w:lvlText w:val=""/>
      <w:lvlJc w:val="left"/>
      <w:pPr>
        <w:ind w:left="720" w:hanging="360"/>
      </w:pPr>
      <w:rPr>
        <w:rFonts w:ascii="Symbol" w:hAnsi="Symbol"/>
      </w:rPr>
    </w:lvl>
    <w:lvl w:ilvl="5" w:tplc="2BBADD24">
      <w:start w:val="1"/>
      <w:numFmt w:val="bullet"/>
      <w:lvlText w:val=""/>
      <w:lvlJc w:val="left"/>
      <w:pPr>
        <w:ind w:left="720" w:hanging="360"/>
      </w:pPr>
      <w:rPr>
        <w:rFonts w:ascii="Symbol" w:hAnsi="Symbol"/>
      </w:rPr>
    </w:lvl>
    <w:lvl w:ilvl="6" w:tplc="3516E0C8">
      <w:start w:val="1"/>
      <w:numFmt w:val="bullet"/>
      <w:lvlText w:val=""/>
      <w:lvlJc w:val="left"/>
      <w:pPr>
        <w:ind w:left="720" w:hanging="360"/>
      </w:pPr>
      <w:rPr>
        <w:rFonts w:ascii="Symbol" w:hAnsi="Symbol"/>
      </w:rPr>
    </w:lvl>
    <w:lvl w:ilvl="7" w:tplc="FB1C0226">
      <w:start w:val="1"/>
      <w:numFmt w:val="bullet"/>
      <w:lvlText w:val=""/>
      <w:lvlJc w:val="left"/>
      <w:pPr>
        <w:ind w:left="720" w:hanging="360"/>
      </w:pPr>
      <w:rPr>
        <w:rFonts w:ascii="Symbol" w:hAnsi="Symbol"/>
      </w:rPr>
    </w:lvl>
    <w:lvl w:ilvl="8" w:tplc="EF02DD0C">
      <w:start w:val="1"/>
      <w:numFmt w:val="bullet"/>
      <w:lvlText w:val=""/>
      <w:lvlJc w:val="left"/>
      <w:pPr>
        <w:ind w:left="720" w:hanging="360"/>
      </w:pPr>
      <w:rPr>
        <w:rFonts w:ascii="Symbol" w:hAnsi="Symbol"/>
      </w:rPr>
    </w:lvl>
  </w:abstractNum>
  <w:abstractNum w:abstractNumId="9" w15:restartNumberingAfterBreak="0">
    <w:nsid w:val="34805871"/>
    <w:multiLevelType w:val="multilevel"/>
    <w:tmpl w:val="2230149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ED3014"/>
    <w:multiLevelType w:val="hybridMultilevel"/>
    <w:tmpl w:val="9B7E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C060C"/>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810683"/>
    <w:multiLevelType w:val="hybridMultilevel"/>
    <w:tmpl w:val="10283E14"/>
    <w:lvl w:ilvl="0" w:tplc="18F2763A">
      <w:start w:val="1"/>
      <w:numFmt w:val="lowerLetter"/>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E03646">
      <w:start w:val="1"/>
      <w:numFmt w:val="decimal"/>
      <w:lvlText w:val="(%2)"/>
      <w:lvlJc w:val="left"/>
      <w:pPr>
        <w:ind w:left="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E4F7A2">
      <w:start w:val="1"/>
      <w:numFmt w:val="lowerRoman"/>
      <w:lvlText w:val="%3"/>
      <w:lvlJc w:val="left"/>
      <w:pPr>
        <w:ind w:left="14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7CF64E">
      <w:start w:val="1"/>
      <w:numFmt w:val="decimal"/>
      <w:lvlText w:val="%4"/>
      <w:lvlJc w:val="left"/>
      <w:pPr>
        <w:ind w:left="2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885ADC">
      <w:start w:val="1"/>
      <w:numFmt w:val="lowerLetter"/>
      <w:lvlText w:val="%5"/>
      <w:lvlJc w:val="left"/>
      <w:pPr>
        <w:ind w:left="29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E40802">
      <w:start w:val="1"/>
      <w:numFmt w:val="lowerRoman"/>
      <w:lvlText w:val="%6"/>
      <w:lvlJc w:val="left"/>
      <w:pPr>
        <w:ind w:left="36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9235FC">
      <w:start w:val="1"/>
      <w:numFmt w:val="decimal"/>
      <w:lvlText w:val="%7"/>
      <w:lvlJc w:val="left"/>
      <w:pPr>
        <w:ind w:left="43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2C7912">
      <w:start w:val="1"/>
      <w:numFmt w:val="lowerLetter"/>
      <w:lvlText w:val="%8"/>
      <w:lvlJc w:val="left"/>
      <w:pPr>
        <w:ind w:left="5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B67456">
      <w:start w:val="1"/>
      <w:numFmt w:val="lowerRoman"/>
      <w:lvlText w:val="%9"/>
      <w:lvlJc w:val="left"/>
      <w:pPr>
        <w:ind w:left="5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8D2B27"/>
    <w:multiLevelType w:val="hybridMultilevel"/>
    <w:tmpl w:val="52E455C6"/>
    <w:lvl w:ilvl="0" w:tplc="07FE185E">
      <w:start w:val="1"/>
      <w:numFmt w:val="lowerLetter"/>
      <w:lvlText w:val="(%1)"/>
      <w:lvlJc w:val="left"/>
      <w:pPr>
        <w:ind w:left="1210" w:hanging="360"/>
      </w:pPr>
      <w:rPr>
        <w:rFonts w:hint="default"/>
      </w:rPr>
    </w:lvl>
    <w:lvl w:ilvl="1" w:tplc="04100003" w:tentative="1">
      <w:start w:val="1"/>
      <w:numFmt w:val="bullet"/>
      <w:lvlText w:val="o"/>
      <w:lvlJc w:val="left"/>
      <w:pPr>
        <w:ind w:left="1930" w:hanging="360"/>
      </w:pPr>
      <w:rPr>
        <w:rFonts w:ascii="Courier New" w:hAnsi="Courier New" w:cs="Courier New" w:hint="default"/>
      </w:rPr>
    </w:lvl>
    <w:lvl w:ilvl="2" w:tplc="04100005" w:tentative="1">
      <w:start w:val="1"/>
      <w:numFmt w:val="bullet"/>
      <w:lvlText w:val=""/>
      <w:lvlJc w:val="left"/>
      <w:pPr>
        <w:ind w:left="2650" w:hanging="360"/>
      </w:pPr>
      <w:rPr>
        <w:rFonts w:ascii="Wingdings" w:hAnsi="Wingdings" w:hint="default"/>
      </w:rPr>
    </w:lvl>
    <w:lvl w:ilvl="3" w:tplc="04100001" w:tentative="1">
      <w:start w:val="1"/>
      <w:numFmt w:val="bullet"/>
      <w:lvlText w:val=""/>
      <w:lvlJc w:val="left"/>
      <w:pPr>
        <w:ind w:left="3370" w:hanging="360"/>
      </w:pPr>
      <w:rPr>
        <w:rFonts w:ascii="Symbol" w:hAnsi="Symbol" w:hint="default"/>
      </w:rPr>
    </w:lvl>
    <w:lvl w:ilvl="4" w:tplc="04100003" w:tentative="1">
      <w:start w:val="1"/>
      <w:numFmt w:val="bullet"/>
      <w:lvlText w:val="o"/>
      <w:lvlJc w:val="left"/>
      <w:pPr>
        <w:ind w:left="4090" w:hanging="360"/>
      </w:pPr>
      <w:rPr>
        <w:rFonts w:ascii="Courier New" w:hAnsi="Courier New" w:cs="Courier New" w:hint="default"/>
      </w:rPr>
    </w:lvl>
    <w:lvl w:ilvl="5" w:tplc="04100005" w:tentative="1">
      <w:start w:val="1"/>
      <w:numFmt w:val="bullet"/>
      <w:lvlText w:val=""/>
      <w:lvlJc w:val="left"/>
      <w:pPr>
        <w:ind w:left="4810" w:hanging="360"/>
      </w:pPr>
      <w:rPr>
        <w:rFonts w:ascii="Wingdings" w:hAnsi="Wingdings" w:hint="default"/>
      </w:rPr>
    </w:lvl>
    <w:lvl w:ilvl="6" w:tplc="04100001" w:tentative="1">
      <w:start w:val="1"/>
      <w:numFmt w:val="bullet"/>
      <w:lvlText w:val=""/>
      <w:lvlJc w:val="left"/>
      <w:pPr>
        <w:ind w:left="5530" w:hanging="360"/>
      </w:pPr>
      <w:rPr>
        <w:rFonts w:ascii="Symbol" w:hAnsi="Symbol" w:hint="default"/>
      </w:rPr>
    </w:lvl>
    <w:lvl w:ilvl="7" w:tplc="04100003" w:tentative="1">
      <w:start w:val="1"/>
      <w:numFmt w:val="bullet"/>
      <w:lvlText w:val="o"/>
      <w:lvlJc w:val="left"/>
      <w:pPr>
        <w:ind w:left="6250" w:hanging="360"/>
      </w:pPr>
      <w:rPr>
        <w:rFonts w:ascii="Courier New" w:hAnsi="Courier New" w:cs="Courier New" w:hint="default"/>
      </w:rPr>
    </w:lvl>
    <w:lvl w:ilvl="8" w:tplc="04100005" w:tentative="1">
      <w:start w:val="1"/>
      <w:numFmt w:val="bullet"/>
      <w:lvlText w:val=""/>
      <w:lvlJc w:val="left"/>
      <w:pPr>
        <w:ind w:left="6970" w:hanging="360"/>
      </w:pPr>
      <w:rPr>
        <w:rFonts w:ascii="Wingdings" w:hAnsi="Wingdings" w:hint="default"/>
      </w:rPr>
    </w:lvl>
  </w:abstractNum>
  <w:abstractNum w:abstractNumId="14" w15:restartNumberingAfterBreak="0">
    <w:nsid w:val="472E74C9"/>
    <w:multiLevelType w:val="hybridMultilevel"/>
    <w:tmpl w:val="2A80E46E"/>
    <w:lvl w:ilvl="0" w:tplc="8FBEE7A4">
      <w:start w:val="3"/>
      <w:numFmt w:val="bullet"/>
      <w:lvlText w:val="-"/>
      <w:lvlJc w:val="left"/>
      <w:pPr>
        <w:ind w:left="1210" w:hanging="360"/>
      </w:pPr>
      <w:rPr>
        <w:rFonts w:ascii="Times New Roman" w:eastAsia="Times New Roman" w:hAnsi="Times New Roman" w:cs="Times New Roman" w:hint="default"/>
      </w:rPr>
    </w:lvl>
    <w:lvl w:ilvl="1" w:tplc="04100003" w:tentative="1">
      <w:start w:val="1"/>
      <w:numFmt w:val="bullet"/>
      <w:lvlText w:val="o"/>
      <w:lvlJc w:val="left"/>
      <w:pPr>
        <w:ind w:left="1930" w:hanging="360"/>
      </w:pPr>
      <w:rPr>
        <w:rFonts w:ascii="Courier New" w:hAnsi="Courier New" w:cs="Courier New" w:hint="default"/>
      </w:rPr>
    </w:lvl>
    <w:lvl w:ilvl="2" w:tplc="04100005" w:tentative="1">
      <w:start w:val="1"/>
      <w:numFmt w:val="bullet"/>
      <w:lvlText w:val=""/>
      <w:lvlJc w:val="left"/>
      <w:pPr>
        <w:ind w:left="2650" w:hanging="360"/>
      </w:pPr>
      <w:rPr>
        <w:rFonts w:ascii="Wingdings" w:hAnsi="Wingdings" w:hint="default"/>
      </w:rPr>
    </w:lvl>
    <w:lvl w:ilvl="3" w:tplc="04100001" w:tentative="1">
      <w:start w:val="1"/>
      <w:numFmt w:val="bullet"/>
      <w:lvlText w:val=""/>
      <w:lvlJc w:val="left"/>
      <w:pPr>
        <w:ind w:left="3370" w:hanging="360"/>
      </w:pPr>
      <w:rPr>
        <w:rFonts w:ascii="Symbol" w:hAnsi="Symbol" w:hint="default"/>
      </w:rPr>
    </w:lvl>
    <w:lvl w:ilvl="4" w:tplc="04100003" w:tentative="1">
      <w:start w:val="1"/>
      <w:numFmt w:val="bullet"/>
      <w:lvlText w:val="o"/>
      <w:lvlJc w:val="left"/>
      <w:pPr>
        <w:ind w:left="4090" w:hanging="360"/>
      </w:pPr>
      <w:rPr>
        <w:rFonts w:ascii="Courier New" w:hAnsi="Courier New" w:cs="Courier New" w:hint="default"/>
      </w:rPr>
    </w:lvl>
    <w:lvl w:ilvl="5" w:tplc="04100005" w:tentative="1">
      <w:start w:val="1"/>
      <w:numFmt w:val="bullet"/>
      <w:lvlText w:val=""/>
      <w:lvlJc w:val="left"/>
      <w:pPr>
        <w:ind w:left="4810" w:hanging="360"/>
      </w:pPr>
      <w:rPr>
        <w:rFonts w:ascii="Wingdings" w:hAnsi="Wingdings" w:hint="default"/>
      </w:rPr>
    </w:lvl>
    <w:lvl w:ilvl="6" w:tplc="04100001" w:tentative="1">
      <w:start w:val="1"/>
      <w:numFmt w:val="bullet"/>
      <w:lvlText w:val=""/>
      <w:lvlJc w:val="left"/>
      <w:pPr>
        <w:ind w:left="5530" w:hanging="360"/>
      </w:pPr>
      <w:rPr>
        <w:rFonts w:ascii="Symbol" w:hAnsi="Symbol" w:hint="default"/>
      </w:rPr>
    </w:lvl>
    <w:lvl w:ilvl="7" w:tplc="04100003" w:tentative="1">
      <w:start w:val="1"/>
      <w:numFmt w:val="bullet"/>
      <w:lvlText w:val="o"/>
      <w:lvlJc w:val="left"/>
      <w:pPr>
        <w:ind w:left="6250" w:hanging="360"/>
      </w:pPr>
      <w:rPr>
        <w:rFonts w:ascii="Courier New" w:hAnsi="Courier New" w:cs="Courier New" w:hint="default"/>
      </w:rPr>
    </w:lvl>
    <w:lvl w:ilvl="8" w:tplc="04100005" w:tentative="1">
      <w:start w:val="1"/>
      <w:numFmt w:val="bullet"/>
      <w:lvlText w:val=""/>
      <w:lvlJc w:val="left"/>
      <w:pPr>
        <w:ind w:left="6970" w:hanging="360"/>
      </w:pPr>
      <w:rPr>
        <w:rFonts w:ascii="Wingdings" w:hAnsi="Wingdings" w:hint="default"/>
      </w:rPr>
    </w:lvl>
  </w:abstractNum>
  <w:abstractNum w:abstractNumId="15" w15:restartNumberingAfterBreak="0">
    <w:nsid w:val="49A171ED"/>
    <w:multiLevelType w:val="multilevel"/>
    <w:tmpl w:val="B6FA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D74D67"/>
    <w:multiLevelType w:val="hybridMultilevel"/>
    <w:tmpl w:val="71D6A5F4"/>
    <w:lvl w:ilvl="0" w:tplc="0406A292">
      <w:start w:val="1"/>
      <w:numFmt w:val="bullet"/>
      <w:lvlText w:val=""/>
      <w:lvlJc w:val="left"/>
      <w:pPr>
        <w:ind w:left="720" w:hanging="360"/>
      </w:pPr>
      <w:rPr>
        <w:rFonts w:ascii="Symbol" w:hAnsi="Symbol"/>
      </w:rPr>
    </w:lvl>
    <w:lvl w:ilvl="1" w:tplc="5768BDBE">
      <w:start w:val="1"/>
      <w:numFmt w:val="bullet"/>
      <w:lvlText w:val=""/>
      <w:lvlJc w:val="left"/>
      <w:pPr>
        <w:ind w:left="720" w:hanging="360"/>
      </w:pPr>
      <w:rPr>
        <w:rFonts w:ascii="Symbol" w:hAnsi="Symbol"/>
      </w:rPr>
    </w:lvl>
    <w:lvl w:ilvl="2" w:tplc="A28A108A">
      <w:start w:val="1"/>
      <w:numFmt w:val="bullet"/>
      <w:lvlText w:val=""/>
      <w:lvlJc w:val="left"/>
      <w:pPr>
        <w:ind w:left="720" w:hanging="360"/>
      </w:pPr>
      <w:rPr>
        <w:rFonts w:ascii="Symbol" w:hAnsi="Symbol"/>
      </w:rPr>
    </w:lvl>
    <w:lvl w:ilvl="3" w:tplc="0352E188">
      <w:start w:val="1"/>
      <w:numFmt w:val="bullet"/>
      <w:lvlText w:val=""/>
      <w:lvlJc w:val="left"/>
      <w:pPr>
        <w:ind w:left="720" w:hanging="360"/>
      </w:pPr>
      <w:rPr>
        <w:rFonts w:ascii="Symbol" w:hAnsi="Symbol"/>
      </w:rPr>
    </w:lvl>
    <w:lvl w:ilvl="4" w:tplc="DF36CA2E">
      <w:start w:val="1"/>
      <w:numFmt w:val="bullet"/>
      <w:lvlText w:val=""/>
      <w:lvlJc w:val="left"/>
      <w:pPr>
        <w:ind w:left="720" w:hanging="360"/>
      </w:pPr>
      <w:rPr>
        <w:rFonts w:ascii="Symbol" w:hAnsi="Symbol"/>
      </w:rPr>
    </w:lvl>
    <w:lvl w:ilvl="5" w:tplc="EE527CF2">
      <w:start w:val="1"/>
      <w:numFmt w:val="bullet"/>
      <w:lvlText w:val=""/>
      <w:lvlJc w:val="left"/>
      <w:pPr>
        <w:ind w:left="720" w:hanging="360"/>
      </w:pPr>
      <w:rPr>
        <w:rFonts w:ascii="Symbol" w:hAnsi="Symbol"/>
      </w:rPr>
    </w:lvl>
    <w:lvl w:ilvl="6" w:tplc="C65A27C6">
      <w:start w:val="1"/>
      <w:numFmt w:val="bullet"/>
      <w:lvlText w:val=""/>
      <w:lvlJc w:val="left"/>
      <w:pPr>
        <w:ind w:left="720" w:hanging="360"/>
      </w:pPr>
      <w:rPr>
        <w:rFonts w:ascii="Symbol" w:hAnsi="Symbol"/>
      </w:rPr>
    </w:lvl>
    <w:lvl w:ilvl="7" w:tplc="5A222574">
      <w:start w:val="1"/>
      <w:numFmt w:val="bullet"/>
      <w:lvlText w:val=""/>
      <w:lvlJc w:val="left"/>
      <w:pPr>
        <w:ind w:left="720" w:hanging="360"/>
      </w:pPr>
      <w:rPr>
        <w:rFonts w:ascii="Symbol" w:hAnsi="Symbol"/>
      </w:rPr>
    </w:lvl>
    <w:lvl w:ilvl="8" w:tplc="3D9E3288">
      <w:start w:val="1"/>
      <w:numFmt w:val="bullet"/>
      <w:lvlText w:val=""/>
      <w:lvlJc w:val="left"/>
      <w:pPr>
        <w:ind w:left="720" w:hanging="360"/>
      </w:pPr>
      <w:rPr>
        <w:rFonts w:ascii="Symbol" w:hAnsi="Symbol"/>
      </w:rPr>
    </w:lvl>
  </w:abstractNum>
  <w:abstractNum w:abstractNumId="17" w15:restartNumberingAfterBreak="0">
    <w:nsid w:val="57F76C91"/>
    <w:multiLevelType w:val="hybridMultilevel"/>
    <w:tmpl w:val="4FCE0F1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63BE4D08"/>
    <w:multiLevelType w:val="hybridMultilevel"/>
    <w:tmpl w:val="0FD6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12FA4"/>
    <w:multiLevelType w:val="multilevel"/>
    <w:tmpl w:val="EA5A3FE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sz w:val="24"/>
        <w:vertAlign w:val="baseline"/>
      </w:rPr>
    </w:lvl>
    <w:lvl w:ilvl="2">
      <w:start w:val="1"/>
      <w:numFmt w:val="decimal"/>
      <w:pStyle w:val="Heading3"/>
      <w:lvlText w:val="%1.%2.%3."/>
      <w:lvlJc w:val="left"/>
      <w:pPr>
        <w:tabs>
          <w:tab w:val="num" w:pos="1842"/>
        </w:tabs>
        <w:ind w:left="1842" w:hanging="850"/>
      </w:pPr>
      <w:rPr>
        <w:b/>
        <w:i w:val="0"/>
      </w:rPr>
    </w:lvl>
    <w:lvl w:ilvl="3">
      <w:start w:val="1"/>
      <w:numFmt w:val="decimal"/>
      <w:pStyle w:val="Heading4"/>
      <w:lvlText w:val="%1.%2.%3.%4."/>
      <w:lvlJc w:val="left"/>
      <w:pPr>
        <w:tabs>
          <w:tab w:val="num" w:pos="850"/>
        </w:tabs>
        <w:ind w:left="850" w:hanging="85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20" w15:restartNumberingAfterBreak="0">
    <w:nsid w:val="65233EED"/>
    <w:multiLevelType w:val="hybridMultilevel"/>
    <w:tmpl w:val="BC7C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52A37"/>
    <w:multiLevelType w:val="hybridMultilevel"/>
    <w:tmpl w:val="4428FD22"/>
    <w:lvl w:ilvl="0" w:tplc="C60E8B4C">
      <w:start w:val="1"/>
      <w:numFmt w:val="decimal"/>
      <w:lvlText w:val="%1."/>
      <w:lvlJc w:val="left"/>
      <w:pPr>
        <w:ind w:left="360" w:hanging="360"/>
      </w:pPr>
      <w:rPr>
        <w:rFonts w:ascii="Times New Roman" w:hAnsi="Times New Roman" w:cs="Times New Roman" w:hint="default"/>
        <w:b w:val="0"/>
        <w:bCs w:val="0"/>
        <w:strike w:val="0"/>
        <w:sz w:val="24"/>
        <w:szCs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6A2B46E4"/>
    <w:multiLevelType w:val="hybridMultilevel"/>
    <w:tmpl w:val="D3B6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03890"/>
    <w:multiLevelType w:val="hybridMultilevel"/>
    <w:tmpl w:val="2FDC5E5E"/>
    <w:lvl w:ilvl="0" w:tplc="64B6F164">
      <w:start w:val="1"/>
      <w:numFmt w:val="bullet"/>
      <w:lvlText w:val="-"/>
      <w:lvlJc w:val="left"/>
      <w:pPr>
        <w:ind w:left="1210" w:hanging="360"/>
      </w:pPr>
      <w:rPr>
        <w:rFonts w:ascii="Times New Roman" w:eastAsia="Times New Roman" w:hAnsi="Times New Roman" w:cs="Times New Roman" w:hint="default"/>
      </w:rPr>
    </w:lvl>
    <w:lvl w:ilvl="1" w:tplc="04100003" w:tentative="1">
      <w:start w:val="1"/>
      <w:numFmt w:val="bullet"/>
      <w:lvlText w:val="o"/>
      <w:lvlJc w:val="left"/>
      <w:pPr>
        <w:ind w:left="1930" w:hanging="360"/>
      </w:pPr>
      <w:rPr>
        <w:rFonts w:ascii="Courier New" w:hAnsi="Courier New" w:cs="Courier New" w:hint="default"/>
      </w:rPr>
    </w:lvl>
    <w:lvl w:ilvl="2" w:tplc="04100005" w:tentative="1">
      <w:start w:val="1"/>
      <w:numFmt w:val="bullet"/>
      <w:lvlText w:val=""/>
      <w:lvlJc w:val="left"/>
      <w:pPr>
        <w:ind w:left="2650" w:hanging="360"/>
      </w:pPr>
      <w:rPr>
        <w:rFonts w:ascii="Wingdings" w:hAnsi="Wingdings" w:hint="default"/>
      </w:rPr>
    </w:lvl>
    <w:lvl w:ilvl="3" w:tplc="04100001" w:tentative="1">
      <w:start w:val="1"/>
      <w:numFmt w:val="bullet"/>
      <w:lvlText w:val=""/>
      <w:lvlJc w:val="left"/>
      <w:pPr>
        <w:ind w:left="3370" w:hanging="360"/>
      </w:pPr>
      <w:rPr>
        <w:rFonts w:ascii="Symbol" w:hAnsi="Symbol" w:hint="default"/>
      </w:rPr>
    </w:lvl>
    <w:lvl w:ilvl="4" w:tplc="04100003" w:tentative="1">
      <w:start w:val="1"/>
      <w:numFmt w:val="bullet"/>
      <w:lvlText w:val="o"/>
      <w:lvlJc w:val="left"/>
      <w:pPr>
        <w:ind w:left="4090" w:hanging="360"/>
      </w:pPr>
      <w:rPr>
        <w:rFonts w:ascii="Courier New" w:hAnsi="Courier New" w:cs="Courier New" w:hint="default"/>
      </w:rPr>
    </w:lvl>
    <w:lvl w:ilvl="5" w:tplc="04100005" w:tentative="1">
      <w:start w:val="1"/>
      <w:numFmt w:val="bullet"/>
      <w:lvlText w:val=""/>
      <w:lvlJc w:val="left"/>
      <w:pPr>
        <w:ind w:left="4810" w:hanging="360"/>
      </w:pPr>
      <w:rPr>
        <w:rFonts w:ascii="Wingdings" w:hAnsi="Wingdings" w:hint="default"/>
      </w:rPr>
    </w:lvl>
    <w:lvl w:ilvl="6" w:tplc="04100001" w:tentative="1">
      <w:start w:val="1"/>
      <w:numFmt w:val="bullet"/>
      <w:lvlText w:val=""/>
      <w:lvlJc w:val="left"/>
      <w:pPr>
        <w:ind w:left="5530" w:hanging="360"/>
      </w:pPr>
      <w:rPr>
        <w:rFonts w:ascii="Symbol" w:hAnsi="Symbol" w:hint="default"/>
      </w:rPr>
    </w:lvl>
    <w:lvl w:ilvl="7" w:tplc="04100003" w:tentative="1">
      <w:start w:val="1"/>
      <w:numFmt w:val="bullet"/>
      <w:lvlText w:val="o"/>
      <w:lvlJc w:val="left"/>
      <w:pPr>
        <w:ind w:left="6250" w:hanging="360"/>
      </w:pPr>
      <w:rPr>
        <w:rFonts w:ascii="Courier New" w:hAnsi="Courier New" w:cs="Courier New" w:hint="default"/>
      </w:rPr>
    </w:lvl>
    <w:lvl w:ilvl="8" w:tplc="04100005" w:tentative="1">
      <w:start w:val="1"/>
      <w:numFmt w:val="bullet"/>
      <w:lvlText w:val=""/>
      <w:lvlJc w:val="left"/>
      <w:pPr>
        <w:ind w:left="6970" w:hanging="360"/>
      </w:pPr>
      <w:rPr>
        <w:rFonts w:ascii="Wingdings" w:hAnsi="Wingdings" w:hint="default"/>
      </w:rPr>
    </w:lvl>
  </w:abstractNum>
  <w:num w:numId="1">
    <w:abstractNumId w:val="1"/>
  </w:num>
  <w:num w:numId="2">
    <w:abstractNumId w:val="19"/>
  </w:num>
  <w:num w:numId="3">
    <w:abstractNumId w:val="2"/>
  </w:num>
  <w:num w:numId="4">
    <w:abstractNumId w:val="23"/>
  </w:num>
  <w:num w:numId="5">
    <w:abstractNumId w:val="13"/>
  </w:num>
  <w:num w:numId="6">
    <w:abstractNumId w:val="14"/>
  </w:num>
  <w:num w:numId="7">
    <w:abstractNumId w:val="9"/>
  </w:num>
  <w:num w:numId="8">
    <w:abstractNumId w:val="18"/>
  </w:num>
  <w:num w:numId="9">
    <w:abstractNumId w:val="4"/>
  </w:num>
  <w:num w:numId="10">
    <w:abstractNumId w:val="10"/>
  </w:num>
  <w:num w:numId="11">
    <w:abstractNumId w:val="20"/>
  </w:num>
  <w:num w:numId="12">
    <w:abstractNumId w:val="22"/>
  </w:num>
  <w:num w:numId="13">
    <w:abstractNumId w:val="6"/>
  </w:num>
  <w:num w:numId="14">
    <w:abstractNumId w:val="12"/>
  </w:num>
  <w:num w:numId="15">
    <w:abstractNumId w:val="15"/>
  </w:num>
  <w:num w:numId="16">
    <w:abstractNumId w:val="7"/>
  </w:num>
  <w:num w:numId="17">
    <w:abstractNumId w:val="5"/>
  </w:num>
  <w:num w:numId="18">
    <w:abstractNumId w:val="0"/>
  </w:num>
  <w:num w:numId="19">
    <w:abstractNumId w:val="3"/>
  </w:num>
  <w:num w:numId="20">
    <w:abstractNumId w:val="21"/>
  </w:num>
  <w:num w:numId="21">
    <w:abstractNumId w:val="17"/>
  </w:num>
  <w:num w:numId="22">
    <w:abstractNumId w:val="16"/>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39AA153-AD1A-4693-A395-4B61F371C9A3"/>
    <w:docVar w:name="LW_COVERPAGE_TYPE" w:val="1"/>
    <w:docVar w:name="LW_CROSSREFERENCE" w:val="{SWD(2024) 106 final}"/>
    <w:docVar w:name="LW_DocType" w:val="NORMAL"/>
    <w:docVar w:name="LW_EMISSION" w:val="23.4.2024"/>
    <w:docVar w:name="LW_EMISSION_ISODATE" w:val="2024-04-23"/>
    <w:docVar w:name="LW_EMISSION_LOCATION" w:val="BRX"/>
    <w:docVar w:name="LW_EMISSION_PREFIX" w:val="\u1041?\u1088?\u1102?\u1082?\u1089?\u1077?\u1083?, "/>
    <w:docVar w:name="LW_EMISSION_SUFFIX" w:val=" \u1075?."/>
    <w:docVar w:name="LW_ID_DOCTYPE_NONLW" w:val="CP-008"/>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4) 17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1055?\u1088?\u1080?\u1083?\u1072?\u1075?\u1072?\u1085?\u1077? \u1085?\u1072? \u1079?\u1072?\u1073?\u1088?\u1072?\u1085?\u1072?\u1090?\u1072? \u1079?\u1072? \u1085?\u1077?\u1083?\u1086?\u1103?\u1083?\u1085?\u1080? \u1090?\u1098?\u1088?\u1075?\u1086?\u1074?\u1089?\u1082?\u1080? \u1087?\u1088?\u1072?\u1082?\u1090?\u1080?\u1082?\u1080? \u1089? \u1094?\u1077?\u1083? \u1091?\u1082?\u1088?\u1077?\u1087?\u1074?\u1072?\u1085?\u1077? \u1085?\u1072? \u1087?\u1086?\u1079?\u1080?\u1094?\u1080?\u1103?\u1090?\u1072? \u1085?\u1072? \u1079?\u1077?\u1084?\u1077?\u1076?\u1077?\u1083?\u1089?\u1082?\u1080?\u1090?\u1077? \u1089?\u1090?\u1086?\u1087?\u1072?\u1085?\u1080? \u1080? \u1089?\u1090?\u1086?\u1087?\u1072?\u1085?\u1089?\u1082?\u1080?\u1090?\u1077? \u1089?\u1091?\u1073?\u1077?\u1082?\u1090?\u1080? \u1074?\u1098?\u1074? \u1074?\u1077?\u1088?\u1080?\u1075?\u1072?\u1090?\u1072? \u1079?\u1072? \u1076?\u1086?\u1089?\u1090?\u1072?\u1074?\u1082?\u1080? \u1085?\u1072? \u1089?\u1077?\u1083?\u1089?\u1082?\u1086?\u1089?\u1090?\u1086?\u1087?\u1072?\u1085?\u1089?\u1082?\u1080? \u1080? \u1093?\u1088?\u1072?\u1085?\u1080?\u1090?\u1077?\u1083?\u1085?\u1080? \u1087?\u1088?\u1086?\u1076?\u1091?\u1082?\u1090?\u1080? \u8212? \u1072?\u1082?\u1090?\u1091?\u1072?\u1083?\u1085?\u1086? \u1089?\u1098?\u1089?\u1090?\u1086?\u1103?\u1085?\u1080?\u1077?&lt;/FMT&gt;_x000b_"/>
    <w:docVar w:name="LW_TYPE.DOC.CP" w:val="\u1044?\u1054?\u1050?\u1051?\u1040?\u1044?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ApiVersions" w:val="LW4CoDe 1.24.5.0; LW 9.0, Build 20240221"/>
  </w:docVars>
  <w:rsids>
    <w:rsidRoot w:val="00EA6712"/>
    <w:rsid w:val="000004EC"/>
    <w:rsid w:val="00002F52"/>
    <w:rsid w:val="000042E4"/>
    <w:rsid w:val="000066E5"/>
    <w:rsid w:val="000115BD"/>
    <w:rsid w:val="000135D8"/>
    <w:rsid w:val="00015F78"/>
    <w:rsid w:val="000160A1"/>
    <w:rsid w:val="0001745C"/>
    <w:rsid w:val="00021BE0"/>
    <w:rsid w:val="000241FE"/>
    <w:rsid w:val="00027604"/>
    <w:rsid w:val="00030746"/>
    <w:rsid w:val="00031235"/>
    <w:rsid w:val="00031637"/>
    <w:rsid w:val="000317E9"/>
    <w:rsid w:val="00031806"/>
    <w:rsid w:val="00031BDA"/>
    <w:rsid w:val="00034ACA"/>
    <w:rsid w:val="00035F66"/>
    <w:rsid w:val="0004177C"/>
    <w:rsid w:val="00042214"/>
    <w:rsid w:val="00042FCE"/>
    <w:rsid w:val="00043EB7"/>
    <w:rsid w:val="00052ED3"/>
    <w:rsid w:val="00055F22"/>
    <w:rsid w:val="00063793"/>
    <w:rsid w:val="000652EF"/>
    <w:rsid w:val="000665A7"/>
    <w:rsid w:val="0007023A"/>
    <w:rsid w:val="000702E3"/>
    <w:rsid w:val="000703B6"/>
    <w:rsid w:val="00071E08"/>
    <w:rsid w:val="0007410B"/>
    <w:rsid w:val="000758F1"/>
    <w:rsid w:val="00080B1F"/>
    <w:rsid w:val="000848BC"/>
    <w:rsid w:val="00090AE7"/>
    <w:rsid w:val="00097EF9"/>
    <w:rsid w:val="000A49D0"/>
    <w:rsid w:val="000A6263"/>
    <w:rsid w:val="000A6715"/>
    <w:rsid w:val="000B261C"/>
    <w:rsid w:val="000B2D3E"/>
    <w:rsid w:val="000B7174"/>
    <w:rsid w:val="000C0615"/>
    <w:rsid w:val="000C0BAA"/>
    <w:rsid w:val="000C4834"/>
    <w:rsid w:val="000C6936"/>
    <w:rsid w:val="000C7C78"/>
    <w:rsid w:val="000D4E5B"/>
    <w:rsid w:val="000E27AE"/>
    <w:rsid w:val="000E5BFE"/>
    <w:rsid w:val="000F0417"/>
    <w:rsid w:val="000F4572"/>
    <w:rsid w:val="000F5A10"/>
    <w:rsid w:val="000F7237"/>
    <w:rsid w:val="00103764"/>
    <w:rsid w:val="00106A58"/>
    <w:rsid w:val="00113A7B"/>
    <w:rsid w:val="0011653B"/>
    <w:rsid w:val="00116EA0"/>
    <w:rsid w:val="00143AC5"/>
    <w:rsid w:val="00143C78"/>
    <w:rsid w:val="0014660E"/>
    <w:rsid w:val="0014667F"/>
    <w:rsid w:val="00151F5F"/>
    <w:rsid w:val="00153EC8"/>
    <w:rsid w:val="00160B1B"/>
    <w:rsid w:val="001650FC"/>
    <w:rsid w:val="001660E9"/>
    <w:rsid w:val="00171523"/>
    <w:rsid w:val="00171FB0"/>
    <w:rsid w:val="00172F4A"/>
    <w:rsid w:val="0017701D"/>
    <w:rsid w:val="00180EBC"/>
    <w:rsid w:val="001811F9"/>
    <w:rsid w:val="001839AE"/>
    <w:rsid w:val="001871A0"/>
    <w:rsid w:val="00187534"/>
    <w:rsid w:val="001903A3"/>
    <w:rsid w:val="0019318B"/>
    <w:rsid w:val="001953DA"/>
    <w:rsid w:val="001A0A74"/>
    <w:rsid w:val="001A4127"/>
    <w:rsid w:val="001B021E"/>
    <w:rsid w:val="001B2108"/>
    <w:rsid w:val="001C22CD"/>
    <w:rsid w:val="001C4B48"/>
    <w:rsid w:val="001C7350"/>
    <w:rsid w:val="001D2493"/>
    <w:rsid w:val="001D606E"/>
    <w:rsid w:val="001D6A4B"/>
    <w:rsid w:val="001E17FF"/>
    <w:rsid w:val="001E5720"/>
    <w:rsid w:val="001E7234"/>
    <w:rsid w:val="0020011D"/>
    <w:rsid w:val="00204E80"/>
    <w:rsid w:val="00206BE6"/>
    <w:rsid w:val="00207EEE"/>
    <w:rsid w:val="00211EB9"/>
    <w:rsid w:val="0021284F"/>
    <w:rsid w:val="002128BB"/>
    <w:rsid w:val="00221A9D"/>
    <w:rsid w:val="002233E9"/>
    <w:rsid w:val="0022392C"/>
    <w:rsid w:val="00224127"/>
    <w:rsid w:val="00224C44"/>
    <w:rsid w:val="00225800"/>
    <w:rsid w:val="00227D2F"/>
    <w:rsid w:val="00230017"/>
    <w:rsid w:val="00230497"/>
    <w:rsid w:val="00232A21"/>
    <w:rsid w:val="00232DD6"/>
    <w:rsid w:val="00234E0F"/>
    <w:rsid w:val="00236EA8"/>
    <w:rsid w:val="00241C10"/>
    <w:rsid w:val="00244CA1"/>
    <w:rsid w:val="00245F72"/>
    <w:rsid w:val="00250C03"/>
    <w:rsid w:val="0025352C"/>
    <w:rsid w:val="002554B3"/>
    <w:rsid w:val="00255D2D"/>
    <w:rsid w:val="00257181"/>
    <w:rsid w:val="00261F62"/>
    <w:rsid w:val="00262839"/>
    <w:rsid w:val="0026415F"/>
    <w:rsid w:val="00266479"/>
    <w:rsid w:val="0026650A"/>
    <w:rsid w:val="002706D0"/>
    <w:rsid w:val="00277720"/>
    <w:rsid w:val="00280AC7"/>
    <w:rsid w:val="0028197B"/>
    <w:rsid w:val="00285490"/>
    <w:rsid w:val="00287530"/>
    <w:rsid w:val="0029069E"/>
    <w:rsid w:val="0029530E"/>
    <w:rsid w:val="00296C32"/>
    <w:rsid w:val="00297414"/>
    <w:rsid w:val="00297422"/>
    <w:rsid w:val="00297A57"/>
    <w:rsid w:val="002A351E"/>
    <w:rsid w:val="002A3BFE"/>
    <w:rsid w:val="002A490F"/>
    <w:rsid w:val="002A6188"/>
    <w:rsid w:val="002A750C"/>
    <w:rsid w:val="002B0A99"/>
    <w:rsid w:val="002B61EC"/>
    <w:rsid w:val="002C084E"/>
    <w:rsid w:val="002C131B"/>
    <w:rsid w:val="002C2059"/>
    <w:rsid w:val="002C413A"/>
    <w:rsid w:val="002C45A5"/>
    <w:rsid w:val="002C4BA6"/>
    <w:rsid w:val="002C5262"/>
    <w:rsid w:val="002C5451"/>
    <w:rsid w:val="002D0466"/>
    <w:rsid w:val="002D649C"/>
    <w:rsid w:val="002D6EAB"/>
    <w:rsid w:val="002D7703"/>
    <w:rsid w:val="002E06FF"/>
    <w:rsid w:val="002E0CDB"/>
    <w:rsid w:val="002E37E0"/>
    <w:rsid w:val="002E4D93"/>
    <w:rsid w:val="002E7E45"/>
    <w:rsid w:val="002F2660"/>
    <w:rsid w:val="00301F00"/>
    <w:rsid w:val="00310E8D"/>
    <w:rsid w:val="00312199"/>
    <w:rsid w:val="00320B08"/>
    <w:rsid w:val="00323B87"/>
    <w:rsid w:val="00326522"/>
    <w:rsid w:val="00330D13"/>
    <w:rsid w:val="00330E90"/>
    <w:rsid w:val="00332570"/>
    <w:rsid w:val="00333160"/>
    <w:rsid w:val="00333484"/>
    <w:rsid w:val="00336056"/>
    <w:rsid w:val="00336C6B"/>
    <w:rsid w:val="00341645"/>
    <w:rsid w:val="00341A3D"/>
    <w:rsid w:val="003426B5"/>
    <w:rsid w:val="00342A3D"/>
    <w:rsid w:val="003434A4"/>
    <w:rsid w:val="003443F2"/>
    <w:rsid w:val="00345055"/>
    <w:rsid w:val="00345503"/>
    <w:rsid w:val="00346393"/>
    <w:rsid w:val="00353487"/>
    <w:rsid w:val="00357B46"/>
    <w:rsid w:val="003645E4"/>
    <w:rsid w:val="00377856"/>
    <w:rsid w:val="003800D8"/>
    <w:rsid w:val="00385A85"/>
    <w:rsid w:val="00385D08"/>
    <w:rsid w:val="00386382"/>
    <w:rsid w:val="00386DB1"/>
    <w:rsid w:val="00386E6D"/>
    <w:rsid w:val="0039158D"/>
    <w:rsid w:val="003946FB"/>
    <w:rsid w:val="00396253"/>
    <w:rsid w:val="00397E58"/>
    <w:rsid w:val="003A0C89"/>
    <w:rsid w:val="003A2071"/>
    <w:rsid w:val="003A4FAF"/>
    <w:rsid w:val="003B0573"/>
    <w:rsid w:val="003B0DE1"/>
    <w:rsid w:val="003B47C7"/>
    <w:rsid w:val="003B489A"/>
    <w:rsid w:val="003C0ED2"/>
    <w:rsid w:val="003C4CA9"/>
    <w:rsid w:val="003C5B89"/>
    <w:rsid w:val="003C5F6E"/>
    <w:rsid w:val="003D308C"/>
    <w:rsid w:val="003D3C1F"/>
    <w:rsid w:val="003D5B6E"/>
    <w:rsid w:val="003D5C31"/>
    <w:rsid w:val="003D6E9A"/>
    <w:rsid w:val="003E2955"/>
    <w:rsid w:val="003E6619"/>
    <w:rsid w:val="003F21DB"/>
    <w:rsid w:val="003F22E9"/>
    <w:rsid w:val="003F34D9"/>
    <w:rsid w:val="003F6454"/>
    <w:rsid w:val="003F7F72"/>
    <w:rsid w:val="0040376C"/>
    <w:rsid w:val="00403DFE"/>
    <w:rsid w:val="004048E1"/>
    <w:rsid w:val="00410316"/>
    <w:rsid w:val="004202F0"/>
    <w:rsid w:val="00425B43"/>
    <w:rsid w:val="00433811"/>
    <w:rsid w:val="0043611C"/>
    <w:rsid w:val="004370A2"/>
    <w:rsid w:val="0044028E"/>
    <w:rsid w:val="0044053C"/>
    <w:rsid w:val="0044678B"/>
    <w:rsid w:val="00446A7E"/>
    <w:rsid w:val="00451D65"/>
    <w:rsid w:val="0045768D"/>
    <w:rsid w:val="004610BB"/>
    <w:rsid w:val="004613B1"/>
    <w:rsid w:val="00466889"/>
    <w:rsid w:val="00466ADE"/>
    <w:rsid w:val="004676CC"/>
    <w:rsid w:val="004765C2"/>
    <w:rsid w:val="004771C2"/>
    <w:rsid w:val="004779C5"/>
    <w:rsid w:val="0048248E"/>
    <w:rsid w:val="004828BE"/>
    <w:rsid w:val="004847C7"/>
    <w:rsid w:val="00490C5E"/>
    <w:rsid w:val="00490CF3"/>
    <w:rsid w:val="0049290A"/>
    <w:rsid w:val="00493918"/>
    <w:rsid w:val="004A02C0"/>
    <w:rsid w:val="004A0FA5"/>
    <w:rsid w:val="004A1764"/>
    <w:rsid w:val="004A4050"/>
    <w:rsid w:val="004A4E62"/>
    <w:rsid w:val="004B2351"/>
    <w:rsid w:val="004B490F"/>
    <w:rsid w:val="004B5C23"/>
    <w:rsid w:val="004C0CBC"/>
    <w:rsid w:val="004C245A"/>
    <w:rsid w:val="004D199E"/>
    <w:rsid w:val="004D3801"/>
    <w:rsid w:val="004D43D0"/>
    <w:rsid w:val="004E04AC"/>
    <w:rsid w:val="004E18BB"/>
    <w:rsid w:val="004E1C27"/>
    <w:rsid w:val="004E24D3"/>
    <w:rsid w:val="004E653F"/>
    <w:rsid w:val="004E6D31"/>
    <w:rsid w:val="004F2EF4"/>
    <w:rsid w:val="00504564"/>
    <w:rsid w:val="005053D7"/>
    <w:rsid w:val="00506150"/>
    <w:rsid w:val="0051042B"/>
    <w:rsid w:val="005109E8"/>
    <w:rsid w:val="00512BA5"/>
    <w:rsid w:val="005172DE"/>
    <w:rsid w:val="00520407"/>
    <w:rsid w:val="005205E4"/>
    <w:rsid w:val="00521174"/>
    <w:rsid w:val="00530FEB"/>
    <w:rsid w:val="005371FF"/>
    <w:rsid w:val="00540BF7"/>
    <w:rsid w:val="00540DFC"/>
    <w:rsid w:val="00546082"/>
    <w:rsid w:val="00551FCA"/>
    <w:rsid w:val="005549FA"/>
    <w:rsid w:val="00560E2D"/>
    <w:rsid w:val="0056266D"/>
    <w:rsid w:val="00562F02"/>
    <w:rsid w:val="005636C6"/>
    <w:rsid w:val="0056659B"/>
    <w:rsid w:val="00567D96"/>
    <w:rsid w:val="00574342"/>
    <w:rsid w:val="005752D8"/>
    <w:rsid w:val="00576009"/>
    <w:rsid w:val="00576DF7"/>
    <w:rsid w:val="00576F63"/>
    <w:rsid w:val="00577DED"/>
    <w:rsid w:val="0058303B"/>
    <w:rsid w:val="00583BDD"/>
    <w:rsid w:val="00583FA9"/>
    <w:rsid w:val="00587A5F"/>
    <w:rsid w:val="00591F8D"/>
    <w:rsid w:val="00592F46"/>
    <w:rsid w:val="005A1C64"/>
    <w:rsid w:val="005A44AA"/>
    <w:rsid w:val="005A53E9"/>
    <w:rsid w:val="005A56CB"/>
    <w:rsid w:val="005B1B2F"/>
    <w:rsid w:val="005B4E57"/>
    <w:rsid w:val="005C07F2"/>
    <w:rsid w:val="005C2E18"/>
    <w:rsid w:val="005C4239"/>
    <w:rsid w:val="005C6FE1"/>
    <w:rsid w:val="005C73DD"/>
    <w:rsid w:val="005D7121"/>
    <w:rsid w:val="005E43A9"/>
    <w:rsid w:val="005F1751"/>
    <w:rsid w:val="005F2D54"/>
    <w:rsid w:val="0060705B"/>
    <w:rsid w:val="00610805"/>
    <w:rsid w:val="00613E9C"/>
    <w:rsid w:val="0061477B"/>
    <w:rsid w:val="006164CD"/>
    <w:rsid w:val="00617657"/>
    <w:rsid w:val="006226BF"/>
    <w:rsid w:val="00622D27"/>
    <w:rsid w:val="00622E19"/>
    <w:rsid w:val="00625EC4"/>
    <w:rsid w:val="00626CCA"/>
    <w:rsid w:val="00630EB9"/>
    <w:rsid w:val="00636D93"/>
    <w:rsid w:val="00642B80"/>
    <w:rsid w:val="006455E0"/>
    <w:rsid w:val="006455FD"/>
    <w:rsid w:val="006471C2"/>
    <w:rsid w:val="00647ADE"/>
    <w:rsid w:val="00651796"/>
    <w:rsid w:val="0065181D"/>
    <w:rsid w:val="00655890"/>
    <w:rsid w:val="00656257"/>
    <w:rsid w:val="00663CCB"/>
    <w:rsid w:val="006657EB"/>
    <w:rsid w:val="0066735F"/>
    <w:rsid w:val="006775AC"/>
    <w:rsid w:val="0068186B"/>
    <w:rsid w:val="006925C5"/>
    <w:rsid w:val="0069489F"/>
    <w:rsid w:val="006A038E"/>
    <w:rsid w:val="006A148D"/>
    <w:rsid w:val="006A37FD"/>
    <w:rsid w:val="006A391E"/>
    <w:rsid w:val="006A3D4E"/>
    <w:rsid w:val="006A3E8A"/>
    <w:rsid w:val="006A5287"/>
    <w:rsid w:val="006A5F52"/>
    <w:rsid w:val="006A6839"/>
    <w:rsid w:val="006A685C"/>
    <w:rsid w:val="006A76FB"/>
    <w:rsid w:val="006B0FEA"/>
    <w:rsid w:val="006B2FF4"/>
    <w:rsid w:val="006B43F3"/>
    <w:rsid w:val="006B4D56"/>
    <w:rsid w:val="006B5743"/>
    <w:rsid w:val="006B6573"/>
    <w:rsid w:val="006C1614"/>
    <w:rsid w:val="006C1E1C"/>
    <w:rsid w:val="006C2588"/>
    <w:rsid w:val="006C4888"/>
    <w:rsid w:val="006D0504"/>
    <w:rsid w:val="006D0716"/>
    <w:rsid w:val="006D23D4"/>
    <w:rsid w:val="006D311A"/>
    <w:rsid w:val="006D4F45"/>
    <w:rsid w:val="006D7670"/>
    <w:rsid w:val="006E34F2"/>
    <w:rsid w:val="006F167E"/>
    <w:rsid w:val="006F1FA5"/>
    <w:rsid w:val="006F4473"/>
    <w:rsid w:val="006F547E"/>
    <w:rsid w:val="0070519A"/>
    <w:rsid w:val="00710972"/>
    <w:rsid w:val="007123B9"/>
    <w:rsid w:val="007131C8"/>
    <w:rsid w:val="00714D9E"/>
    <w:rsid w:val="007171D4"/>
    <w:rsid w:val="0072133F"/>
    <w:rsid w:val="00722BCE"/>
    <w:rsid w:val="00722F20"/>
    <w:rsid w:val="00726F97"/>
    <w:rsid w:val="0073072E"/>
    <w:rsid w:val="00733315"/>
    <w:rsid w:val="00733FF8"/>
    <w:rsid w:val="00734C46"/>
    <w:rsid w:val="00737916"/>
    <w:rsid w:val="0074246A"/>
    <w:rsid w:val="00743929"/>
    <w:rsid w:val="00743B91"/>
    <w:rsid w:val="007504D2"/>
    <w:rsid w:val="0075247D"/>
    <w:rsid w:val="00752CF4"/>
    <w:rsid w:val="00754F62"/>
    <w:rsid w:val="00755B7D"/>
    <w:rsid w:val="00755DA8"/>
    <w:rsid w:val="00760950"/>
    <w:rsid w:val="00766597"/>
    <w:rsid w:val="0077012F"/>
    <w:rsid w:val="0077384A"/>
    <w:rsid w:val="00774BB8"/>
    <w:rsid w:val="00780E81"/>
    <w:rsid w:val="0078492B"/>
    <w:rsid w:val="00787CFB"/>
    <w:rsid w:val="00790747"/>
    <w:rsid w:val="00791366"/>
    <w:rsid w:val="00791ADD"/>
    <w:rsid w:val="00792C29"/>
    <w:rsid w:val="00794C25"/>
    <w:rsid w:val="007A0045"/>
    <w:rsid w:val="007A0A7F"/>
    <w:rsid w:val="007A3FB8"/>
    <w:rsid w:val="007A4F5D"/>
    <w:rsid w:val="007B091A"/>
    <w:rsid w:val="007C08F1"/>
    <w:rsid w:val="007C2CC9"/>
    <w:rsid w:val="007C4803"/>
    <w:rsid w:val="007C5483"/>
    <w:rsid w:val="007C5FFC"/>
    <w:rsid w:val="007D1882"/>
    <w:rsid w:val="007E2D4B"/>
    <w:rsid w:val="007E3566"/>
    <w:rsid w:val="007E59D2"/>
    <w:rsid w:val="007F02DF"/>
    <w:rsid w:val="007F1D36"/>
    <w:rsid w:val="007F44D6"/>
    <w:rsid w:val="007F58ED"/>
    <w:rsid w:val="007F60E6"/>
    <w:rsid w:val="007F6CCD"/>
    <w:rsid w:val="00802A56"/>
    <w:rsid w:val="00802EA7"/>
    <w:rsid w:val="00803CC2"/>
    <w:rsid w:val="008079AC"/>
    <w:rsid w:val="00812036"/>
    <w:rsid w:val="008123EB"/>
    <w:rsid w:val="0081308B"/>
    <w:rsid w:val="0081437C"/>
    <w:rsid w:val="00817A14"/>
    <w:rsid w:val="00817FE8"/>
    <w:rsid w:val="0082088E"/>
    <w:rsid w:val="008216BE"/>
    <w:rsid w:val="00821A59"/>
    <w:rsid w:val="00822BC2"/>
    <w:rsid w:val="00823F12"/>
    <w:rsid w:val="0082539A"/>
    <w:rsid w:val="00826750"/>
    <w:rsid w:val="0082710C"/>
    <w:rsid w:val="008314E4"/>
    <w:rsid w:val="00831C97"/>
    <w:rsid w:val="00834D1B"/>
    <w:rsid w:val="00843927"/>
    <w:rsid w:val="008446E7"/>
    <w:rsid w:val="00846C70"/>
    <w:rsid w:val="008531EE"/>
    <w:rsid w:val="00853907"/>
    <w:rsid w:val="008548E3"/>
    <w:rsid w:val="00854B71"/>
    <w:rsid w:val="00866D6D"/>
    <w:rsid w:val="00870069"/>
    <w:rsid w:val="00871101"/>
    <w:rsid w:val="00871271"/>
    <w:rsid w:val="00871DED"/>
    <w:rsid w:val="0087371A"/>
    <w:rsid w:val="00874E6D"/>
    <w:rsid w:val="00882844"/>
    <w:rsid w:val="0088342B"/>
    <w:rsid w:val="00886E2B"/>
    <w:rsid w:val="00890794"/>
    <w:rsid w:val="00893926"/>
    <w:rsid w:val="00894B60"/>
    <w:rsid w:val="0089658D"/>
    <w:rsid w:val="00896DC5"/>
    <w:rsid w:val="008A0843"/>
    <w:rsid w:val="008A0C42"/>
    <w:rsid w:val="008A4B0B"/>
    <w:rsid w:val="008A5556"/>
    <w:rsid w:val="008A68CE"/>
    <w:rsid w:val="008B0109"/>
    <w:rsid w:val="008B5FEB"/>
    <w:rsid w:val="008B70E5"/>
    <w:rsid w:val="008C05CA"/>
    <w:rsid w:val="008C05F0"/>
    <w:rsid w:val="008C0919"/>
    <w:rsid w:val="008C22DC"/>
    <w:rsid w:val="008C4DDC"/>
    <w:rsid w:val="008C5ED8"/>
    <w:rsid w:val="008C6080"/>
    <w:rsid w:val="008C6775"/>
    <w:rsid w:val="008D384D"/>
    <w:rsid w:val="008D3975"/>
    <w:rsid w:val="008D589F"/>
    <w:rsid w:val="008E3B1F"/>
    <w:rsid w:val="008E7C7A"/>
    <w:rsid w:val="008F17AA"/>
    <w:rsid w:val="008F400F"/>
    <w:rsid w:val="0090036F"/>
    <w:rsid w:val="00901237"/>
    <w:rsid w:val="00910FED"/>
    <w:rsid w:val="009130A0"/>
    <w:rsid w:val="009223FD"/>
    <w:rsid w:val="00922B5E"/>
    <w:rsid w:val="0092304E"/>
    <w:rsid w:val="0092677C"/>
    <w:rsid w:val="00926B87"/>
    <w:rsid w:val="00930847"/>
    <w:rsid w:val="0093294C"/>
    <w:rsid w:val="009401FC"/>
    <w:rsid w:val="0094245D"/>
    <w:rsid w:val="00944350"/>
    <w:rsid w:val="00945DEE"/>
    <w:rsid w:val="00946F16"/>
    <w:rsid w:val="009517F7"/>
    <w:rsid w:val="00951DAA"/>
    <w:rsid w:val="00952198"/>
    <w:rsid w:val="00953488"/>
    <w:rsid w:val="00962FB3"/>
    <w:rsid w:val="00970777"/>
    <w:rsid w:val="0097106E"/>
    <w:rsid w:val="00973111"/>
    <w:rsid w:val="00974696"/>
    <w:rsid w:val="00974E7A"/>
    <w:rsid w:val="00975EDF"/>
    <w:rsid w:val="00983ABA"/>
    <w:rsid w:val="00991C18"/>
    <w:rsid w:val="009922B0"/>
    <w:rsid w:val="00992E8A"/>
    <w:rsid w:val="009948F3"/>
    <w:rsid w:val="009A1C85"/>
    <w:rsid w:val="009A3DB9"/>
    <w:rsid w:val="009B0247"/>
    <w:rsid w:val="009B22C0"/>
    <w:rsid w:val="009B2C9C"/>
    <w:rsid w:val="009B3A57"/>
    <w:rsid w:val="009B65D0"/>
    <w:rsid w:val="009C1312"/>
    <w:rsid w:val="009C2B6A"/>
    <w:rsid w:val="009C4EE5"/>
    <w:rsid w:val="009C545A"/>
    <w:rsid w:val="009D098A"/>
    <w:rsid w:val="009D2297"/>
    <w:rsid w:val="009D7F0B"/>
    <w:rsid w:val="009E2CF3"/>
    <w:rsid w:val="009E519D"/>
    <w:rsid w:val="009E51E5"/>
    <w:rsid w:val="009E6961"/>
    <w:rsid w:val="009E7355"/>
    <w:rsid w:val="009F1966"/>
    <w:rsid w:val="009F3A4C"/>
    <w:rsid w:val="009F5AB6"/>
    <w:rsid w:val="009F5F55"/>
    <w:rsid w:val="009F7436"/>
    <w:rsid w:val="00A015B0"/>
    <w:rsid w:val="00A058FA"/>
    <w:rsid w:val="00A05F57"/>
    <w:rsid w:val="00A07D36"/>
    <w:rsid w:val="00A12D22"/>
    <w:rsid w:val="00A13839"/>
    <w:rsid w:val="00A152B8"/>
    <w:rsid w:val="00A31234"/>
    <w:rsid w:val="00A31D45"/>
    <w:rsid w:val="00A33B91"/>
    <w:rsid w:val="00A34809"/>
    <w:rsid w:val="00A351AA"/>
    <w:rsid w:val="00A423CE"/>
    <w:rsid w:val="00A4379C"/>
    <w:rsid w:val="00A44761"/>
    <w:rsid w:val="00A458C4"/>
    <w:rsid w:val="00A45A8F"/>
    <w:rsid w:val="00A469C4"/>
    <w:rsid w:val="00A46BC5"/>
    <w:rsid w:val="00A475CC"/>
    <w:rsid w:val="00A5432F"/>
    <w:rsid w:val="00A62949"/>
    <w:rsid w:val="00A644C5"/>
    <w:rsid w:val="00A6509F"/>
    <w:rsid w:val="00A65414"/>
    <w:rsid w:val="00A676CE"/>
    <w:rsid w:val="00A729B6"/>
    <w:rsid w:val="00A7340E"/>
    <w:rsid w:val="00A7534D"/>
    <w:rsid w:val="00A75F87"/>
    <w:rsid w:val="00A76883"/>
    <w:rsid w:val="00A80447"/>
    <w:rsid w:val="00A82815"/>
    <w:rsid w:val="00A84F27"/>
    <w:rsid w:val="00A8507D"/>
    <w:rsid w:val="00A87836"/>
    <w:rsid w:val="00A95767"/>
    <w:rsid w:val="00AA38E6"/>
    <w:rsid w:val="00AA49AA"/>
    <w:rsid w:val="00AA6359"/>
    <w:rsid w:val="00AA6D33"/>
    <w:rsid w:val="00AA7071"/>
    <w:rsid w:val="00AA7F43"/>
    <w:rsid w:val="00AB19D9"/>
    <w:rsid w:val="00AB201C"/>
    <w:rsid w:val="00AB3AD3"/>
    <w:rsid w:val="00AB553B"/>
    <w:rsid w:val="00AC393B"/>
    <w:rsid w:val="00AC3B0A"/>
    <w:rsid w:val="00AC3D07"/>
    <w:rsid w:val="00AC3F16"/>
    <w:rsid w:val="00AC7038"/>
    <w:rsid w:val="00AD3051"/>
    <w:rsid w:val="00AE0BAF"/>
    <w:rsid w:val="00AE1CB1"/>
    <w:rsid w:val="00AE7EC5"/>
    <w:rsid w:val="00AF5206"/>
    <w:rsid w:val="00AF5E2F"/>
    <w:rsid w:val="00B01784"/>
    <w:rsid w:val="00B050FB"/>
    <w:rsid w:val="00B0654D"/>
    <w:rsid w:val="00B1037D"/>
    <w:rsid w:val="00B11032"/>
    <w:rsid w:val="00B1279F"/>
    <w:rsid w:val="00B16D1F"/>
    <w:rsid w:val="00B175B7"/>
    <w:rsid w:val="00B22D27"/>
    <w:rsid w:val="00B24633"/>
    <w:rsid w:val="00B246EB"/>
    <w:rsid w:val="00B30E53"/>
    <w:rsid w:val="00B34F6F"/>
    <w:rsid w:val="00B40934"/>
    <w:rsid w:val="00B45740"/>
    <w:rsid w:val="00B53EB6"/>
    <w:rsid w:val="00B56872"/>
    <w:rsid w:val="00B57DCE"/>
    <w:rsid w:val="00B610CA"/>
    <w:rsid w:val="00B628B2"/>
    <w:rsid w:val="00B63548"/>
    <w:rsid w:val="00B667CC"/>
    <w:rsid w:val="00B678E8"/>
    <w:rsid w:val="00B707A0"/>
    <w:rsid w:val="00B716C5"/>
    <w:rsid w:val="00B730C2"/>
    <w:rsid w:val="00B733E1"/>
    <w:rsid w:val="00B73FB4"/>
    <w:rsid w:val="00B775E9"/>
    <w:rsid w:val="00B823AE"/>
    <w:rsid w:val="00B8792A"/>
    <w:rsid w:val="00B94A3F"/>
    <w:rsid w:val="00BA03AC"/>
    <w:rsid w:val="00BA44DB"/>
    <w:rsid w:val="00BB04FC"/>
    <w:rsid w:val="00BB0F5C"/>
    <w:rsid w:val="00BB1762"/>
    <w:rsid w:val="00BB1BB3"/>
    <w:rsid w:val="00BB4224"/>
    <w:rsid w:val="00BB4438"/>
    <w:rsid w:val="00BB78DB"/>
    <w:rsid w:val="00BB7B53"/>
    <w:rsid w:val="00BC048F"/>
    <w:rsid w:val="00BC2799"/>
    <w:rsid w:val="00BC4C6F"/>
    <w:rsid w:val="00BC5E9B"/>
    <w:rsid w:val="00BC7C54"/>
    <w:rsid w:val="00BD0FA3"/>
    <w:rsid w:val="00BD16EA"/>
    <w:rsid w:val="00BD2879"/>
    <w:rsid w:val="00BD3234"/>
    <w:rsid w:val="00BD350B"/>
    <w:rsid w:val="00BD3826"/>
    <w:rsid w:val="00BE4B19"/>
    <w:rsid w:val="00BE5E4D"/>
    <w:rsid w:val="00BE6A63"/>
    <w:rsid w:val="00BE6B4E"/>
    <w:rsid w:val="00BF0D1D"/>
    <w:rsid w:val="00BF2417"/>
    <w:rsid w:val="00BF57B0"/>
    <w:rsid w:val="00BF7480"/>
    <w:rsid w:val="00C11B1D"/>
    <w:rsid w:val="00C12CFB"/>
    <w:rsid w:val="00C260E8"/>
    <w:rsid w:val="00C26C58"/>
    <w:rsid w:val="00C27276"/>
    <w:rsid w:val="00C27518"/>
    <w:rsid w:val="00C31BB8"/>
    <w:rsid w:val="00C364A5"/>
    <w:rsid w:val="00C36A4A"/>
    <w:rsid w:val="00C40646"/>
    <w:rsid w:val="00C424E6"/>
    <w:rsid w:val="00C432EB"/>
    <w:rsid w:val="00C45F72"/>
    <w:rsid w:val="00C466D8"/>
    <w:rsid w:val="00C46DBA"/>
    <w:rsid w:val="00C515D5"/>
    <w:rsid w:val="00C55DDC"/>
    <w:rsid w:val="00C61E08"/>
    <w:rsid w:val="00C625D3"/>
    <w:rsid w:val="00C653D3"/>
    <w:rsid w:val="00C727A0"/>
    <w:rsid w:val="00C746A1"/>
    <w:rsid w:val="00C80911"/>
    <w:rsid w:val="00C81092"/>
    <w:rsid w:val="00C82412"/>
    <w:rsid w:val="00C86568"/>
    <w:rsid w:val="00C910AA"/>
    <w:rsid w:val="00CA1A77"/>
    <w:rsid w:val="00CA2C23"/>
    <w:rsid w:val="00CA3CE0"/>
    <w:rsid w:val="00CA527A"/>
    <w:rsid w:val="00CA64BC"/>
    <w:rsid w:val="00CB1F63"/>
    <w:rsid w:val="00CB26EC"/>
    <w:rsid w:val="00CB66F1"/>
    <w:rsid w:val="00CB7F97"/>
    <w:rsid w:val="00CC7428"/>
    <w:rsid w:val="00CD3953"/>
    <w:rsid w:val="00CD4DAF"/>
    <w:rsid w:val="00CE06B7"/>
    <w:rsid w:val="00CE123B"/>
    <w:rsid w:val="00CE14B7"/>
    <w:rsid w:val="00CE4EC7"/>
    <w:rsid w:val="00CE5E70"/>
    <w:rsid w:val="00CF2495"/>
    <w:rsid w:val="00CF33C6"/>
    <w:rsid w:val="00CF5573"/>
    <w:rsid w:val="00CF58F2"/>
    <w:rsid w:val="00CF7FEE"/>
    <w:rsid w:val="00D007A7"/>
    <w:rsid w:val="00D02E19"/>
    <w:rsid w:val="00D036FC"/>
    <w:rsid w:val="00D03CF9"/>
    <w:rsid w:val="00D03DCE"/>
    <w:rsid w:val="00D04379"/>
    <w:rsid w:val="00D06E7A"/>
    <w:rsid w:val="00D077B2"/>
    <w:rsid w:val="00D11DDD"/>
    <w:rsid w:val="00D140D7"/>
    <w:rsid w:val="00D17716"/>
    <w:rsid w:val="00D212D0"/>
    <w:rsid w:val="00D22B06"/>
    <w:rsid w:val="00D264F9"/>
    <w:rsid w:val="00D27D5A"/>
    <w:rsid w:val="00D30C6D"/>
    <w:rsid w:val="00D32A5F"/>
    <w:rsid w:val="00D34BF2"/>
    <w:rsid w:val="00D35B80"/>
    <w:rsid w:val="00D427A0"/>
    <w:rsid w:val="00D42D49"/>
    <w:rsid w:val="00D443F2"/>
    <w:rsid w:val="00D44BCC"/>
    <w:rsid w:val="00D502F7"/>
    <w:rsid w:val="00D50CB9"/>
    <w:rsid w:val="00D52DEA"/>
    <w:rsid w:val="00D53199"/>
    <w:rsid w:val="00D54AB2"/>
    <w:rsid w:val="00D554B3"/>
    <w:rsid w:val="00D55C9E"/>
    <w:rsid w:val="00D603E2"/>
    <w:rsid w:val="00D60EB8"/>
    <w:rsid w:val="00D6224A"/>
    <w:rsid w:val="00D64CB6"/>
    <w:rsid w:val="00D77400"/>
    <w:rsid w:val="00D80671"/>
    <w:rsid w:val="00D8374B"/>
    <w:rsid w:val="00D85D01"/>
    <w:rsid w:val="00D86B59"/>
    <w:rsid w:val="00D9128E"/>
    <w:rsid w:val="00D93F42"/>
    <w:rsid w:val="00D945E1"/>
    <w:rsid w:val="00D969B9"/>
    <w:rsid w:val="00DA1D0A"/>
    <w:rsid w:val="00DA1EFB"/>
    <w:rsid w:val="00DA35FD"/>
    <w:rsid w:val="00DA5D56"/>
    <w:rsid w:val="00DA5E69"/>
    <w:rsid w:val="00DB17BE"/>
    <w:rsid w:val="00DB59AF"/>
    <w:rsid w:val="00DB7F84"/>
    <w:rsid w:val="00DC34A0"/>
    <w:rsid w:val="00DD0379"/>
    <w:rsid w:val="00DD0911"/>
    <w:rsid w:val="00DD0924"/>
    <w:rsid w:val="00DD2AFA"/>
    <w:rsid w:val="00DD3264"/>
    <w:rsid w:val="00DD35A9"/>
    <w:rsid w:val="00DD454E"/>
    <w:rsid w:val="00DD53FF"/>
    <w:rsid w:val="00DE2B69"/>
    <w:rsid w:val="00DE7A89"/>
    <w:rsid w:val="00DF046A"/>
    <w:rsid w:val="00DF1D6A"/>
    <w:rsid w:val="00DF43D2"/>
    <w:rsid w:val="00DF45E6"/>
    <w:rsid w:val="00DF6575"/>
    <w:rsid w:val="00E0060F"/>
    <w:rsid w:val="00E02268"/>
    <w:rsid w:val="00E03D2A"/>
    <w:rsid w:val="00E043A0"/>
    <w:rsid w:val="00E04443"/>
    <w:rsid w:val="00E05A03"/>
    <w:rsid w:val="00E12CC3"/>
    <w:rsid w:val="00E25341"/>
    <w:rsid w:val="00E27F70"/>
    <w:rsid w:val="00E302C4"/>
    <w:rsid w:val="00E30A1B"/>
    <w:rsid w:val="00E31954"/>
    <w:rsid w:val="00E31ED2"/>
    <w:rsid w:val="00E3299D"/>
    <w:rsid w:val="00E352C4"/>
    <w:rsid w:val="00E37A4D"/>
    <w:rsid w:val="00E4677D"/>
    <w:rsid w:val="00E476B2"/>
    <w:rsid w:val="00E50C96"/>
    <w:rsid w:val="00E51ABC"/>
    <w:rsid w:val="00E55C62"/>
    <w:rsid w:val="00E56268"/>
    <w:rsid w:val="00E6438E"/>
    <w:rsid w:val="00E643F3"/>
    <w:rsid w:val="00E71BD3"/>
    <w:rsid w:val="00E72CBA"/>
    <w:rsid w:val="00E73CAE"/>
    <w:rsid w:val="00E76C62"/>
    <w:rsid w:val="00E84519"/>
    <w:rsid w:val="00E948E7"/>
    <w:rsid w:val="00E95FEA"/>
    <w:rsid w:val="00E964CB"/>
    <w:rsid w:val="00E96BB4"/>
    <w:rsid w:val="00E96CF7"/>
    <w:rsid w:val="00EA1173"/>
    <w:rsid w:val="00EA27D9"/>
    <w:rsid w:val="00EA2ABA"/>
    <w:rsid w:val="00EA6712"/>
    <w:rsid w:val="00EA7D47"/>
    <w:rsid w:val="00EB0621"/>
    <w:rsid w:val="00EB0BE1"/>
    <w:rsid w:val="00EB19E3"/>
    <w:rsid w:val="00EB7435"/>
    <w:rsid w:val="00ED2743"/>
    <w:rsid w:val="00ED29B9"/>
    <w:rsid w:val="00ED4ED6"/>
    <w:rsid w:val="00ED6ADA"/>
    <w:rsid w:val="00EE12BF"/>
    <w:rsid w:val="00EE348F"/>
    <w:rsid w:val="00EE74E2"/>
    <w:rsid w:val="00EF12F3"/>
    <w:rsid w:val="00EF4821"/>
    <w:rsid w:val="00EF4902"/>
    <w:rsid w:val="00EF6681"/>
    <w:rsid w:val="00EF6E8D"/>
    <w:rsid w:val="00EF71F8"/>
    <w:rsid w:val="00F11A6D"/>
    <w:rsid w:val="00F1366D"/>
    <w:rsid w:val="00F13D5F"/>
    <w:rsid w:val="00F161F7"/>
    <w:rsid w:val="00F17803"/>
    <w:rsid w:val="00F26C1F"/>
    <w:rsid w:val="00F27151"/>
    <w:rsid w:val="00F308FF"/>
    <w:rsid w:val="00F30C23"/>
    <w:rsid w:val="00F30EE8"/>
    <w:rsid w:val="00F316A9"/>
    <w:rsid w:val="00F33A77"/>
    <w:rsid w:val="00F443C0"/>
    <w:rsid w:val="00F45658"/>
    <w:rsid w:val="00F45AFC"/>
    <w:rsid w:val="00F47003"/>
    <w:rsid w:val="00F50A4F"/>
    <w:rsid w:val="00F51133"/>
    <w:rsid w:val="00F51FC4"/>
    <w:rsid w:val="00F52361"/>
    <w:rsid w:val="00F52859"/>
    <w:rsid w:val="00F55A06"/>
    <w:rsid w:val="00F56777"/>
    <w:rsid w:val="00F60713"/>
    <w:rsid w:val="00F65D80"/>
    <w:rsid w:val="00F724A1"/>
    <w:rsid w:val="00F72A48"/>
    <w:rsid w:val="00F822A7"/>
    <w:rsid w:val="00F83AA1"/>
    <w:rsid w:val="00F8741B"/>
    <w:rsid w:val="00F94916"/>
    <w:rsid w:val="00F97367"/>
    <w:rsid w:val="00FA1E67"/>
    <w:rsid w:val="00FA2817"/>
    <w:rsid w:val="00FA6621"/>
    <w:rsid w:val="00FB00B2"/>
    <w:rsid w:val="00FB1821"/>
    <w:rsid w:val="00FB2DF4"/>
    <w:rsid w:val="00FB383A"/>
    <w:rsid w:val="00FB6491"/>
    <w:rsid w:val="00FB760F"/>
    <w:rsid w:val="00FC12B9"/>
    <w:rsid w:val="00FC4DEB"/>
    <w:rsid w:val="00FD2C96"/>
    <w:rsid w:val="00FD3A24"/>
    <w:rsid w:val="00FD5D5A"/>
    <w:rsid w:val="00FE483C"/>
    <w:rsid w:val="00FE4D47"/>
    <w:rsid w:val="00FE7E73"/>
    <w:rsid w:val="00FF3907"/>
    <w:rsid w:val="00FF53E6"/>
    <w:rsid w:val="00FF6D81"/>
    <w:rsid w:val="00FF73AB"/>
    <w:rsid w:val="00FF7F37"/>
    <w:rsid w:val="0286E598"/>
    <w:rsid w:val="0CEB17C8"/>
    <w:rsid w:val="141EF471"/>
    <w:rsid w:val="20BC5811"/>
    <w:rsid w:val="3A14AB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61E802"/>
  <w15:chartTrackingRefBased/>
  <w15:docId w15:val="{79F691E2-8F25-4098-B457-C075C3F8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EA6712"/>
    <w:pPr>
      <w:keepNext/>
      <w:numPr>
        <w:numId w:val="2"/>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rsid w:val="00EA6712"/>
    <w:pPr>
      <w:keepNext/>
      <w:numPr>
        <w:ilvl w:val="1"/>
        <w:numId w:val="2"/>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rsid w:val="00EA6712"/>
    <w:pPr>
      <w:keepNext/>
      <w:numPr>
        <w:ilvl w:val="2"/>
        <w:numId w:val="2"/>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Text1"/>
    <w:link w:val="Heading4Char"/>
    <w:uiPriority w:val="9"/>
    <w:unhideWhenUsed/>
    <w:qFormat/>
    <w:rsid w:val="00EA6712"/>
    <w:pPr>
      <w:keepNext/>
      <w:numPr>
        <w:ilvl w:val="3"/>
        <w:numId w:val="2"/>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EA6712"/>
    <w:rPr>
      <w:color w:val="0000FF"/>
      <w:shd w:val="clear" w:color="auto" w:fill="auto"/>
    </w:rPr>
  </w:style>
  <w:style w:type="paragraph" w:styleId="Header">
    <w:name w:val="header"/>
    <w:basedOn w:val="Normal"/>
    <w:link w:val="HeaderChar"/>
    <w:uiPriority w:val="99"/>
    <w:unhideWhenUsed/>
    <w:rsid w:val="00EA6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712"/>
  </w:style>
  <w:style w:type="paragraph" w:styleId="Footer">
    <w:name w:val="footer"/>
    <w:basedOn w:val="Normal"/>
    <w:link w:val="FooterChar"/>
    <w:uiPriority w:val="99"/>
    <w:unhideWhenUsed/>
    <w:rsid w:val="00EA6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712"/>
  </w:style>
  <w:style w:type="paragraph" w:customStyle="1" w:styleId="Pagedecouverture">
    <w:name w:val="Page de couverture"/>
    <w:basedOn w:val="Normal"/>
    <w:next w:val="Normal"/>
    <w:rsid w:val="00EA6712"/>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EA671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EA6712"/>
    <w:rPr>
      <w:rFonts w:ascii="Times New Roman" w:hAnsi="Times New Roman" w:cs="Times New Roman"/>
      <w:sz w:val="24"/>
    </w:rPr>
  </w:style>
  <w:style w:type="paragraph" w:customStyle="1" w:styleId="FooterSensitivity">
    <w:name w:val="Footer Sensitivity"/>
    <w:basedOn w:val="Normal"/>
    <w:link w:val="FooterSensitivityChar"/>
    <w:rsid w:val="00EA671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EA6712"/>
    <w:rPr>
      <w:rFonts w:ascii="Times New Roman" w:hAnsi="Times New Roman" w:cs="Times New Roman"/>
      <w:b/>
      <w:sz w:val="32"/>
    </w:rPr>
  </w:style>
  <w:style w:type="paragraph" w:customStyle="1" w:styleId="HeaderCoverPage">
    <w:name w:val="Header Cover Page"/>
    <w:basedOn w:val="Normal"/>
    <w:link w:val="HeaderCoverPageChar"/>
    <w:rsid w:val="00EA671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EA6712"/>
    <w:rPr>
      <w:rFonts w:ascii="Times New Roman" w:hAnsi="Times New Roman" w:cs="Times New Roman"/>
      <w:sz w:val="24"/>
    </w:rPr>
  </w:style>
  <w:style w:type="paragraph" w:customStyle="1" w:styleId="HeaderSensitivity">
    <w:name w:val="Header Sensitivity"/>
    <w:basedOn w:val="Normal"/>
    <w:link w:val="HeaderSensitivityChar"/>
    <w:rsid w:val="00EA671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EA6712"/>
    <w:rPr>
      <w:rFonts w:ascii="Times New Roman" w:hAnsi="Times New Roman" w:cs="Times New Roman"/>
      <w:b/>
      <w:sz w:val="32"/>
    </w:rPr>
  </w:style>
  <w:style w:type="paragraph" w:customStyle="1" w:styleId="HeaderSensitivityRight">
    <w:name w:val="Header Sensitivity Right"/>
    <w:basedOn w:val="Normal"/>
    <w:link w:val="HeaderSensitivityRightChar"/>
    <w:rsid w:val="00EA671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A6712"/>
    <w:rPr>
      <w:rFonts w:ascii="Times New Roman" w:hAnsi="Times New Roman" w:cs="Times New Roman"/>
      <w:sz w:val="28"/>
    </w:rPr>
  </w:style>
  <w:style w:type="character" w:customStyle="1" w:styleId="Heading1Char">
    <w:name w:val="Heading 1 Char"/>
    <w:basedOn w:val="DefaultParagraphFont"/>
    <w:link w:val="Heading1"/>
    <w:uiPriority w:val="9"/>
    <w:rsid w:val="00EA6712"/>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sid w:val="00EA6712"/>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sid w:val="00EA6712"/>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sid w:val="00EA6712"/>
    <w:rPr>
      <w:rFonts w:ascii="Times New Roman" w:eastAsia="Times New Roman" w:hAnsi="Times New Roman" w:cs="Times New Roman"/>
      <w:bCs/>
      <w:iCs/>
      <w:sz w:val="24"/>
      <w:szCs w:val="20"/>
      <w:lang w:eastAsia="en-GB"/>
    </w:rPr>
  </w:style>
  <w:style w:type="character" w:styleId="Hyperlink">
    <w:name w:val="Hyperlink"/>
    <w:uiPriority w:val="99"/>
    <w:rsid w:val="00EA6712"/>
    <w:rPr>
      <w:color w:val="0000FF"/>
      <w:u w:val="single"/>
    </w:rPr>
  </w:style>
  <w:style w:type="paragraph" w:styleId="FootnoteText">
    <w:name w:val="footnote text"/>
    <w:aliases w:val="Testo nota a piè di pagina_Rientro,stile 1,Footnote1,Footnote2,Footnote3,Footnote4,Footnote5,Footnote6,Footnote7,Footnote8,Footnote9,Footnote10,Footnote11,Footnote21,Footnote31,Footnote41,Footnote51,Footnote61,ft,fn,Reference"/>
    <w:basedOn w:val="Normal"/>
    <w:link w:val="FootnoteTextChar"/>
    <w:uiPriority w:val="99"/>
    <w:unhideWhenUsed/>
    <w:qFormat/>
    <w:rsid w:val="00EA6712"/>
    <w:pPr>
      <w:spacing w:after="0" w:line="240" w:lineRule="auto"/>
      <w:ind w:left="60" w:hanging="6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Testo nota a piè di pagina_Rientro Char,stile 1 Char,Footnote1 Char,Footnote2 Char,Footnote3 Char,Footnote4 Char,Footnote5 Char,Footnote6 Char,Footnote7 Char,Footnote8 Char,Footnote9 Char,Footnote10 Char,Footnote11 Char,ft Char"/>
    <w:basedOn w:val="DefaultParagraphFont"/>
    <w:link w:val="FootnoteText"/>
    <w:uiPriority w:val="99"/>
    <w:rsid w:val="00EA6712"/>
    <w:rPr>
      <w:rFonts w:ascii="Times New Roman" w:eastAsia="Times New Roman" w:hAnsi="Times New Roman" w:cs="Times New Roman"/>
      <w:sz w:val="20"/>
      <w:szCs w:val="20"/>
      <w:lang w:eastAsia="en-GB"/>
    </w:rPr>
  </w:style>
  <w:style w:type="character" w:styleId="FootnoteReference">
    <w:name w:val="footnote reference"/>
    <w:aliases w:val="BVI fnr,Footnote symbol,SUPERS,Footnote reference number,note TESI,-E Fußnotenzeichen,number,Appel note de bas de p,Nota,Footnote,Footnote number,Footnote Reference Superscript,EN Footnote Reference,number Char Char,Ref"/>
    <w:uiPriority w:val="99"/>
    <w:unhideWhenUsed/>
    <w:qFormat/>
    <w:rsid w:val="00EA6712"/>
    <w:rPr>
      <w:shd w:val="clear" w:color="auto" w:fill="auto"/>
      <w:vertAlign w:val="superscript"/>
    </w:rPr>
  </w:style>
  <w:style w:type="paragraph" w:customStyle="1" w:styleId="Text1">
    <w:name w:val="Text 1"/>
    <w:basedOn w:val="Normal"/>
    <w:rsid w:val="00EA6712"/>
    <w:pPr>
      <w:spacing w:before="120" w:after="120" w:line="240" w:lineRule="auto"/>
      <w:ind w:left="850"/>
      <w:jc w:val="both"/>
    </w:pPr>
    <w:rPr>
      <w:rFonts w:ascii="Times New Roman" w:eastAsia="Times New Roman" w:hAnsi="Times New Roman" w:cs="Times New Roman"/>
      <w:sz w:val="24"/>
      <w:szCs w:val="20"/>
      <w:lang w:eastAsia="en-GB"/>
    </w:rPr>
  </w:style>
  <w:style w:type="paragraph" w:styleId="CommentText">
    <w:name w:val="annotation text"/>
    <w:basedOn w:val="Normal"/>
    <w:link w:val="CommentTextChar"/>
    <w:uiPriority w:val="99"/>
    <w:unhideWhenUsed/>
    <w:rsid w:val="00EA6712"/>
    <w:pPr>
      <w:spacing w:after="200" w:line="276"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sid w:val="00EA6712"/>
    <w:rPr>
      <w:rFonts w:ascii="Calibri" w:eastAsia="Times New Roman" w:hAnsi="Calibri" w:cs="Times New Roman"/>
      <w:sz w:val="20"/>
      <w:szCs w:val="20"/>
      <w:lang w:eastAsia="en-GB"/>
    </w:rPr>
  </w:style>
  <w:style w:type="character" w:styleId="CommentReference">
    <w:name w:val="annotation reference"/>
    <w:uiPriority w:val="99"/>
    <w:semiHidden/>
    <w:unhideWhenUsed/>
    <w:rsid w:val="00EA6712"/>
    <w:rPr>
      <w:sz w:val="16"/>
      <w:szCs w:val="16"/>
    </w:rPr>
  </w:style>
  <w:style w:type="paragraph" w:styleId="BalloonText">
    <w:name w:val="Balloon Text"/>
    <w:basedOn w:val="Normal"/>
    <w:link w:val="BalloonTextChar"/>
    <w:uiPriority w:val="99"/>
    <w:semiHidden/>
    <w:unhideWhenUsed/>
    <w:rsid w:val="00EA6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712"/>
    <w:rPr>
      <w:rFonts w:ascii="Segoe UI" w:hAnsi="Segoe UI" w:cs="Segoe UI"/>
      <w:sz w:val="18"/>
      <w:szCs w:val="18"/>
      <w:lang w:val="bg-BG"/>
    </w:rPr>
  </w:style>
  <w:style w:type="character" w:styleId="FollowedHyperlink">
    <w:name w:val="FollowedHyperlink"/>
    <w:basedOn w:val="DefaultParagraphFont"/>
    <w:uiPriority w:val="99"/>
    <w:semiHidden/>
    <w:unhideWhenUsed/>
    <w:rsid w:val="00EA6712"/>
    <w:rPr>
      <w:color w:val="954F72" w:themeColor="followedHyperlink"/>
      <w:u w:val="single"/>
    </w:rPr>
  </w:style>
  <w:style w:type="paragraph" w:customStyle="1" w:styleId="Text2">
    <w:name w:val="Text 2"/>
    <w:basedOn w:val="Normal"/>
    <w:qFormat/>
    <w:rsid w:val="00EA6712"/>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EA6712"/>
    <w:pPr>
      <w:spacing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A6712"/>
    <w:rPr>
      <w:rFonts w:ascii="Calibri" w:eastAsia="Times New Roman" w:hAnsi="Calibri" w:cs="Times New Roman"/>
      <w:b/>
      <w:bCs/>
      <w:sz w:val="20"/>
      <w:szCs w:val="20"/>
      <w:lang w:val="bg-BG" w:eastAsia="en-GB"/>
    </w:rPr>
  </w:style>
  <w:style w:type="paragraph" w:styleId="Revision">
    <w:name w:val="Revision"/>
    <w:hidden/>
    <w:uiPriority w:val="99"/>
    <w:semiHidden/>
    <w:rsid w:val="00EA6712"/>
    <w:pPr>
      <w:spacing w:after="0" w:line="240" w:lineRule="auto"/>
    </w:pPr>
  </w:style>
  <w:style w:type="character" w:customStyle="1" w:styleId="kurziv">
    <w:name w:val="kurziv"/>
    <w:basedOn w:val="DefaultParagraphFont"/>
    <w:rsid w:val="00EA6712"/>
  </w:style>
  <w:style w:type="character" w:styleId="Emphasis">
    <w:name w:val="Emphasis"/>
    <w:uiPriority w:val="20"/>
    <w:qFormat/>
    <w:rsid w:val="00EA6712"/>
    <w:rPr>
      <w:i/>
      <w:iCs/>
    </w:rPr>
  </w:style>
  <w:style w:type="paragraph" w:styleId="TOCHeading">
    <w:name w:val="TOC Heading"/>
    <w:basedOn w:val="Heading1"/>
    <w:next w:val="Normal"/>
    <w:uiPriority w:val="39"/>
    <w:unhideWhenUsed/>
    <w:qFormat/>
    <w:rsid w:val="00EA6712"/>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F5496" w:themeColor="accent1" w:themeShade="BF"/>
      <w:sz w:val="32"/>
      <w:szCs w:val="32"/>
      <w:lang w:eastAsia="en-US"/>
    </w:rPr>
  </w:style>
  <w:style w:type="paragraph" w:styleId="TOC1">
    <w:name w:val="toc 1"/>
    <w:basedOn w:val="Normal"/>
    <w:next w:val="Normal"/>
    <w:autoRedefine/>
    <w:uiPriority w:val="39"/>
    <w:unhideWhenUsed/>
    <w:rsid w:val="00EA6712"/>
    <w:pPr>
      <w:tabs>
        <w:tab w:val="left" w:pos="440"/>
        <w:tab w:val="right" w:leader="dot" w:pos="9350"/>
      </w:tabs>
      <w:spacing w:after="100"/>
      <w:ind w:left="440"/>
    </w:pPr>
  </w:style>
  <w:style w:type="paragraph" w:styleId="TOC2">
    <w:name w:val="toc 2"/>
    <w:basedOn w:val="Normal"/>
    <w:next w:val="Normal"/>
    <w:autoRedefine/>
    <w:uiPriority w:val="39"/>
    <w:unhideWhenUsed/>
    <w:rsid w:val="00722BCE"/>
    <w:pPr>
      <w:tabs>
        <w:tab w:val="left" w:pos="880"/>
        <w:tab w:val="right" w:leader="dot" w:pos="9350"/>
      </w:tabs>
      <w:spacing w:after="100"/>
      <w:ind w:left="220"/>
    </w:pPr>
  </w:style>
  <w:style w:type="paragraph" w:styleId="TOC3">
    <w:name w:val="toc 3"/>
    <w:basedOn w:val="Normal"/>
    <w:next w:val="Normal"/>
    <w:autoRedefine/>
    <w:uiPriority w:val="39"/>
    <w:unhideWhenUsed/>
    <w:rsid w:val="00EA6712"/>
    <w:pPr>
      <w:spacing w:after="100"/>
      <w:ind w:left="440"/>
    </w:pPr>
  </w:style>
  <w:style w:type="paragraph" w:customStyle="1" w:styleId="paragraph">
    <w:name w:val="paragraph"/>
    <w:basedOn w:val="Normal"/>
    <w:rsid w:val="00EA67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A6712"/>
  </w:style>
  <w:style w:type="character" w:customStyle="1" w:styleId="eop">
    <w:name w:val="eop"/>
    <w:basedOn w:val="DefaultParagraphFont"/>
    <w:rsid w:val="00EA6712"/>
  </w:style>
  <w:style w:type="character" w:customStyle="1" w:styleId="gmaildefault">
    <w:name w:val="gmail_default"/>
    <w:basedOn w:val="DefaultParagraphFont"/>
    <w:rsid w:val="00EA6712"/>
  </w:style>
  <w:style w:type="paragraph" w:customStyle="1" w:styleId="Disclaimer">
    <w:name w:val="Disclaimer"/>
    <w:basedOn w:val="Normal"/>
    <w:rsid w:val="00EA671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EA6712"/>
    <w:pPr>
      <w:spacing w:after="0" w:line="276" w:lineRule="auto"/>
      <w:ind w:left="5103"/>
    </w:pPr>
    <w:rPr>
      <w:rFonts w:ascii="Times New Roman" w:hAnsi="Times New Roman" w:cs="Times New Roman"/>
      <w:sz w:val="28"/>
    </w:rPr>
  </w:style>
  <w:style w:type="paragraph" w:customStyle="1" w:styleId="DateMarking">
    <w:name w:val="DateMarking"/>
    <w:basedOn w:val="Normal"/>
    <w:rsid w:val="00EA6712"/>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EA6712"/>
    <w:pPr>
      <w:spacing w:after="0" w:line="276" w:lineRule="auto"/>
      <w:ind w:left="5103"/>
    </w:pPr>
    <w:rPr>
      <w:rFonts w:ascii="Times New Roman" w:hAnsi="Times New Roman" w:cs="Times New Roman"/>
      <w:i/>
      <w:sz w:val="28"/>
    </w:rPr>
  </w:style>
  <w:style w:type="table" w:styleId="TableGrid">
    <w:name w:val="Table Grid"/>
    <w:basedOn w:val="TableNormal"/>
    <w:uiPriority w:val="59"/>
    <w:rsid w:val="00EA67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perscript">
    <w:name w:val="superscript"/>
    <w:basedOn w:val="DefaultParagraphFont"/>
    <w:rsid w:val="00EA6712"/>
  </w:style>
  <w:style w:type="character" w:customStyle="1" w:styleId="UnresolvedMention">
    <w:name w:val="Unresolved Mention"/>
    <w:basedOn w:val="DefaultParagraphFont"/>
    <w:uiPriority w:val="99"/>
    <w:semiHidden/>
    <w:unhideWhenUsed/>
    <w:rsid w:val="00EA6712"/>
    <w:rPr>
      <w:color w:val="605E5C"/>
      <w:shd w:val="clear" w:color="auto" w:fill="E1DFDD"/>
    </w:rPr>
  </w:style>
  <w:style w:type="paragraph" w:styleId="ListParagraph">
    <w:name w:val="List Paragraph"/>
    <w:basedOn w:val="Normal"/>
    <w:uiPriority w:val="34"/>
    <w:qFormat/>
    <w:rsid w:val="00EA6712"/>
    <w:pPr>
      <w:ind w:left="720"/>
      <w:contextualSpacing/>
    </w:pPr>
  </w:style>
  <w:style w:type="paragraph" w:styleId="NormalWeb">
    <w:name w:val="Normal (Web)"/>
    <w:basedOn w:val="Normal"/>
    <w:uiPriority w:val="99"/>
    <w:semiHidden/>
    <w:unhideWhenUsed/>
    <w:rsid w:val="00EA67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Mention">
    <w:name w:val="Mention"/>
    <w:basedOn w:val="DefaultParagraphFont"/>
    <w:uiPriority w:val="99"/>
    <w:unhideWhenUsed/>
    <w:rsid w:val="00EA6712"/>
    <w:rPr>
      <w:color w:val="2B579A"/>
      <w:shd w:val="clear" w:color="auto" w:fill="E1DFDD"/>
    </w:rPr>
  </w:style>
  <w:style w:type="paragraph" w:styleId="Caption">
    <w:name w:val="caption"/>
    <w:basedOn w:val="Normal"/>
    <w:next w:val="Normal"/>
    <w:uiPriority w:val="35"/>
    <w:unhideWhenUsed/>
    <w:qFormat/>
    <w:rsid w:val="00EA6712"/>
    <w:pPr>
      <w:tabs>
        <w:tab w:val="left" w:pos="120"/>
      </w:tabs>
      <w:spacing w:after="120" w:line="240" w:lineRule="auto"/>
      <w:jc w:val="both"/>
    </w:pPr>
    <w:rPr>
      <w:rFonts w:ascii="Times New Roman" w:eastAsiaTheme="minorEastAsia" w:hAnsi="Times New Roman" w:cs="Times New Roman"/>
      <w:b/>
      <w:bCs/>
      <w:smallCaps/>
      <w:color w:val="595959" w:themeColor="text1" w:themeTint="A6"/>
      <w:spacing w:val="6"/>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29120">
      <w:bodyDiv w:val="1"/>
      <w:marLeft w:val="0"/>
      <w:marRight w:val="0"/>
      <w:marTop w:val="0"/>
      <w:marBottom w:val="0"/>
      <w:divBdr>
        <w:top w:val="none" w:sz="0" w:space="0" w:color="auto"/>
        <w:left w:val="none" w:sz="0" w:space="0" w:color="auto"/>
        <w:bottom w:val="none" w:sz="0" w:space="0" w:color="auto"/>
        <w:right w:val="none" w:sz="0" w:space="0" w:color="auto"/>
      </w:divBdr>
    </w:div>
    <w:div w:id="926110918">
      <w:bodyDiv w:val="1"/>
      <w:marLeft w:val="0"/>
      <w:marRight w:val="0"/>
      <w:marTop w:val="0"/>
      <w:marBottom w:val="0"/>
      <w:divBdr>
        <w:top w:val="none" w:sz="0" w:space="0" w:color="auto"/>
        <w:left w:val="none" w:sz="0" w:space="0" w:color="auto"/>
        <w:bottom w:val="none" w:sz="0" w:space="0" w:color="auto"/>
        <w:right w:val="none" w:sz="0" w:space="0" w:color="auto"/>
      </w:divBdr>
    </w:div>
    <w:div w:id="134882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BG/TXT/?uri=comnat%3ASWD_2021_0317_FIN" TargetMode="External"/><Relationship Id="rId13" Type="http://schemas.openxmlformats.org/officeDocument/2006/relationships/hyperlink" Target="https://datam.jrc.ec.europa.eu/datam/topic/UTP/" TargetMode="External"/><Relationship Id="rId3" Type="http://schemas.openxmlformats.org/officeDocument/2006/relationships/hyperlink" Target="https://eur-lex.europa.eu/legal-content/BG/NIM/?uri=CELEX%3A32019L0633" TargetMode="External"/><Relationship Id="rId7" Type="http://schemas.openxmlformats.org/officeDocument/2006/relationships/hyperlink" Target="https://www.bmel.de/SharedDocs/Downloads/DE/_Internationales/aussenwirtschaftspolitik/evaluierungsbericht-agrarolkg.html" TargetMode="External"/><Relationship Id="rId12" Type="http://schemas.openxmlformats.org/officeDocument/2006/relationships/hyperlink" Target="https://ec.europa.eu/info/law/better-regulation/have-your-say/initiatives/13826-Agricultural-food-supply-chain-combating-unfair-trading-practices_bg" TargetMode="External"/><Relationship Id="rId2" Type="http://schemas.openxmlformats.org/officeDocument/2006/relationships/hyperlink" Target="https://eur-lex.europa.eu/legal-content/BG/TXT/?uri=CELEX%3A52021DC0652" TargetMode="External"/><Relationship Id="rId1" Type="http://schemas.openxmlformats.org/officeDocument/2006/relationships/hyperlink" Target="https://eur-lex.europa.eu/legal-content/BG/TXT/?uri=celex%3A32013R1308" TargetMode="External"/><Relationship Id="rId6" Type="http://schemas.openxmlformats.org/officeDocument/2006/relationships/hyperlink" Target="https://agriculture.ec.europa.eu/common-agricultural-policy/agri-food-supply-chain/unfair-trading-practices_bg" TargetMode="External"/><Relationship Id="rId11" Type="http://schemas.openxmlformats.org/officeDocument/2006/relationships/hyperlink" Target="https://publications.jrc.ec.europa.eu/repository/handle/JRC120271" TargetMode="External"/><Relationship Id="rId5" Type="http://schemas.openxmlformats.org/officeDocument/2006/relationships/hyperlink" Target="https://agriculture.ec.europa.eu/common-agricultural-policy/agri-food-supply-chain/unfair-trading-practices_bg" TargetMode="External"/><Relationship Id="rId15" Type="http://schemas.openxmlformats.org/officeDocument/2006/relationships/hyperlink" Target="https://www.konkurrensverket.se/informationsmaterial/rapportlista/konkurrensverkets-tillsyn-av-otillborliga-handelsmetoder/." TargetMode="External"/><Relationship Id="rId10" Type="http://schemas.openxmlformats.org/officeDocument/2006/relationships/hyperlink" Target="https://www.europarl.europa.eu/doceo/document/TA-8-2019-0152_BG.html%23title3" TargetMode="External"/><Relationship Id="rId4" Type="http://schemas.openxmlformats.org/officeDocument/2006/relationships/hyperlink" Target="https://agriculture.ec.europa.eu/common-agricultural-policy/agri-food-supply-chain/unfair-trading-practices_bg" TargetMode="External"/><Relationship Id="rId9" Type="http://schemas.openxmlformats.org/officeDocument/2006/relationships/hyperlink" Target="https://ec.europa.eu/commission/presscorner/detail/bg/ip_24_1493" TargetMode="External"/><Relationship Id="rId14" Type="http://schemas.openxmlformats.org/officeDocument/2006/relationships/hyperlink" Target="https://www.bmel.de/SharedDocs/Downloads/DE/_Internationales/aussenwirtschaftspolitik/evaluierungsbericht-agrarolk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eate a new document." ma:contentTypeScope="" ma:versionID="4f9c962fa346fb4ee4d235e808d9d049">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460808c2c73fea78cf9bc72727922b06"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D3718-8D1F-4435-878A-3AAB2563E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EBEAC-C0D2-4E71-936C-89E6B4D1A0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3664F9-0D18-4A37-8B92-18CA601FC61D}">
  <ds:schemaRefs>
    <ds:schemaRef ds:uri="http://schemas.microsoft.com/sharepoint/v3/contenttype/forms"/>
  </ds:schemaRefs>
</ds:datastoreItem>
</file>

<file path=customXml/itemProps4.xml><?xml version="1.0" encoding="utf-8"?>
<ds:datastoreItem xmlns:ds="http://schemas.openxmlformats.org/officeDocument/2006/customXml" ds:itemID="{D9491BD3-A9BA-4B28-9748-97A47ACD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4057</Words>
  <Characters>23129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27132</CharactersWithSpaces>
  <SharedDoc>false</SharedDoc>
  <HLinks>
    <vt:vector size="228" baseType="variant">
      <vt:variant>
        <vt:i4>1048637</vt:i4>
      </vt:variant>
      <vt:variant>
        <vt:i4>116</vt:i4>
      </vt:variant>
      <vt:variant>
        <vt:i4>0</vt:i4>
      </vt:variant>
      <vt:variant>
        <vt:i4>5</vt:i4>
      </vt:variant>
      <vt:variant>
        <vt:lpwstr/>
      </vt:variant>
      <vt:variant>
        <vt:lpwstr>_Toc163197678</vt:lpwstr>
      </vt:variant>
      <vt:variant>
        <vt:i4>1048637</vt:i4>
      </vt:variant>
      <vt:variant>
        <vt:i4>110</vt:i4>
      </vt:variant>
      <vt:variant>
        <vt:i4>0</vt:i4>
      </vt:variant>
      <vt:variant>
        <vt:i4>5</vt:i4>
      </vt:variant>
      <vt:variant>
        <vt:lpwstr/>
      </vt:variant>
      <vt:variant>
        <vt:lpwstr>_Toc163197677</vt:lpwstr>
      </vt:variant>
      <vt:variant>
        <vt:i4>1048637</vt:i4>
      </vt:variant>
      <vt:variant>
        <vt:i4>104</vt:i4>
      </vt:variant>
      <vt:variant>
        <vt:i4>0</vt:i4>
      </vt:variant>
      <vt:variant>
        <vt:i4>5</vt:i4>
      </vt:variant>
      <vt:variant>
        <vt:lpwstr/>
      </vt:variant>
      <vt:variant>
        <vt:lpwstr>_Toc163197676</vt:lpwstr>
      </vt:variant>
      <vt:variant>
        <vt:i4>1048637</vt:i4>
      </vt:variant>
      <vt:variant>
        <vt:i4>98</vt:i4>
      </vt:variant>
      <vt:variant>
        <vt:i4>0</vt:i4>
      </vt:variant>
      <vt:variant>
        <vt:i4>5</vt:i4>
      </vt:variant>
      <vt:variant>
        <vt:lpwstr/>
      </vt:variant>
      <vt:variant>
        <vt:lpwstr>_Toc163197675</vt:lpwstr>
      </vt:variant>
      <vt:variant>
        <vt:i4>1048637</vt:i4>
      </vt:variant>
      <vt:variant>
        <vt:i4>92</vt:i4>
      </vt:variant>
      <vt:variant>
        <vt:i4>0</vt:i4>
      </vt:variant>
      <vt:variant>
        <vt:i4>5</vt:i4>
      </vt:variant>
      <vt:variant>
        <vt:lpwstr/>
      </vt:variant>
      <vt:variant>
        <vt:lpwstr>_Toc163197674</vt:lpwstr>
      </vt:variant>
      <vt:variant>
        <vt:i4>1048637</vt:i4>
      </vt:variant>
      <vt:variant>
        <vt:i4>86</vt:i4>
      </vt:variant>
      <vt:variant>
        <vt:i4>0</vt:i4>
      </vt:variant>
      <vt:variant>
        <vt:i4>5</vt:i4>
      </vt:variant>
      <vt:variant>
        <vt:lpwstr/>
      </vt:variant>
      <vt:variant>
        <vt:lpwstr>_Toc163197673</vt:lpwstr>
      </vt:variant>
      <vt:variant>
        <vt:i4>1048637</vt:i4>
      </vt:variant>
      <vt:variant>
        <vt:i4>80</vt:i4>
      </vt:variant>
      <vt:variant>
        <vt:i4>0</vt:i4>
      </vt:variant>
      <vt:variant>
        <vt:i4>5</vt:i4>
      </vt:variant>
      <vt:variant>
        <vt:lpwstr/>
      </vt:variant>
      <vt:variant>
        <vt:lpwstr>_Toc163197672</vt:lpwstr>
      </vt:variant>
      <vt:variant>
        <vt:i4>1048637</vt:i4>
      </vt:variant>
      <vt:variant>
        <vt:i4>74</vt:i4>
      </vt:variant>
      <vt:variant>
        <vt:i4>0</vt:i4>
      </vt:variant>
      <vt:variant>
        <vt:i4>5</vt:i4>
      </vt:variant>
      <vt:variant>
        <vt:lpwstr/>
      </vt:variant>
      <vt:variant>
        <vt:lpwstr>_Toc163197671</vt:lpwstr>
      </vt:variant>
      <vt:variant>
        <vt:i4>1048637</vt:i4>
      </vt:variant>
      <vt:variant>
        <vt:i4>68</vt:i4>
      </vt:variant>
      <vt:variant>
        <vt:i4>0</vt:i4>
      </vt:variant>
      <vt:variant>
        <vt:i4>5</vt:i4>
      </vt:variant>
      <vt:variant>
        <vt:lpwstr/>
      </vt:variant>
      <vt:variant>
        <vt:lpwstr>_Toc163197670</vt:lpwstr>
      </vt:variant>
      <vt:variant>
        <vt:i4>1114173</vt:i4>
      </vt:variant>
      <vt:variant>
        <vt:i4>62</vt:i4>
      </vt:variant>
      <vt:variant>
        <vt:i4>0</vt:i4>
      </vt:variant>
      <vt:variant>
        <vt:i4>5</vt:i4>
      </vt:variant>
      <vt:variant>
        <vt:lpwstr/>
      </vt:variant>
      <vt:variant>
        <vt:lpwstr>_Toc163197669</vt:lpwstr>
      </vt:variant>
      <vt:variant>
        <vt:i4>1114173</vt:i4>
      </vt:variant>
      <vt:variant>
        <vt:i4>56</vt:i4>
      </vt:variant>
      <vt:variant>
        <vt:i4>0</vt:i4>
      </vt:variant>
      <vt:variant>
        <vt:i4>5</vt:i4>
      </vt:variant>
      <vt:variant>
        <vt:lpwstr/>
      </vt:variant>
      <vt:variant>
        <vt:lpwstr>_Toc163197668</vt:lpwstr>
      </vt:variant>
      <vt:variant>
        <vt:i4>1114173</vt:i4>
      </vt:variant>
      <vt:variant>
        <vt:i4>50</vt:i4>
      </vt:variant>
      <vt:variant>
        <vt:i4>0</vt:i4>
      </vt:variant>
      <vt:variant>
        <vt:i4>5</vt:i4>
      </vt:variant>
      <vt:variant>
        <vt:lpwstr/>
      </vt:variant>
      <vt:variant>
        <vt:lpwstr>_Toc163197667</vt:lpwstr>
      </vt:variant>
      <vt:variant>
        <vt:i4>1114173</vt:i4>
      </vt:variant>
      <vt:variant>
        <vt:i4>44</vt:i4>
      </vt:variant>
      <vt:variant>
        <vt:i4>0</vt:i4>
      </vt:variant>
      <vt:variant>
        <vt:i4>5</vt:i4>
      </vt:variant>
      <vt:variant>
        <vt:lpwstr/>
      </vt:variant>
      <vt:variant>
        <vt:lpwstr>_Toc163197666</vt:lpwstr>
      </vt:variant>
      <vt:variant>
        <vt:i4>1114173</vt:i4>
      </vt:variant>
      <vt:variant>
        <vt:i4>38</vt:i4>
      </vt:variant>
      <vt:variant>
        <vt:i4>0</vt:i4>
      </vt:variant>
      <vt:variant>
        <vt:i4>5</vt:i4>
      </vt:variant>
      <vt:variant>
        <vt:lpwstr/>
      </vt:variant>
      <vt:variant>
        <vt:lpwstr>_Toc163197664</vt:lpwstr>
      </vt:variant>
      <vt:variant>
        <vt:i4>1114173</vt:i4>
      </vt:variant>
      <vt:variant>
        <vt:i4>32</vt:i4>
      </vt:variant>
      <vt:variant>
        <vt:i4>0</vt:i4>
      </vt:variant>
      <vt:variant>
        <vt:i4>5</vt:i4>
      </vt:variant>
      <vt:variant>
        <vt:lpwstr/>
      </vt:variant>
      <vt:variant>
        <vt:lpwstr>_Toc163197663</vt:lpwstr>
      </vt:variant>
      <vt:variant>
        <vt:i4>1114173</vt:i4>
      </vt:variant>
      <vt:variant>
        <vt:i4>26</vt:i4>
      </vt:variant>
      <vt:variant>
        <vt:i4>0</vt:i4>
      </vt:variant>
      <vt:variant>
        <vt:i4>5</vt:i4>
      </vt:variant>
      <vt:variant>
        <vt:lpwstr/>
      </vt:variant>
      <vt:variant>
        <vt:lpwstr>_Toc163197662</vt:lpwstr>
      </vt:variant>
      <vt:variant>
        <vt:i4>1114173</vt:i4>
      </vt:variant>
      <vt:variant>
        <vt:i4>20</vt:i4>
      </vt:variant>
      <vt:variant>
        <vt:i4>0</vt:i4>
      </vt:variant>
      <vt:variant>
        <vt:i4>5</vt:i4>
      </vt:variant>
      <vt:variant>
        <vt:lpwstr/>
      </vt:variant>
      <vt:variant>
        <vt:lpwstr>_Toc163197661</vt:lpwstr>
      </vt:variant>
      <vt:variant>
        <vt:i4>1114173</vt:i4>
      </vt:variant>
      <vt:variant>
        <vt:i4>14</vt:i4>
      </vt:variant>
      <vt:variant>
        <vt:i4>0</vt:i4>
      </vt:variant>
      <vt:variant>
        <vt:i4>5</vt:i4>
      </vt:variant>
      <vt:variant>
        <vt:lpwstr/>
      </vt:variant>
      <vt:variant>
        <vt:lpwstr>_Toc163197660</vt:lpwstr>
      </vt:variant>
      <vt:variant>
        <vt:i4>1179709</vt:i4>
      </vt:variant>
      <vt:variant>
        <vt:i4>8</vt:i4>
      </vt:variant>
      <vt:variant>
        <vt:i4>0</vt:i4>
      </vt:variant>
      <vt:variant>
        <vt:i4>5</vt:i4>
      </vt:variant>
      <vt:variant>
        <vt:lpwstr/>
      </vt:variant>
      <vt:variant>
        <vt:lpwstr>_Toc163197659</vt:lpwstr>
      </vt:variant>
      <vt:variant>
        <vt:i4>1179709</vt:i4>
      </vt:variant>
      <vt:variant>
        <vt:i4>2</vt:i4>
      </vt:variant>
      <vt:variant>
        <vt:i4>0</vt:i4>
      </vt:variant>
      <vt:variant>
        <vt:i4>5</vt:i4>
      </vt:variant>
      <vt:variant>
        <vt:lpwstr/>
      </vt:variant>
      <vt:variant>
        <vt:lpwstr>_Toc163197658</vt:lpwstr>
      </vt:variant>
      <vt:variant>
        <vt:i4>7667821</vt:i4>
      </vt:variant>
      <vt:variant>
        <vt:i4>54</vt:i4>
      </vt:variant>
      <vt:variant>
        <vt:i4>0</vt:i4>
      </vt:variant>
      <vt:variant>
        <vt:i4>5</vt:i4>
      </vt:variant>
      <vt:variant>
        <vt:lpwstr>https://www.konkurrensverket.se/informationsmaterial/rapportlista/konkurrensverkets-tillsyn-av-otillborliga-handelsmetoder/</vt:lpwstr>
      </vt:variant>
      <vt:variant>
        <vt:lpwstr/>
      </vt:variant>
      <vt:variant>
        <vt:i4>852087</vt:i4>
      </vt:variant>
      <vt:variant>
        <vt:i4>51</vt:i4>
      </vt:variant>
      <vt:variant>
        <vt:i4>0</vt:i4>
      </vt:variant>
      <vt:variant>
        <vt:i4>5</vt:i4>
      </vt:variant>
      <vt:variant>
        <vt:lpwstr>https://www.bmel.de/SharedDocs/Downloads/DE/_Internationales/aussenwirtschaftspolitik/evaluierungsbericht-agrarolkg.html</vt:lpwstr>
      </vt:variant>
      <vt:variant>
        <vt:lpwstr/>
      </vt:variant>
      <vt:variant>
        <vt:i4>2293820</vt:i4>
      </vt:variant>
      <vt:variant>
        <vt:i4>48</vt:i4>
      </vt:variant>
      <vt:variant>
        <vt:i4>0</vt:i4>
      </vt:variant>
      <vt:variant>
        <vt:i4>5</vt:i4>
      </vt:variant>
      <vt:variant>
        <vt:lpwstr>https://datam.jrc.ec.europa.eu/datam/topic/UTP/</vt:lpwstr>
      </vt:variant>
      <vt:variant>
        <vt:lpwstr/>
      </vt:variant>
      <vt:variant>
        <vt:i4>8060935</vt:i4>
      </vt:variant>
      <vt:variant>
        <vt:i4>45</vt:i4>
      </vt:variant>
      <vt:variant>
        <vt:i4>0</vt:i4>
      </vt:variant>
      <vt:variant>
        <vt:i4>5</vt:i4>
      </vt:variant>
      <vt:variant>
        <vt:lpwstr>https://ec.europa.eu/info/law/better-regulation/have-your-say/initiatives/13826-Agricultural-food-supply-chain-combating-unfair-trading-practices_en</vt:lpwstr>
      </vt:variant>
      <vt:variant>
        <vt:lpwstr/>
      </vt:variant>
      <vt:variant>
        <vt:i4>262209</vt:i4>
      </vt:variant>
      <vt:variant>
        <vt:i4>42</vt:i4>
      </vt:variant>
      <vt:variant>
        <vt:i4>0</vt:i4>
      </vt:variant>
      <vt:variant>
        <vt:i4>5</vt:i4>
      </vt:variant>
      <vt:variant>
        <vt:lpwstr>https://publications.jrc.ec.europa.eu/repository/handle/JRC120271</vt:lpwstr>
      </vt:variant>
      <vt:variant>
        <vt:lpwstr/>
      </vt:variant>
      <vt:variant>
        <vt:i4>3211341</vt:i4>
      </vt:variant>
      <vt:variant>
        <vt:i4>39</vt:i4>
      </vt:variant>
      <vt:variant>
        <vt:i4>0</vt:i4>
      </vt:variant>
      <vt:variant>
        <vt:i4>5</vt:i4>
      </vt:variant>
      <vt:variant>
        <vt:lpwstr>https://www.europarl.europa.eu/doceo/document/TA-8-2019-0152_EN.html</vt:lpwstr>
      </vt:variant>
      <vt:variant>
        <vt:lpwstr>title3</vt:lpwstr>
      </vt:variant>
      <vt:variant>
        <vt:i4>7864427</vt:i4>
      </vt:variant>
      <vt:variant>
        <vt:i4>36</vt:i4>
      </vt:variant>
      <vt:variant>
        <vt:i4>0</vt:i4>
      </vt:variant>
      <vt:variant>
        <vt:i4>5</vt:i4>
      </vt:variant>
      <vt:variant>
        <vt:lpwstr>https://ec.europa.eu/commission/presscorner/detail/en/ip_24_1493</vt:lpwstr>
      </vt:variant>
      <vt:variant>
        <vt:lpwstr/>
      </vt:variant>
      <vt:variant>
        <vt:i4>7274574</vt:i4>
      </vt:variant>
      <vt:variant>
        <vt:i4>33</vt:i4>
      </vt:variant>
      <vt:variant>
        <vt:i4>0</vt:i4>
      </vt:variant>
      <vt:variant>
        <vt:i4>5</vt:i4>
      </vt:variant>
      <vt:variant>
        <vt:lpwstr>https://eur-lex.europa.eu/legal-content/EN/TXT/?uri=comnat:SWD_2021_0317_FIN</vt:lpwstr>
      </vt:variant>
      <vt:variant>
        <vt:lpwstr/>
      </vt:variant>
      <vt:variant>
        <vt:i4>852087</vt:i4>
      </vt:variant>
      <vt:variant>
        <vt:i4>27</vt:i4>
      </vt:variant>
      <vt:variant>
        <vt:i4>0</vt:i4>
      </vt:variant>
      <vt:variant>
        <vt:i4>5</vt:i4>
      </vt:variant>
      <vt:variant>
        <vt:lpwstr>https://www.bmel.de/SharedDocs/Downloads/DE/_Internationales/aussenwirtschaftspolitik/evaluierungsbericht-agrarolkg.html</vt:lpwstr>
      </vt:variant>
      <vt:variant>
        <vt:lpwstr/>
      </vt:variant>
      <vt:variant>
        <vt:i4>262191</vt:i4>
      </vt:variant>
      <vt:variant>
        <vt:i4>24</vt:i4>
      </vt:variant>
      <vt:variant>
        <vt:i4>0</vt:i4>
      </vt:variant>
      <vt:variant>
        <vt:i4>5</vt:i4>
      </vt:variant>
      <vt:variant>
        <vt:lpwstr>https://agriculture.ec.europa.eu/common-agricultural-policy/agri-food-supply-chain/unfair-trading-practices_en</vt:lpwstr>
      </vt:variant>
      <vt:variant>
        <vt:lpwstr/>
      </vt:variant>
      <vt:variant>
        <vt:i4>262191</vt:i4>
      </vt:variant>
      <vt:variant>
        <vt:i4>21</vt:i4>
      </vt:variant>
      <vt:variant>
        <vt:i4>0</vt:i4>
      </vt:variant>
      <vt:variant>
        <vt:i4>5</vt:i4>
      </vt:variant>
      <vt:variant>
        <vt:lpwstr>https://agriculture.ec.europa.eu/common-agricultural-policy/agri-food-supply-chain/unfair-trading-practices_en</vt:lpwstr>
      </vt:variant>
      <vt:variant>
        <vt:lpwstr/>
      </vt:variant>
      <vt:variant>
        <vt:i4>7012359</vt:i4>
      </vt:variant>
      <vt:variant>
        <vt:i4>18</vt:i4>
      </vt:variant>
      <vt:variant>
        <vt:i4>0</vt:i4>
      </vt:variant>
      <vt:variant>
        <vt:i4>5</vt:i4>
      </vt:variant>
      <vt:variant>
        <vt:lpwstr>https://ec.europa.eu/info/food-farming-fisheries/key-policies/common-agricultural-policy/market-measures/agri-food-supply-chain/unfair-trading-practices_en</vt:lpwstr>
      </vt:variant>
      <vt:variant>
        <vt:lpwstr/>
      </vt:variant>
      <vt:variant>
        <vt:i4>7536745</vt:i4>
      </vt:variant>
      <vt:variant>
        <vt:i4>15</vt:i4>
      </vt:variant>
      <vt:variant>
        <vt:i4>0</vt:i4>
      </vt:variant>
      <vt:variant>
        <vt:i4>5</vt:i4>
      </vt:variant>
      <vt:variant>
        <vt:lpwstr>https://eur-lex.europa.eu/legal-content/EN/NIM/?uri=CELEX%3A32019L0633</vt:lpwstr>
      </vt:variant>
      <vt:variant>
        <vt:lpwstr/>
      </vt:variant>
      <vt:variant>
        <vt:i4>7274593</vt:i4>
      </vt:variant>
      <vt:variant>
        <vt:i4>12</vt:i4>
      </vt:variant>
      <vt:variant>
        <vt:i4>0</vt:i4>
      </vt:variant>
      <vt:variant>
        <vt:i4>5</vt:i4>
      </vt:variant>
      <vt:variant>
        <vt:lpwstr>https://commission.europa.eu/document/download/a21336e2-2a7c-43d2-bb35-d4eee7aa4cd3_en?filename=BRT-2023-Chapter%204-Compliance%20implementation%20and%20preparing%20proposals_0.pdf</vt:lpwstr>
      </vt:variant>
      <vt:variant>
        <vt:lpwstr/>
      </vt:variant>
      <vt:variant>
        <vt:i4>327699</vt:i4>
      </vt:variant>
      <vt:variant>
        <vt:i4>6</vt:i4>
      </vt:variant>
      <vt:variant>
        <vt:i4>0</vt:i4>
      </vt:variant>
      <vt:variant>
        <vt:i4>5</vt:i4>
      </vt:variant>
      <vt:variant>
        <vt:lpwstr>https://eur-lex.europa.eu/legal-content/EN/TXT/?uri=CELEX:52021DC0652</vt:lpwstr>
      </vt:variant>
      <vt:variant>
        <vt:lpwstr/>
      </vt:variant>
      <vt:variant>
        <vt:i4>6291568</vt:i4>
      </vt:variant>
      <vt:variant>
        <vt:i4>0</vt:i4>
      </vt:variant>
      <vt:variant>
        <vt:i4>0</vt:i4>
      </vt:variant>
      <vt:variant>
        <vt:i4>5</vt:i4>
      </vt:variant>
      <vt:variant>
        <vt:lpwstr>https://eur-lex.europa.eu/legal-content/EN/TXT/?uri=celex%3A32013R1308</vt:lpwstr>
      </vt:variant>
      <vt:variant>
        <vt:lpwstr/>
      </vt:variant>
      <vt:variant>
        <vt:i4>7274606</vt:i4>
      </vt:variant>
      <vt:variant>
        <vt:i4>3</vt:i4>
      </vt:variant>
      <vt:variant>
        <vt:i4>0</vt:i4>
      </vt:variant>
      <vt:variant>
        <vt:i4>5</vt:i4>
      </vt:variant>
      <vt:variant>
        <vt:lpwstr>https://data.consilium.europa.eu/doc/document/ST-7731-2024-INIT/en/pdf</vt:lpwstr>
      </vt:variant>
      <vt:variant>
        <vt:lpwstr/>
      </vt:variant>
      <vt:variant>
        <vt:i4>8257626</vt:i4>
      </vt:variant>
      <vt:variant>
        <vt:i4>0</vt:i4>
      </vt:variant>
      <vt:variant>
        <vt:i4>0</vt:i4>
      </vt:variant>
      <vt:variant>
        <vt:i4>5</vt:i4>
      </vt:variant>
      <vt:variant>
        <vt:lpwstr>mailto:Ingrid.Brandner@ec.europa.eu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2024-04-11T14:36:00Z</dcterms:created>
  <dcterms:modified xsi:type="dcterms:W3CDTF">2024-04-22T15:58:00Z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2024-03-22T09:30:56Z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6edab8ff-6b22-47b6-8bfd-f8d82f4c9806</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CP-008</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0x01010081D7E5E20A3B6448BB831F127F5CFB05</vt:lpwstr>
  </property>
  <property name="OP_sanitized" fmtid="{D5CDD505-2E9C-101B-9397-08002B2CF9AE}" pid="17">
    <vt:lpwstr>True</vt:lpwstr>
  </property>
</Properties>
</file>