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3B" w:rsidRPr="005F58FA" w:rsidRDefault="005D247C" w:rsidP="005D247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4B4E5AE-1231-4F5C-89D7-BA96F88B2C0B" style="width:455.25pt;height:414pt">
            <v:imagedata r:id="rId11" o:title=""/>
          </v:shape>
        </w:pict>
      </w:r>
    </w:p>
    <w:p w:rsidR="0018143B" w:rsidRPr="005F58FA" w:rsidRDefault="0018143B">
      <w:pPr>
        <w:rPr>
          <w:noProof/>
        </w:rPr>
        <w:sectPr w:rsidR="0018143B" w:rsidRPr="005F58FA" w:rsidSect="005D247C">
          <w:footerReference w:type="even" r:id="rId12"/>
          <w:footerReference w:type="default" r:id="rId13"/>
          <w:pgSz w:w="11907" w:h="16839"/>
          <w:pgMar w:top="1134" w:right="1417" w:bottom="1134" w:left="1417" w:header="709" w:footer="709" w:gutter="0"/>
          <w:pgNumType w:start="0"/>
          <w:cols w:space="720"/>
          <w:docGrid w:linePitch="360"/>
        </w:sectPr>
      </w:pPr>
    </w:p>
    <w:p w:rsidR="0018143B" w:rsidRPr="005F58FA" w:rsidRDefault="0091075B">
      <w:pPr>
        <w:pStyle w:val="Exposdesmotifstitre"/>
        <w:rPr>
          <w:noProof/>
        </w:rPr>
      </w:pPr>
      <w:bookmarkStart w:id="0" w:name="_GoBack"/>
      <w:bookmarkEnd w:id="0"/>
      <w:r w:rsidRPr="005F58FA">
        <w:rPr>
          <w:noProof/>
        </w:rPr>
        <w:lastRenderedPageBreak/>
        <w:t>ОБЯСНИТЕЛЕН МЕМОРАНДУМ</w:t>
      </w:r>
    </w:p>
    <w:p w:rsidR="0018143B" w:rsidRPr="005F58FA" w:rsidRDefault="0091075B">
      <w:pPr>
        <w:pStyle w:val="ManualHeading1"/>
        <w:rPr>
          <w:noProof/>
        </w:rPr>
      </w:pPr>
      <w:r w:rsidRPr="005F58FA">
        <w:rPr>
          <w:noProof/>
        </w:rPr>
        <w:t>1.</w:t>
      </w:r>
      <w:r w:rsidRPr="005F58FA">
        <w:rPr>
          <w:noProof/>
        </w:rPr>
        <w:tab/>
        <w:t>КОНТЕКСТ НА ПРЕДЛОЖЕНИЕТО</w:t>
      </w:r>
    </w:p>
    <w:p w:rsidR="00E1507C" w:rsidRPr="005F58FA" w:rsidRDefault="00E1507C">
      <w:pPr>
        <w:pBdr>
          <w:top w:val="nil"/>
          <w:left w:val="nil"/>
          <w:bottom w:val="nil"/>
          <w:right w:val="nil"/>
          <w:between w:val="nil"/>
          <w:bar w:val="nil"/>
        </w:pBdr>
        <w:spacing w:before="0" w:after="240"/>
        <w:rPr>
          <w:rFonts w:eastAsia="Arial Unicode MS"/>
          <w:noProof/>
        </w:rPr>
      </w:pPr>
      <w:r w:rsidRPr="005F58FA">
        <w:rPr>
          <w:noProof/>
        </w:rPr>
        <w:t>Настоящото предложение придружава предложението на Комисията за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w:t>
      </w:r>
      <w:r w:rsidRPr="005F58FA">
        <w:rPr>
          <w:rStyle w:val="FootnoteReference"/>
          <w:rFonts w:eastAsia="Arial Unicode MS"/>
          <w:noProof/>
        </w:rPr>
        <w:footnoteReference w:id="1"/>
      </w:r>
      <w:r w:rsidRPr="005F58FA">
        <w:rPr>
          <w:noProof/>
        </w:rPr>
        <w:t>, с цел да бъде подобрено функционирането на вътрешния пазар чрез постигане на общо равнище на прозрачност в целия Съюз.</w:t>
      </w:r>
    </w:p>
    <w:p w:rsidR="00074F44" w:rsidRPr="005F58FA" w:rsidRDefault="00074F44">
      <w:pPr>
        <w:pBdr>
          <w:top w:val="nil"/>
          <w:left w:val="nil"/>
          <w:bottom w:val="nil"/>
          <w:right w:val="nil"/>
          <w:between w:val="nil"/>
          <w:bar w:val="nil"/>
        </w:pBdr>
        <w:spacing w:before="0" w:after="240"/>
        <w:rPr>
          <w:rFonts w:eastAsia="Arial Unicode MS"/>
          <w:noProof/>
        </w:rPr>
      </w:pPr>
      <w:r w:rsidRPr="005F58FA">
        <w:rPr>
          <w:noProof/>
        </w:rPr>
        <w:t>С предложената директива от държавите членки ще се изисква да създадат и поддържат национални регистри за осигуряването на прозрачност на дейностите по представителство на интереси, извършвани от субекти, както и да определят органи, отговарящи за тези регистри. Освен това с предложената директива от държавите членки ще се изисква да определят надзорни органи, които да отговарят за надзора на спазването и прилагането на задълженията, посочени в предложената директива, както и да обменят информация с надзорните органи в други държави членки и с Комисията, когато това е разрешено съгласно предложената директива.</w:t>
      </w:r>
    </w:p>
    <w:p w:rsidR="00E1507C" w:rsidRPr="005F58FA" w:rsidRDefault="00074F44">
      <w:pPr>
        <w:pBdr>
          <w:top w:val="nil"/>
          <w:left w:val="nil"/>
          <w:bottom w:val="nil"/>
          <w:right w:val="nil"/>
          <w:between w:val="nil"/>
          <w:bar w:val="nil"/>
        </w:pBdr>
        <w:spacing w:before="0" w:after="240"/>
        <w:rPr>
          <w:rFonts w:eastAsia="Times New Roman"/>
          <w:noProof/>
          <w:szCs w:val="24"/>
        </w:rPr>
      </w:pPr>
      <w:r w:rsidRPr="005F58FA">
        <w:rPr>
          <w:noProof/>
        </w:rPr>
        <w:t>Административното сътрудничество и обменът на информация между компетентните национални органи и с Комисията, предвидени в предложената директива, следва да бъдат осъществявани посредством Информационната система за вътрешния пазар (IMI), създадена с Регламент (ЕС) № 1024/2012 на Европейския парламент и на Съвета</w:t>
      </w:r>
      <w:r w:rsidR="00E1507C" w:rsidRPr="005F58FA">
        <w:rPr>
          <w:rStyle w:val="FootnoteReference"/>
          <w:noProof/>
          <w:szCs w:val="24"/>
        </w:rPr>
        <w:footnoteReference w:id="2"/>
      </w:r>
      <w:r w:rsidRPr="005F58FA">
        <w:rPr>
          <w:noProof/>
        </w:rPr>
        <w:t>. По тази причина в IMI следва да бъдат създадени необходимите процедури за административно сътрудничество. Поради това Регламент (ЕС) № 1024/2012 следва да бъде съответно изменен.</w:t>
      </w:r>
    </w:p>
    <w:p w:rsidR="00E1507C" w:rsidRPr="005F58FA" w:rsidRDefault="00E1507C">
      <w:pPr>
        <w:pBdr>
          <w:top w:val="nil"/>
          <w:left w:val="nil"/>
          <w:bottom w:val="nil"/>
          <w:right w:val="nil"/>
          <w:between w:val="nil"/>
          <w:bar w:val="nil"/>
        </w:pBdr>
        <w:spacing w:before="0" w:after="240"/>
        <w:rPr>
          <w:rFonts w:eastAsia="Times New Roman"/>
          <w:noProof/>
          <w:szCs w:val="24"/>
        </w:rPr>
      </w:pPr>
      <w:r w:rsidRPr="005F58FA">
        <w:rPr>
          <w:noProof/>
        </w:rPr>
        <w:t>Освен това, за да се сведе до минимум административната тежест за правните субекти и физическите лица, попадащи в приложното поле на предложената директива, Регламент (ЕС) 2018/1724 на Европейския парламент и на Съвета</w:t>
      </w:r>
      <w:r w:rsidRPr="005F58FA">
        <w:rPr>
          <w:rStyle w:val="FootnoteReference"/>
          <w:noProof/>
          <w:szCs w:val="24"/>
        </w:rPr>
        <w:footnoteReference w:id="3"/>
      </w:r>
      <w:r w:rsidRPr="005F58FA">
        <w:rPr>
          <w:noProof/>
        </w:rPr>
        <w:t xml:space="preserve"> следва да бъде изменен, за да се осигури лесен онлайн достъп до информация относно правата и задълженията, произтичащи от директивата, както и за да се гарантира, че достъпът до и извършването на процедурата за регистрация, изисквана съгласно директивата, могат да бъда осъществени изцяло онлайн.</w:t>
      </w:r>
    </w:p>
    <w:p w:rsidR="0018143B" w:rsidRPr="005F58FA" w:rsidRDefault="0091075B">
      <w:pPr>
        <w:pStyle w:val="ManualHeading1"/>
        <w:rPr>
          <w:noProof/>
        </w:rPr>
      </w:pPr>
      <w:r w:rsidRPr="005F58FA">
        <w:rPr>
          <w:noProof/>
        </w:rPr>
        <w:t>2.</w:t>
      </w:r>
      <w:r w:rsidRPr="005F58FA">
        <w:rPr>
          <w:noProof/>
        </w:rPr>
        <w:tab/>
        <w:t>ПРАВНО ОСНОВАНИЕ, СУБСИДИАРНОСТ И ПРОПОРЦИОНАЛНОСТ</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Правно основание</w:t>
      </w:r>
    </w:p>
    <w:p w:rsidR="0018143B" w:rsidRPr="005F58FA" w:rsidRDefault="007074CE">
      <w:pPr>
        <w:pBdr>
          <w:top w:val="nil"/>
          <w:left w:val="nil"/>
          <w:bottom w:val="nil"/>
          <w:right w:val="nil"/>
          <w:between w:val="nil"/>
          <w:bar w:val="nil"/>
        </w:pBdr>
        <w:spacing w:before="0" w:after="240"/>
        <w:rPr>
          <w:rFonts w:eastAsia="Arial Unicode MS"/>
          <w:noProof/>
        </w:rPr>
      </w:pPr>
      <w:r w:rsidRPr="005F58FA">
        <w:rPr>
          <w:noProof/>
        </w:rPr>
        <w:t>Регламент (ЕС) № 1024/2012 и Регламент (ЕС) 2018/1724 се основават на член 114 от Договора за функционирането на Европейския съюз (ДФЕС), в който се предвижда приемането на мерки за гарантиране на създаването и функционирането на вътрешния пазар. В съответствие с правилото, че правното основание на акта за изменение трябва да бъде същото като правното основание на акта, който се изменя, настоящото предложение има същото правно основание като двата регламента, за които се предлага да бъдат изменени с него.</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 xml:space="preserve">Субсидиарност (при неизключителна компетентност) </w:t>
      </w:r>
    </w:p>
    <w:p w:rsidR="0018143B" w:rsidRPr="005F58FA" w:rsidRDefault="007074CE">
      <w:pPr>
        <w:pBdr>
          <w:top w:val="nil"/>
          <w:left w:val="nil"/>
          <w:bottom w:val="nil"/>
          <w:right w:val="nil"/>
          <w:between w:val="nil"/>
          <w:bar w:val="nil"/>
        </w:pBdr>
        <w:spacing w:before="0" w:after="240"/>
        <w:rPr>
          <w:rFonts w:eastAsia="Arial Unicode MS"/>
          <w:noProof/>
        </w:rPr>
      </w:pPr>
      <w:r w:rsidRPr="005F58FA">
        <w:rPr>
          <w:noProof/>
        </w:rPr>
        <w:t>Целта на настоящото предложение, а именно да се използват съществуващите инструменти за сътрудничество и цифрови портали, създадени на равнището на Съюза, за да се улесни прилагането на предложената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не може да бъде постигната ефективно от държавите членки самостоятелно. Поради това е необходимо действие на равнището на Съюза.</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Пропорционалност</w:t>
      </w:r>
    </w:p>
    <w:p w:rsidR="0018143B" w:rsidRPr="005F58FA" w:rsidRDefault="00EA6C72">
      <w:pPr>
        <w:pBdr>
          <w:top w:val="nil"/>
          <w:left w:val="nil"/>
          <w:bottom w:val="nil"/>
          <w:right w:val="nil"/>
          <w:between w:val="nil"/>
          <w:bar w:val="nil"/>
        </w:pBdr>
        <w:spacing w:before="0" w:after="240"/>
        <w:rPr>
          <w:rFonts w:eastAsia="Arial Unicode MS"/>
          <w:noProof/>
        </w:rPr>
      </w:pPr>
      <w:r w:rsidRPr="005F58FA">
        <w:rPr>
          <w:noProof/>
        </w:rPr>
        <w:t>В настоящото предложение се използват съществуващите инструменти и портали на ИТ, вместо да се създават нови. Поради това то не надхвърля необходимото за постигането на заложената в него цел.</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Избор на инструмент</w:t>
      </w:r>
    </w:p>
    <w:p w:rsidR="0018143B" w:rsidRPr="005F58FA" w:rsidRDefault="0091075B">
      <w:pPr>
        <w:pBdr>
          <w:top w:val="nil"/>
          <w:left w:val="nil"/>
          <w:bottom w:val="nil"/>
          <w:right w:val="nil"/>
          <w:between w:val="nil"/>
          <w:bar w:val="nil"/>
        </w:pBdr>
        <w:spacing w:before="0" w:after="240"/>
        <w:rPr>
          <w:rFonts w:eastAsia="Arial Unicode MS"/>
          <w:noProof/>
        </w:rPr>
      </w:pPr>
      <w:r w:rsidRPr="005F58FA">
        <w:rPr>
          <w:noProof/>
        </w:rPr>
        <w:t>С член 114 от ДФЕС на законодателя се предоставя правомощието да приема регламенти и директиви.</w:t>
      </w:r>
    </w:p>
    <w:p w:rsidR="0018143B" w:rsidRPr="005F58FA" w:rsidRDefault="0091075B">
      <w:pPr>
        <w:pBdr>
          <w:top w:val="nil"/>
          <w:left w:val="nil"/>
          <w:bottom w:val="nil"/>
          <w:right w:val="nil"/>
          <w:between w:val="nil"/>
          <w:bar w:val="nil"/>
        </w:pBdr>
        <w:spacing w:before="0" w:after="240"/>
        <w:rPr>
          <w:rFonts w:eastAsia="Arial Unicode MS"/>
          <w:noProof/>
        </w:rPr>
      </w:pPr>
      <w:r w:rsidRPr="005F58FA">
        <w:rPr>
          <w:noProof/>
        </w:rPr>
        <w:t>Като се има предвид, че с настоящото предложение ще бъдат изменени Регламент (ЕС) № 1024/2012 и Регламент (ЕС) 2018/1724, и в съответствие с принципа, че от съображения за правна сигурност актът за изменение следва да бъде от същия вид като първоначалния акт, подходящият правен инструмент е регламент.</w:t>
      </w:r>
    </w:p>
    <w:p w:rsidR="0018143B" w:rsidRPr="005F58FA" w:rsidRDefault="0091075B">
      <w:pPr>
        <w:pStyle w:val="ManualHeading1"/>
        <w:rPr>
          <w:noProof/>
        </w:rPr>
      </w:pPr>
      <w:r w:rsidRPr="005F58FA">
        <w:rPr>
          <w:noProof/>
        </w:rPr>
        <w:t>3.</w:t>
      </w:r>
      <w:r w:rsidRPr="005F58FA">
        <w:rPr>
          <w:noProof/>
        </w:rPr>
        <w:tab/>
        <w:t>РЕЗУЛТАТИ ОТ ПОСЛЕДВАЩИТЕ ОЦЕНКИ, КОНСУЛТАЦИИТЕ СЪС ЗАИНТЕРЕСОВАНИТЕ СТРАНИ И ОЦЕНКИТЕ НА ВЪЗДЕЙСТВИЕТО</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Оценка на въздействието</w:t>
      </w:r>
    </w:p>
    <w:p w:rsidR="00360678" w:rsidRPr="005F58FA" w:rsidRDefault="00360678">
      <w:pPr>
        <w:pBdr>
          <w:top w:val="nil"/>
          <w:left w:val="nil"/>
          <w:bottom w:val="nil"/>
          <w:right w:val="nil"/>
          <w:between w:val="nil"/>
          <w:bar w:val="nil"/>
        </w:pBdr>
        <w:spacing w:before="0" w:after="240"/>
        <w:rPr>
          <w:rFonts w:eastAsia="Arial Unicode MS"/>
          <w:noProof/>
        </w:rPr>
      </w:pPr>
      <w:r w:rsidRPr="005F58FA">
        <w:rPr>
          <w:noProof/>
        </w:rPr>
        <w:t>В контекста на подготовката на предложението на Комисията за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беше направена оценка на въздействието</w:t>
      </w:r>
      <w:r w:rsidRPr="005F58FA">
        <w:rPr>
          <w:rStyle w:val="FootnoteReference"/>
          <w:rFonts w:eastAsia="Arial Unicode MS"/>
          <w:noProof/>
        </w:rPr>
        <w:footnoteReference w:id="4"/>
      </w:r>
      <w:r w:rsidRPr="005F58FA">
        <w:rPr>
          <w:noProof/>
        </w:rPr>
        <w:t>.</w:t>
      </w:r>
    </w:p>
    <w:p w:rsidR="00360678" w:rsidRPr="005F58FA" w:rsidRDefault="00360678">
      <w:pPr>
        <w:pBdr>
          <w:top w:val="nil"/>
          <w:left w:val="nil"/>
          <w:bottom w:val="nil"/>
          <w:right w:val="nil"/>
          <w:between w:val="nil"/>
          <w:bar w:val="nil"/>
        </w:pBdr>
        <w:spacing w:before="0" w:after="240"/>
        <w:rPr>
          <w:rFonts w:eastAsia="Calibri"/>
          <w:noProof/>
          <w:szCs w:val="24"/>
        </w:rPr>
      </w:pPr>
      <w:r w:rsidRPr="005F58FA">
        <w:rPr>
          <w:noProof/>
        </w:rPr>
        <w:t>Предпочитаният вариант на политиката, определен в оценката на въздействието, включва: а) изменение на Регламент (ЕС) № 1024/2012 с цел осъществяване на административното сътрудничество и обмена на информация, предвидени в инициативата, като се използват съществуващите ИТ инструменти, и б) изменение на Регламент (ЕС) 2018/1724 с цел осигуряване на лесен онлайн достъп до информация относно правата и задълженията, произтичащи от този вариант на политиката, както и гарантиране, че достъпът до и извършването на процедурата за регистрация, изисквана от този вариант на политиката, са изцяло онлайн.</w:t>
      </w:r>
    </w:p>
    <w:p w:rsidR="00A57005" w:rsidRPr="005F58FA" w:rsidRDefault="00A57005" w:rsidP="00A57005">
      <w:pPr>
        <w:pStyle w:val="ManualHeading2"/>
        <w:rPr>
          <w:rFonts w:eastAsia="Arial Unicode MS"/>
          <w:noProof/>
          <w:u w:color="000000"/>
          <w:bdr w:val="nil"/>
        </w:rPr>
      </w:pPr>
      <w:r w:rsidRPr="005F58FA">
        <w:rPr>
          <w:noProof/>
          <w:u w:color="000000"/>
          <w:bdr w:val="nil"/>
        </w:rPr>
        <w:t>•</w:t>
      </w:r>
      <w:r w:rsidRPr="005F58FA">
        <w:rPr>
          <w:noProof/>
          <w:u w:color="000000"/>
          <w:bdr w:val="nil"/>
        </w:rPr>
        <w:tab/>
        <w:t>Основни права</w:t>
      </w:r>
    </w:p>
    <w:p w:rsidR="00E70408" w:rsidRPr="005F58FA" w:rsidRDefault="00E70408" w:rsidP="00E70408">
      <w:pPr>
        <w:pStyle w:val="Text1"/>
        <w:ind w:left="0"/>
        <w:rPr>
          <w:rFonts w:eastAsia="Arial Unicode MS"/>
          <w:noProof/>
        </w:rPr>
      </w:pPr>
      <w:r w:rsidRPr="005F58FA">
        <w:rPr>
          <w:noProof/>
        </w:rPr>
        <w:t>Настоящото предложение не оказва въздействие върху основните права, отделно от въздействието, което може да окаже предложената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w:t>
      </w:r>
    </w:p>
    <w:p w:rsidR="00E70408" w:rsidRPr="005F58FA" w:rsidRDefault="00E70408" w:rsidP="00502656">
      <w:pPr>
        <w:pStyle w:val="Text1"/>
        <w:ind w:left="0"/>
        <w:rPr>
          <w:noProof/>
        </w:rPr>
      </w:pPr>
      <w:r w:rsidRPr="005F58FA">
        <w:rPr>
          <w:noProof/>
        </w:rPr>
        <w:t>За оценката на въздействието на това предложение върху основните права вж. COM(2023) 637 final.</w:t>
      </w:r>
    </w:p>
    <w:p w:rsidR="0018143B" w:rsidRPr="005F58FA" w:rsidRDefault="0091075B">
      <w:pPr>
        <w:pStyle w:val="ManualHeading1"/>
        <w:rPr>
          <w:noProof/>
        </w:rPr>
      </w:pPr>
      <w:r w:rsidRPr="005F58FA">
        <w:rPr>
          <w:noProof/>
        </w:rPr>
        <w:t>4.</w:t>
      </w:r>
      <w:r w:rsidRPr="005F58FA">
        <w:rPr>
          <w:noProof/>
        </w:rPr>
        <w:tab/>
        <w:t>ОТРАЖЕНИЕ ВЪРХУ БЮДЖЕТА</w:t>
      </w:r>
    </w:p>
    <w:p w:rsidR="00E70408" w:rsidRPr="005F58FA" w:rsidRDefault="00E70408" w:rsidP="00E70408">
      <w:pPr>
        <w:pStyle w:val="Text1"/>
        <w:ind w:left="0"/>
        <w:rPr>
          <w:noProof/>
        </w:rPr>
      </w:pPr>
      <w:r w:rsidRPr="005F58FA">
        <w:rPr>
          <w:noProof/>
        </w:rPr>
        <w:t>Разходите, необходими за разширяването на IMI, за да са възможни административното сътрудничество и обменът на информация, предвидени в предложената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са посочени в COM(2023) 637 final.</w:t>
      </w:r>
    </w:p>
    <w:p w:rsidR="0018143B" w:rsidRPr="005F58FA" w:rsidRDefault="0091075B">
      <w:pPr>
        <w:pStyle w:val="ManualHeading1"/>
        <w:rPr>
          <w:noProof/>
        </w:rPr>
      </w:pPr>
      <w:r w:rsidRPr="005F58FA">
        <w:rPr>
          <w:noProof/>
        </w:rPr>
        <w:t>5.</w:t>
      </w:r>
      <w:r w:rsidRPr="005F58FA">
        <w:rPr>
          <w:noProof/>
        </w:rPr>
        <w:tab/>
        <w:t>ДРУГИ ЕЛЕМЕНТИ</w:t>
      </w:r>
    </w:p>
    <w:p w:rsidR="0018143B" w:rsidRPr="005F58FA" w:rsidRDefault="0091075B">
      <w:pPr>
        <w:pStyle w:val="ManualHeading2"/>
        <w:rPr>
          <w:rFonts w:eastAsia="Arial Unicode MS"/>
          <w:noProof/>
          <w:u w:color="000000"/>
          <w:bdr w:val="nil"/>
        </w:rPr>
      </w:pPr>
      <w:r w:rsidRPr="005F58FA">
        <w:rPr>
          <w:noProof/>
          <w:u w:color="000000"/>
          <w:bdr w:val="nil"/>
        </w:rPr>
        <w:t>•</w:t>
      </w:r>
      <w:r w:rsidRPr="005F58FA">
        <w:rPr>
          <w:noProof/>
          <w:u w:color="000000"/>
          <w:bdr w:val="nil"/>
        </w:rPr>
        <w:tab/>
        <w:t>Подробно разяснение на конкретните разпоредби на предложението</w:t>
      </w:r>
    </w:p>
    <w:p w:rsidR="00E70408" w:rsidRPr="005F58FA" w:rsidRDefault="00E70408" w:rsidP="00E70408">
      <w:pPr>
        <w:pBdr>
          <w:top w:val="nil"/>
          <w:left w:val="nil"/>
          <w:bottom w:val="nil"/>
          <w:right w:val="nil"/>
          <w:between w:val="nil"/>
        </w:pBdr>
        <w:spacing w:before="0" w:after="240"/>
        <w:rPr>
          <w:rFonts w:eastAsia="Times New Roman"/>
          <w:noProof/>
          <w:szCs w:val="24"/>
        </w:rPr>
      </w:pPr>
      <w:r w:rsidRPr="005F58FA">
        <w:rPr>
          <w:noProof/>
        </w:rPr>
        <w:t xml:space="preserve">Предложеният регламент е от техническо естество и придружава предложената директива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w:t>
      </w:r>
    </w:p>
    <w:p w:rsidR="00FB0081" w:rsidRPr="005F58FA" w:rsidRDefault="0091075B" w:rsidP="00FB0081">
      <w:pPr>
        <w:pBdr>
          <w:top w:val="nil"/>
          <w:left w:val="nil"/>
          <w:bottom w:val="nil"/>
          <w:right w:val="nil"/>
          <w:between w:val="nil"/>
          <w:bar w:val="nil"/>
        </w:pBdr>
        <w:spacing w:before="0" w:after="240"/>
        <w:rPr>
          <w:rFonts w:eastAsia="Arial Unicode MS"/>
          <w:noProof/>
        </w:rPr>
      </w:pPr>
      <w:r w:rsidRPr="005F58FA">
        <w:rPr>
          <w:noProof/>
        </w:rPr>
        <w:t xml:space="preserve">С </w:t>
      </w:r>
      <w:r w:rsidRPr="005F58FA">
        <w:rPr>
          <w:noProof/>
          <w:u w:val="single"/>
        </w:rPr>
        <w:t>член 1</w:t>
      </w:r>
      <w:r w:rsidRPr="005F58FA">
        <w:rPr>
          <w:noProof/>
        </w:rPr>
        <w:t xml:space="preserve"> се изменя Регламент (ЕС) № 1024/2012 по отношение на използването на създадената с посочения регламент IMI за целите на предложената директива. Това ще позволи административното сътрудничество и обменът на информация между компетентните национални органи, както и с Комисията, предвидени в член 11, параграф 4, член 16, параграфи 5 и 6, член 17, параграфи 2, 4 и 5 и член 18 от предложената директива, да се осъществяват чрез IMI. </w:t>
      </w:r>
    </w:p>
    <w:p w:rsidR="00FB0081" w:rsidRPr="005F58FA" w:rsidRDefault="0091075B">
      <w:pPr>
        <w:pBdr>
          <w:top w:val="nil"/>
          <w:left w:val="nil"/>
          <w:bottom w:val="nil"/>
          <w:right w:val="nil"/>
          <w:between w:val="nil"/>
          <w:bar w:val="nil"/>
        </w:pBdr>
        <w:spacing w:before="0" w:after="240"/>
        <w:rPr>
          <w:noProof/>
        </w:rPr>
      </w:pPr>
      <w:r w:rsidRPr="005F58FA">
        <w:rPr>
          <w:noProof/>
        </w:rPr>
        <w:t xml:space="preserve">С </w:t>
      </w:r>
      <w:r w:rsidRPr="005F58FA">
        <w:rPr>
          <w:noProof/>
          <w:u w:val="single"/>
        </w:rPr>
        <w:t>член 2</w:t>
      </w:r>
      <w:r w:rsidRPr="005F58FA">
        <w:rPr>
          <w:noProof/>
        </w:rPr>
        <w:t xml:space="preserve"> се изменя Регламент (ЕС) 2018/1724 по отношение на използването на единната цифрова платформа за целите на предложената директива. За тази цел в приложение I към посочения регламент се добавя точка, за да се гарантира, че единната цифрова платформа предоставя достъп до информация относно правата, задълженията и правилата, определени в предложената директива. Освен това в таблицата в приложение II към посочения регламент се добавят полета, за да се предвиди, че държавите членки трябва да гарантират, че потребителите могат да получат достъп и да извършат регистрацията, предвидена в предложената директива, изцяло онлайн.</w:t>
      </w:r>
    </w:p>
    <w:p w:rsidR="00FB0081" w:rsidRPr="005F58FA" w:rsidRDefault="00FB0081">
      <w:pPr>
        <w:pBdr>
          <w:top w:val="nil"/>
          <w:left w:val="nil"/>
          <w:bottom w:val="nil"/>
          <w:right w:val="nil"/>
          <w:between w:val="nil"/>
          <w:bar w:val="nil"/>
        </w:pBdr>
        <w:spacing w:before="0" w:after="240"/>
        <w:rPr>
          <w:rFonts w:eastAsia="Arial Unicode MS"/>
          <w:noProof/>
        </w:rPr>
      </w:pPr>
    </w:p>
    <w:p w:rsidR="0018143B" w:rsidRPr="005F58FA" w:rsidRDefault="0018143B" w:rsidP="00502656">
      <w:pPr>
        <w:pBdr>
          <w:top w:val="nil"/>
          <w:left w:val="nil"/>
          <w:bottom w:val="nil"/>
          <w:right w:val="nil"/>
          <w:between w:val="nil"/>
          <w:bar w:val="nil"/>
        </w:pBdr>
        <w:spacing w:before="0" w:after="240"/>
        <w:rPr>
          <w:noProof/>
        </w:rPr>
        <w:sectPr w:rsidR="0018143B" w:rsidRPr="005F58FA" w:rsidSect="005D247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F13E45" w:rsidRDefault="003B2189">
      <w:pPr>
        <w:pStyle w:val="Rfrenceinterinstitutionnelle"/>
        <w:rPr>
          <w:noProof/>
        </w:rPr>
      </w:pPr>
      <w:r>
        <w:rPr>
          <w:noProof/>
        </w:rPr>
        <w:t>2023/0462 (COD)</w:t>
      </w:r>
    </w:p>
    <w:p w:rsidR="0018143B" w:rsidRPr="005F58FA" w:rsidRDefault="005F58FA" w:rsidP="005F58FA">
      <w:pPr>
        <w:pStyle w:val="Statut"/>
        <w:rPr>
          <w:noProof/>
        </w:rPr>
      </w:pPr>
      <w:r w:rsidRPr="005F58FA">
        <w:rPr>
          <w:noProof/>
        </w:rPr>
        <w:t>Предложение за</w:t>
      </w:r>
    </w:p>
    <w:p w:rsidR="0018143B" w:rsidRPr="005F58FA" w:rsidRDefault="005F58FA" w:rsidP="005F58FA">
      <w:pPr>
        <w:pStyle w:val="Typedudocument"/>
        <w:rPr>
          <w:noProof/>
        </w:rPr>
      </w:pPr>
      <w:r w:rsidRPr="005F58FA">
        <w:rPr>
          <w:noProof/>
        </w:rPr>
        <w:t>РЕГЛАМЕНТ НА ЕВРОПЕЙСКИЯ ПАРЛАМЕНТ И НА СЪВЕТА</w:t>
      </w:r>
    </w:p>
    <w:p w:rsidR="0018143B" w:rsidRPr="005F58FA" w:rsidRDefault="005F58FA" w:rsidP="005F58FA">
      <w:pPr>
        <w:pStyle w:val="Titreobjet"/>
        <w:rPr>
          <w:noProof/>
        </w:rPr>
      </w:pPr>
      <w:r w:rsidRPr="005F58FA">
        <w:rPr>
          <w:noProof/>
        </w:rPr>
        <w:t>за изменение на регламенти (ЕС) № 1024/2012 и (ЕС) 2018/1724 по отношение на някои изисквания, определени с Директива (ЕС) XXXX/XXXX</w:t>
      </w:r>
    </w:p>
    <w:p w:rsidR="0018143B" w:rsidRPr="005F58FA" w:rsidRDefault="005F58FA" w:rsidP="005F58FA">
      <w:pPr>
        <w:pStyle w:val="IntrtEEE"/>
        <w:rPr>
          <w:noProof/>
        </w:rPr>
      </w:pPr>
      <w:r w:rsidRPr="005F58FA">
        <w:rPr>
          <w:noProof/>
        </w:rPr>
        <w:t>(Текст от значение за ЕИП)</w:t>
      </w:r>
    </w:p>
    <w:p w:rsidR="0018143B" w:rsidRPr="005F58FA" w:rsidRDefault="0091075B">
      <w:pPr>
        <w:pStyle w:val="Institutionquiagit"/>
        <w:rPr>
          <w:noProof/>
        </w:rPr>
      </w:pPr>
      <w:r w:rsidRPr="005F58FA">
        <w:rPr>
          <w:noProof/>
        </w:rPr>
        <w:t>ЕВРОПЕЙСКИЯТ ПАРЛАМЕНТ И СЪВЕТЪТ НА ЕВРОПЕЙСКИЯ СЪЮЗ,</w:t>
      </w:r>
    </w:p>
    <w:p w:rsidR="0018143B" w:rsidRPr="005F58FA" w:rsidRDefault="0091075B">
      <w:pPr>
        <w:rPr>
          <w:noProof/>
        </w:rPr>
      </w:pPr>
      <w:r w:rsidRPr="005F58FA">
        <w:rPr>
          <w:noProof/>
        </w:rPr>
        <w:t>като взеха предвид Договора за функционирането на Европейския съюз, и по-специално член 114 от него,</w:t>
      </w:r>
    </w:p>
    <w:p w:rsidR="0018143B" w:rsidRPr="005F58FA" w:rsidRDefault="0091075B">
      <w:pPr>
        <w:rPr>
          <w:noProof/>
        </w:rPr>
      </w:pPr>
      <w:r w:rsidRPr="005F58FA">
        <w:rPr>
          <w:noProof/>
        </w:rPr>
        <w:t>като взеха предвид предложението на Европейската комисия,</w:t>
      </w:r>
    </w:p>
    <w:p w:rsidR="0018143B" w:rsidRPr="005F58FA" w:rsidRDefault="0091075B">
      <w:pPr>
        <w:rPr>
          <w:noProof/>
        </w:rPr>
      </w:pPr>
      <w:r w:rsidRPr="005F58FA">
        <w:rPr>
          <w:noProof/>
        </w:rPr>
        <w:t>след предаване на проекта на законодателния акт на националните парламенти,</w:t>
      </w:r>
    </w:p>
    <w:p w:rsidR="0018143B" w:rsidRPr="005F58FA" w:rsidRDefault="0091075B">
      <w:pPr>
        <w:rPr>
          <w:noProof/>
        </w:rPr>
      </w:pPr>
      <w:r w:rsidRPr="005F58FA">
        <w:rPr>
          <w:noProof/>
        </w:rPr>
        <w:t>като взеха предвид становището на Европейския икономически и социален комитет</w:t>
      </w:r>
      <w:r w:rsidRPr="005F58FA">
        <w:rPr>
          <w:rStyle w:val="FootnoteReference"/>
          <w:noProof/>
        </w:rPr>
        <w:footnoteReference w:id="5"/>
      </w:r>
      <w:r w:rsidRPr="005F58FA">
        <w:rPr>
          <w:noProof/>
        </w:rPr>
        <w:t>,</w:t>
      </w:r>
    </w:p>
    <w:p w:rsidR="0018143B" w:rsidRPr="005F58FA" w:rsidRDefault="0091075B">
      <w:pPr>
        <w:rPr>
          <w:noProof/>
        </w:rPr>
      </w:pPr>
      <w:r w:rsidRPr="005F58FA">
        <w:rPr>
          <w:noProof/>
        </w:rPr>
        <w:t>като взеха предвид становището на Комитета на регионите</w:t>
      </w:r>
      <w:r w:rsidRPr="005F58FA">
        <w:rPr>
          <w:rStyle w:val="FootnoteReference"/>
          <w:noProof/>
        </w:rPr>
        <w:footnoteReference w:id="6"/>
      </w:r>
      <w:r w:rsidRPr="005F58FA">
        <w:rPr>
          <w:noProof/>
        </w:rPr>
        <w:t>,</w:t>
      </w:r>
    </w:p>
    <w:p w:rsidR="0018143B" w:rsidRPr="005F58FA" w:rsidRDefault="0091075B">
      <w:pPr>
        <w:rPr>
          <w:noProof/>
        </w:rPr>
      </w:pPr>
      <w:r w:rsidRPr="005F58FA">
        <w:rPr>
          <w:noProof/>
        </w:rPr>
        <w:t>в съответствие с обикновената законодателна процедура,</w:t>
      </w:r>
    </w:p>
    <w:p w:rsidR="0018143B" w:rsidRPr="005F58FA" w:rsidRDefault="0091075B">
      <w:pPr>
        <w:rPr>
          <w:noProof/>
        </w:rPr>
      </w:pPr>
      <w:r w:rsidRPr="005F58FA">
        <w:rPr>
          <w:noProof/>
        </w:rPr>
        <w:t>като имат предвид, че:</w:t>
      </w:r>
    </w:p>
    <w:p w:rsidR="0018143B" w:rsidRPr="005F58FA" w:rsidRDefault="0091075B">
      <w:pPr>
        <w:pStyle w:val="ManualConsidrant"/>
        <w:rPr>
          <w:noProof/>
        </w:rPr>
      </w:pPr>
      <w:r>
        <w:rPr>
          <w:noProof/>
        </w:rPr>
        <w:t>(1)</w:t>
      </w:r>
      <w:r>
        <w:rPr>
          <w:noProof/>
        </w:rPr>
        <w:tab/>
      </w:r>
      <w:r w:rsidRPr="005F58FA">
        <w:rPr>
          <w:noProof/>
        </w:rPr>
        <w:t>С Директива (ЕС) [XXXX/XXXX] на Европейския парламент и на Съвета</w:t>
      </w:r>
      <w:r w:rsidRPr="005F58FA">
        <w:rPr>
          <w:rStyle w:val="FootnoteReference"/>
          <w:noProof/>
        </w:rPr>
        <w:footnoteReference w:id="7"/>
      </w:r>
      <w:r w:rsidRPr="005F58FA">
        <w:rPr>
          <w:noProof/>
        </w:rPr>
        <w:t xml:space="preserve"> се определят хармонизирани изисквания по отношение на икономическите дейности по представителство на интереси, извършвани от името на субект от трета държава, с оглед на подобряване на функционирането на вътрешния пазар чрез постигане на общо равнище на прозрачност в целия Съюз.</w:t>
      </w:r>
    </w:p>
    <w:p w:rsidR="0018143B" w:rsidRPr="005F58FA" w:rsidRDefault="0091075B">
      <w:pPr>
        <w:pStyle w:val="ManualConsidrant"/>
        <w:rPr>
          <w:noProof/>
        </w:rPr>
      </w:pPr>
      <w:r>
        <w:rPr>
          <w:noProof/>
        </w:rPr>
        <w:t>(2)</w:t>
      </w:r>
      <w:r>
        <w:rPr>
          <w:noProof/>
        </w:rPr>
        <w:tab/>
      </w:r>
      <w:r w:rsidRPr="005F58FA">
        <w:rPr>
          <w:noProof/>
        </w:rPr>
        <w:t>Административното сътрудничество и обменът на информация между определените национални органи или надзорните органи и с Комисията, предвидени в Директива (ЕС) XXXX/XXXX, следва да бъдат осъществявани посредством Информационната система за вътрешния пазар (IMI), създадена с Регламент (ЕС) № 1024/2012 на Европейския парламент и на Съвета</w:t>
      </w:r>
      <w:r w:rsidRPr="005F58FA">
        <w:rPr>
          <w:rStyle w:val="FootnoteReference"/>
          <w:noProof/>
          <w:szCs w:val="24"/>
        </w:rPr>
        <w:footnoteReference w:id="8"/>
      </w:r>
      <w:r w:rsidRPr="005F58FA">
        <w:rPr>
          <w:noProof/>
        </w:rPr>
        <w:t>. По тази причина в IMI следва да бъдат създадени необходимите процедури за административно сътрудничество. Поради това Регламент (ЕС) № 1024/2012 следва да бъде съответно изменен.</w:t>
      </w:r>
    </w:p>
    <w:p w:rsidR="0018143B" w:rsidRPr="005F58FA" w:rsidRDefault="0091075B">
      <w:pPr>
        <w:pStyle w:val="ManualConsidrant"/>
        <w:rPr>
          <w:noProof/>
        </w:rPr>
      </w:pPr>
      <w:r>
        <w:rPr>
          <w:noProof/>
        </w:rPr>
        <w:t>(3)</w:t>
      </w:r>
      <w:r>
        <w:rPr>
          <w:noProof/>
        </w:rPr>
        <w:tab/>
      </w:r>
      <w:r w:rsidRPr="005F58FA">
        <w:rPr>
          <w:noProof/>
        </w:rPr>
        <w:t>Освен това, за да се сведе до минимум административната тежест за правните субекти и физическите лица, попадащи в приложното поле на Директива (ЕС) XXXX/XXXX, Регламент (ЕС) 2018/1724 на Европейския парламент и на Съвета</w:t>
      </w:r>
      <w:r w:rsidRPr="005F58FA">
        <w:rPr>
          <w:rStyle w:val="FootnoteReference"/>
          <w:noProof/>
          <w:szCs w:val="24"/>
        </w:rPr>
        <w:footnoteReference w:id="9"/>
      </w:r>
      <w:r w:rsidRPr="005F58FA">
        <w:rPr>
          <w:noProof/>
        </w:rPr>
        <w:t xml:space="preserve"> следва да бъде изменен, за да се осигури лесен онлайн достъп до информация относно правата и задълженията, произтичащи от Директива (ЕС) XXXX/XXXX, както и за да се гарантира, че достъпът до и извършването на процедурата за регистрация, изисквана съгласно посочената директива, могат да се осъществят изцяло онлайн,</w:t>
      </w:r>
    </w:p>
    <w:p w:rsidR="0018143B" w:rsidRPr="005F58FA" w:rsidRDefault="0091075B">
      <w:pPr>
        <w:pStyle w:val="Formuledadoption"/>
        <w:rPr>
          <w:noProof/>
        </w:rPr>
      </w:pPr>
      <w:r w:rsidRPr="005F58FA">
        <w:rPr>
          <w:noProof/>
        </w:rPr>
        <w:t>ПРИЕХА НАСТОЯЩИЯ РЕГЛАМЕНТ:</w:t>
      </w:r>
    </w:p>
    <w:p w:rsidR="0018143B" w:rsidRPr="005F58FA" w:rsidRDefault="0091075B">
      <w:pPr>
        <w:pStyle w:val="Titrearticle"/>
        <w:rPr>
          <w:noProof/>
          <w:szCs w:val="24"/>
        </w:rPr>
      </w:pPr>
      <w:r w:rsidRPr="005F58FA">
        <w:rPr>
          <w:noProof/>
        </w:rPr>
        <w:t>Член 1</w:t>
      </w:r>
      <w:r w:rsidRPr="005F58FA">
        <w:rPr>
          <w:noProof/>
        </w:rPr>
        <w:br/>
        <w:t>Изменение на Регламент (ЕС) № 1024/2012</w:t>
      </w:r>
    </w:p>
    <w:p w:rsidR="0018143B" w:rsidRPr="005F58FA" w:rsidRDefault="0091075B">
      <w:pPr>
        <w:rPr>
          <w:noProof/>
          <w:szCs w:val="24"/>
        </w:rPr>
      </w:pPr>
      <w:r w:rsidRPr="005F58FA">
        <w:rPr>
          <w:noProof/>
        </w:rPr>
        <w:t>В приложението към Регламент (ЕС) № 1024/2012 се добавя следната нова точка (17):</w:t>
      </w:r>
    </w:p>
    <w:p w:rsidR="0018143B" w:rsidRPr="005F58FA" w:rsidRDefault="0091075B">
      <w:pPr>
        <w:pStyle w:val="Text1"/>
        <w:rPr>
          <w:noProof/>
          <w:szCs w:val="24"/>
        </w:rPr>
      </w:pPr>
      <w:r w:rsidRPr="005F58FA">
        <w:rPr>
          <w:noProof/>
        </w:rPr>
        <w:t>„17. Директива (ЕС) [XXXX/XXXX] на Европейския парламент и на Съвета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и за изменение на Директива (ЕС) 2019/1937*: член 11, параграф 4, член 16, параграфи 5 и 6, член 17, параграфи 2, 4 и 5 и член 18.</w:t>
      </w:r>
    </w:p>
    <w:p w:rsidR="0018143B" w:rsidRPr="005F58FA" w:rsidRDefault="0091075B">
      <w:pPr>
        <w:pStyle w:val="Text1"/>
        <w:rPr>
          <w:noProof/>
          <w:szCs w:val="24"/>
        </w:rPr>
      </w:pPr>
      <w:r w:rsidRPr="005F58FA">
        <w:rPr>
          <w:noProof/>
        </w:rPr>
        <w:t>____________________</w:t>
      </w:r>
    </w:p>
    <w:p w:rsidR="0018143B" w:rsidRPr="005F58FA" w:rsidRDefault="0091075B">
      <w:pPr>
        <w:pStyle w:val="Text1"/>
        <w:rPr>
          <w:noProof/>
          <w:szCs w:val="24"/>
        </w:rPr>
      </w:pPr>
      <w:r w:rsidRPr="005F58FA">
        <w:rPr>
          <w:noProof/>
        </w:rPr>
        <w:t>* ОВ L [...], [...] г., стр. [...], ELI: ….“.</w:t>
      </w:r>
    </w:p>
    <w:p w:rsidR="0018143B" w:rsidRPr="005F58FA" w:rsidRDefault="0091075B">
      <w:pPr>
        <w:pStyle w:val="Titrearticle"/>
        <w:rPr>
          <w:noProof/>
          <w:szCs w:val="24"/>
        </w:rPr>
      </w:pPr>
      <w:r w:rsidRPr="005F58FA">
        <w:rPr>
          <w:noProof/>
        </w:rPr>
        <w:t>Член 2</w:t>
      </w:r>
      <w:r w:rsidRPr="005F58FA">
        <w:rPr>
          <w:noProof/>
        </w:rPr>
        <w:br/>
        <w:t>Изменения на Регламент (ЕС) 2018/1724</w:t>
      </w:r>
    </w:p>
    <w:p w:rsidR="0018143B" w:rsidRPr="005F58FA" w:rsidRDefault="0091075B">
      <w:pPr>
        <w:rPr>
          <w:noProof/>
          <w:szCs w:val="24"/>
        </w:rPr>
      </w:pPr>
      <w:r w:rsidRPr="005F58FA">
        <w:rPr>
          <w:noProof/>
        </w:rPr>
        <w:t>Регламент (ЕС) 2018/1724 се изменя, както следва:</w:t>
      </w:r>
    </w:p>
    <w:p w:rsidR="0018143B" w:rsidRPr="005F58FA" w:rsidRDefault="0091075B">
      <w:pPr>
        <w:pStyle w:val="Point0"/>
        <w:rPr>
          <w:noProof/>
        </w:rPr>
      </w:pPr>
      <w:r>
        <w:rPr>
          <w:noProof/>
        </w:rPr>
        <w:t>(1)</w:t>
      </w:r>
      <w:r>
        <w:rPr>
          <w:noProof/>
        </w:rPr>
        <w:tab/>
      </w:r>
      <w:r w:rsidRPr="005F58FA">
        <w:rPr>
          <w:noProof/>
        </w:rPr>
        <w:t>в приложение I, в точка „Й. Започване, извършване и приключване на стопанска дейност“ се добавя следната точка (12):</w:t>
      </w:r>
    </w:p>
    <w:p w:rsidR="0018143B" w:rsidRPr="005F58FA" w:rsidRDefault="0091075B">
      <w:pPr>
        <w:pStyle w:val="Text1"/>
        <w:rPr>
          <w:noProof/>
        </w:rPr>
      </w:pPr>
      <w:r w:rsidRPr="005F58FA">
        <w:rPr>
          <w:noProof/>
        </w:rPr>
        <w:t>„12. прозрачност на представителството на интереси“;</w:t>
      </w:r>
    </w:p>
    <w:p w:rsidR="0018143B" w:rsidRPr="005F58FA" w:rsidRDefault="0091075B">
      <w:pPr>
        <w:pStyle w:val="Point0"/>
        <w:rPr>
          <w:noProof/>
        </w:rPr>
      </w:pPr>
      <w:r>
        <w:rPr>
          <w:noProof/>
        </w:rPr>
        <w:t>(2)</w:t>
      </w:r>
      <w:r>
        <w:rPr>
          <w:noProof/>
        </w:rPr>
        <w:tab/>
      </w:r>
      <w:r w:rsidRPr="005F58FA">
        <w:rPr>
          <w:noProof/>
        </w:rPr>
        <w:t xml:space="preserve">в приложение II таблицата се изменя, както следва: </w:t>
      </w:r>
    </w:p>
    <w:p w:rsidR="0018143B" w:rsidRPr="005F58FA" w:rsidRDefault="00BE31AF" w:rsidP="00BE31AF">
      <w:pPr>
        <w:pStyle w:val="Text1"/>
        <w:rPr>
          <w:noProof/>
        </w:rPr>
      </w:pPr>
      <w:r>
        <w:rPr>
          <w:noProof/>
        </w:rPr>
        <w:t>а)</w:t>
      </w:r>
      <w:r>
        <w:rPr>
          <w:noProof/>
        </w:rPr>
        <w:tab/>
      </w:r>
      <w:r w:rsidR="0091075B" w:rsidRPr="005F58FA">
        <w:rPr>
          <w:noProof/>
        </w:rPr>
        <w:t>във втората колона (колона „Процедури“) се добавя следното поле:</w:t>
      </w:r>
    </w:p>
    <w:p w:rsidR="0018143B" w:rsidRPr="005F58FA" w:rsidRDefault="0091075B">
      <w:pPr>
        <w:pStyle w:val="Text2"/>
        <w:rPr>
          <w:noProof/>
          <w:szCs w:val="24"/>
        </w:rPr>
      </w:pPr>
      <w:r w:rsidRPr="005F58FA">
        <w:rPr>
          <w:noProof/>
        </w:rPr>
        <w:t>„Регистрация на представителството на интереси в съответствие с Директива (ЕС) XXXX/XXXX*</w:t>
      </w:r>
    </w:p>
    <w:p w:rsidR="0018143B" w:rsidRPr="005F58FA" w:rsidRDefault="0091075B">
      <w:pPr>
        <w:pStyle w:val="Text2"/>
        <w:rPr>
          <w:noProof/>
        </w:rPr>
      </w:pPr>
      <w:r w:rsidRPr="005F58FA">
        <w:rPr>
          <w:noProof/>
        </w:rPr>
        <w:t>____________________</w:t>
      </w:r>
    </w:p>
    <w:p w:rsidR="0018143B" w:rsidRPr="005F58FA" w:rsidRDefault="0091075B">
      <w:pPr>
        <w:pStyle w:val="Text2"/>
        <w:rPr>
          <w:noProof/>
        </w:rPr>
      </w:pPr>
      <w:r w:rsidRPr="005F58FA">
        <w:rPr>
          <w:noProof/>
        </w:rPr>
        <w:t xml:space="preserve">* Директива (ЕС) XXXX/XXXX на Европейския парламент и на Съвета от XXXX г.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и за изменение на Директива (ЕС) 2019/1937 (ОВ L [...], [...] г., стр. [...], ELI: …).“; </w:t>
      </w:r>
    </w:p>
    <w:p w:rsidR="0018143B" w:rsidRPr="005F58FA" w:rsidRDefault="00BE31AF" w:rsidP="00BE31AF">
      <w:pPr>
        <w:pStyle w:val="Text1"/>
        <w:ind w:left="1440" w:hanging="590"/>
        <w:rPr>
          <w:noProof/>
        </w:rPr>
      </w:pPr>
      <w:r>
        <w:rPr>
          <w:noProof/>
        </w:rPr>
        <w:t>б)</w:t>
      </w:r>
      <w:r>
        <w:rPr>
          <w:noProof/>
        </w:rPr>
        <w:tab/>
      </w:r>
      <w:r w:rsidR="0091075B" w:rsidRPr="005F58FA">
        <w:rPr>
          <w:noProof/>
        </w:rPr>
        <w:t>в третата колона (колона „Очакван краен продукт, подлежащ на оценка на прилагането от компетентните органи в съответствие с националното им право, когато е приложимо“) се добавя следното поле:</w:t>
      </w:r>
    </w:p>
    <w:p w:rsidR="0018143B" w:rsidRPr="005F58FA" w:rsidRDefault="0091075B">
      <w:pPr>
        <w:pStyle w:val="Text2"/>
        <w:rPr>
          <w:noProof/>
        </w:rPr>
      </w:pPr>
      <w:r w:rsidRPr="005F58FA">
        <w:rPr>
          <w:noProof/>
        </w:rPr>
        <w:t>„Потвърждение на регистрацията и издаване на европейски номер на представителство на интереси“.</w:t>
      </w:r>
    </w:p>
    <w:p w:rsidR="0018143B" w:rsidRPr="005F58FA" w:rsidRDefault="0091075B">
      <w:pPr>
        <w:pStyle w:val="Titrearticle"/>
        <w:rPr>
          <w:noProof/>
        </w:rPr>
      </w:pPr>
      <w:r w:rsidRPr="005F58FA">
        <w:rPr>
          <w:noProof/>
        </w:rPr>
        <w:t>Член 3</w:t>
      </w:r>
      <w:r w:rsidRPr="005F58FA">
        <w:rPr>
          <w:noProof/>
        </w:rPr>
        <w:br/>
        <w:t>Влизане в сила</w:t>
      </w:r>
    </w:p>
    <w:p w:rsidR="00AA2D34" w:rsidRPr="005F58FA" w:rsidRDefault="0091075B">
      <w:pPr>
        <w:rPr>
          <w:noProof/>
        </w:rPr>
      </w:pPr>
      <w:r w:rsidRPr="005F58FA">
        <w:rPr>
          <w:noProof/>
        </w:rPr>
        <w:t xml:space="preserve">Настоящият регламент влиза в сила на двадесетия ден след деня на публикуването му в </w:t>
      </w:r>
      <w:r w:rsidRPr="005F58FA">
        <w:rPr>
          <w:i/>
          <w:iCs/>
          <w:noProof/>
        </w:rPr>
        <w:t>Официален вестник на Европейския съюз</w:t>
      </w:r>
      <w:r w:rsidRPr="005F58FA">
        <w:rPr>
          <w:noProof/>
        </w:rPr>
        <w:t>.</w:t>
      </w:r>
    </w:p>
    <w:p w:rsidR="0018143B" w:rsidRPr="005F58FA" w:rsidRDefault="0091075B">
      <w:pPr>
        <w:pStyle w:val="Applicationdirecte"/>
        <w:rPr>
          <w:noProof/>
        </w:rPr>
      </w:pPr>
      <w:r w:rsidRPr="005F58FA">
        <w:rPr>
          <w:noProof/>
        </w:rPr>
        <w:t>Настоящият регламент е задължителен в своята цялост и се прилага пряко във всички държави членки.</w:t>
      </w:r>
    </w:p>
    <w:p w:rsidR="0018143B" w:rsidRPr="005F58FA" w:rsidRDefault="005F58FA" w:rsidP="002F4919">
      <w:pPr>
        <w:pStyle w:val="Fait"/>
        <w:rPr>
          <w:noProof/>
        </w:rPr>
      </w:pPr>
      <w:r>
        <w:rPr>
          <w:noProof/>
        </w:rPr>
        <w:t xml:space="preserve">Съставено в Страсбург на </w:t>
      </w:r>
      <w:r>
        <w:rPr>
          <w:rStyle w:val="Marker"/>
          <w:noProof/>
        </w:rPr>
        <w:t>[…]</w:t>
      </w:r>
      <w:r>
        <w:rPr>
          <w:noProof/>
        </w:rPr>
        <w:t xml:space="preserve"> година.</w:t>
      </w:r>
    </w:p>
    <w:p w:rsidR="0018143B" w:rsidRPr="005F58FA" w:rsidRDefault="0091075B" w:rsidP="002F4919">
      <w:pPr>
        <w:pStyle w:val="Institutionquisigne"/>
        <w:rPr>
          <w:noProof/>
        </w:rPr>
      </w:pPr>
      <w:r w:rsidRPr="005F58FA">
        <w:rPr>
          <w:noProof/>
        </w:rPr>
        <w:t>За Европейския парламент</w:t>
      </w:r>
      <w:r w:rsidRPr="005F58FA">
        <w:rPr>
          <w:noProof/>
        </w:rPr>
        <w:tab/>
        <w:t>За Съвета</w:t>
      </w:r>
    </w:p>
    <w:p w:rsidR="0018143B" w:rsidRPr="005F58FA" w:rsidRDefault="0091075B">
      <w:pPr>
        <w:pStyle w:val="Personnequisigne"/>
        <w:rPr>
          <w:noProof/>
        </w:rPr>
      </w:pPr>
      <w:r w:rsidRPr="005F58FA">
        <w:rPr>
          <w:noProof/>
        </w:rPr>
        <w:t>Председател</w:t>
      </w:r>
      <w:r w:rsidRPr="005F58FA">
        <w:rPr>
          <w:noProof/>
        </w:rPr>
        <w:tab/>
        <w:t>Председател</w:t>
      </w:r>
    </w:p>
    <w:sectPr w:rsidR="0018143B" w:rsidRPr="005F58FA" w:rsidSect="005D247C">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3B" w:rsidRDefault="0091075B">
      <w:pPr>
        <w:spacing w:before="0" w:after="0"/>
      </w:pPr>
      <w:r>
        <w:separator/>
      </w:r>
    </w:p>
  </w:endnote>
  <w:endnote w:type="continuationSeparator" w:id="0">
    <w:p w:rsidR="0018143B" w:rsidRDefault="009107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Pr="005D247C" w:rsidRDefault="005D247C" w:rsidP="005D247C">
    <w:pPr>
      <w:pStyle w:val="Footer"/>
      <w:rPr>
        <w:rFonts w:ascii="Arial" w:hAnsi="Arial" w:cs="Arial"/>
        <w:b/>
        <w:sz w:val="48"/>
      </w:rPr>
    </w:pPr>
    <w:r w:rsidRPr="005D247C">
      <w:rPr>
        <w:rFonts w:ascii="Arial" w:hAnsi="Arial" w:cs="Arial"/>
        <w:b/>
        <w:sz w:val="48"/>
      </w:rPr>
      <w:t>BG</w:t>
    </w:r>
    <w:r w:rsidRPr="005D247C">
      <w:rPr>
        <w:rFonts w:ascii="Arial" w:hAnsi="Arial" w:cs="Arial"/>
        <w:b/>
        <w:sz w:val="48"/>
      </w:rPr>
      <w:tab/>
    </w:r>
    <w:r w:rsidRPr="005D247C">
      <w:rPr>
        <w:rFonts w:ascii="Arial" w:hAnsi="Arial" w:cs="Arial"/>
        <w:b/>
        <w:sz w:val="48"/>
      </w:rPr>
      <w:tab/>
    </w:r>
    <w:r w:rsidRPr="005D247C">
      <w:tab/>
    </w:r>
    <w:r w:rsidRPr="005D247C">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Pr="005D247C" w:rsidRDefault="005D247C" w:rsidP="005D247C">
    <w:pPr>
      <w:pStyle w:val="Footer"/>
      <w:rPr>
        <w:rFonts w:ascii="Arial" w:hAnsi="Arial" w:cs="Arial"/>
        <w:b/>
        <w:sz w:val="48"/>
      </w:rPr>
    </w:pPr>
    <w:r w:rsidRPr="005D247C">
      <w:rPr>
        <w:rFonts w:ascii="Arial" w:hAnsi="Arial" w:cs="Arial"/>
        <w:b/>
        <w:sz w:val="48"/>
      </w:rPr>
      <w:t>BG</w:t>
    </w:r>
    <w:r w:rsidRPr="005D247C">
      <w:rPr>
        <w:rFonts w:ascii="Arial" w:hAnsi="Arial" w:cs="Arial"/>
        <w:b/>
        <w:sz w:val="48"/>
      </w:rPr>
      <w:tab/>
    </w:r>
    <w:r w:rsidRPr="005D247C">
      <w:rPr>
        <w:rFonts w:ascii="Arial" w:hAnsi="Arial" w:cs="Arial"/>
        <w:b/>
        <w:sz w:val="48"/>
      </w:rPr>
      <w:tab/>
    </w:r>
    <w:r w:rsidRPr="005D247C">
      <w:tab/>
    </w:r>
    <w:r w:rsidRPr="005D247C">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Default="005D2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Pr="005D247C" w:rsidRDefault="005D247C" w:rsidP="005D247C">
    <w:pPr>
      <w:pStyle w:val="Footer"/>
      <w:rPr>
        <w:rFonts w:ascii="Arial" w:hAnsi="Arial" w:cs="Arial"/>
        <w:b/>
        <w:sz w:val="48"/>
      </w:rPr>
    </w:pPr>
    <w:r w:rsidRPr="005D247C">
      <w:rPr>
        <w:rFonts w:ascii="Arial" w:hAnsi="Arial" w:cs="Arial"/>
        <w:b/>
        <w:sz w:val="48"/>
      </w:rPr>
      <w:t>BG</w:t>
    </w:r>
    <w:r w:rsidRPr="005D247C">
      <w:rPr>
        <w:rFonts w:ascii="Arial" w:hAnsi="Arial" w:cs="Arial"/>
        <w:b/>
        <w:sz w:val="48"/>
      </w:rPr>
      <w:tab/>
    </w:r>
    <w:r>
      <w:fldChar w:fldCharType="begin"/>
    </w:r>
    <w:r>
      <w:instrText xml:space="preserve"> PAGE  \* MERGEFORMAT </w:instrText>
    </w:r>
    <w:r>
      <w:fldChar w:fldCharType="separate"/>
    </w:r>
    <w:r w:rsidR="002F4919">
      <w:rPr>
        <w:noProof/>
      </w:rPr>
      <w:t>6</w:t>
    </w:r>
    <w:r>
      <w:fldChar w:fldCharType="end"/>
    </w:r>
    <w:r>
      <w:tab/>
    </w:r>
    <w:r w:rsidRPr="005D247C">
      <w:tab/>
    </w:r>
    <w:r w:rsidRPr="005D247C">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Default="005D247C" w:rsidP="005D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3B" w:rsidRDefault="0091075B">
      <w:pPr>
        <w:spacing w:before="0" w:after="0"/>
      </w:pPr>
      <w:r>
        <w:separator/>
      </w:r>
    </w:p>
  </w:footnote>
  <w:footnote w:type="continuationSeparator" w:id="0">
    <w:p w:rsidR="0018143B" w:rsidRDefault="0091075B">
      <w:pPr>
        <w:spacing w:before="0" w:after="0"/>
      </w:pPr>
      <w:r>
        <w:continuationSeparator/>
      </w:r>
    </w:p>
  </w:footnote>
  <w:footnote w:id="1">
    <w:p w:rsidR="00E1507C" w:rsidRPr="00360678" w:rsidRDefault="00E1507C">
      <w:pPr>
        <w:pStyle w:val="FootnoteText"/>
      </w:pPr>
      <w:r>
        <w:rPr>
          <w:rStyle w:val="FootnoteReference"/>
        </w:rPr>
        <w:footnoteRef/>
      </w:r>
      <w:r>
        <w:tab/>
        <w:t>COM(2023) 637 final.</w:t>
      </w:r>
    </w:p>
  </w:footnote>
  <w:footnote w:id="2">
    <w:p w:rsidR="00E1507C" w:rsidRDefault="00E1507C" w:rsidP="00E1507C">
      <w:pPr>
        <w:pStyle w:val="FootnoteText"/>
      </w:pPr>
      <w:r>
        <w:rPr>
          <w:rStyle w:val="FootnoteReference"/>
        </w:rPr>
        <w:footnoteRef/>
      </w:r>
      <w:r>
        <w:tab/>
        <w:t>Регламент (ЕС) № 1024/2012 на Европейския парламент и на Съвета от 25 октомври 2012 г.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IMI“) (ОВ L 316, 14.11.2012 г., стр. 1, ELI: </w:t>
      </w:r>
      <w:hyperlink r:id="rId1" w:tooltip="Дава достъп до този документ чрез неговия URI на ELI." w:history="1">
        <w:r>
          <w:rPr>
            <w:rStyle w:val="Hyperlink"/>
          </w:rPr>
          <w:t>http://data.europa.eu/eli/reg/2012/1024/oj</w:t>
        </w:r>
      </w:hyperlink>
      <w:r>
        <w:t>).</w:t>
      </w:r>
    </w:p>
  </w:footnote>
  <w:footnote w:id="3">
    <w:p w:rsidR="00E1507C" w:rsidRDefault="00E1507C" w:rsidP="00E1507C">
      <w:pPr>
        <w:pStyle w:val="FootnoteText"/>
      </w:pPr>
      <w:r>
        <w:rPr>
          <w:rStyle w:val="FootnoteReference"/>
        </w:rPr>
        <w:footnoteRef/>
      </w:r>
      <w:r>
        <w:tab/>
        <w:t>Регламент (ЕС) 2018/1724 на Европейския парламент и на Съвета от 2 октомври 2018 г. за създаване на единна цифрова платформа за предоставяне на достъп до информация, до процедури и до услуги за оказване на помощ и решаване на проблеми и за изменение на Регламент (ЕС) № 1024/2012 (ОВ L 295, 21.11.2018 г., стр. 1, ELI: </w:t>
      </w:r>
      <w:hyperlink r:id="rId2" w:tooltip="Дава достъп до този документ чрез неговия URI на ELI." w:history="1">
        <w:r>
          <w:rPr>
            <w:rStyle w:val="Hyperlink"/>
          </w:rPr>
          <w:t>http://data.europa.eu/eli/reg/2018/1724/oj</w:t>
        </w:r>
      </w:hyperlink>
      <w:r>
        <w:t>).</w:t>
      </w:r>
    </w:p>
  </w:footnote>
  <w:footnote w:id="4">
    <w:p w:rsidR="00360678" w:rsidRPr="00D96B8C" w:rsidRDefault="00360678">
      <w:pPr>
        <w:pStyle w:val="FootnoteText"/>
      </w:pPr>
      <w:r>
        <w:rPr>
          <w:rStyle w:val="FootnoteReference"/>
        </w:rPr>
        <w:footnoteRef/>
      </w:r>
      <w:r>
        <w:tab/>
        <w:t>SWD(2023) 663.</w:t>
      </w:r>
    </w:p>
  </w:footnote>
  <w:footnote w:id="5">
    <w:p w:rsidR="0018143B" w:rsidRDefault="0091075B">
      <w:pPr>
        <w:pStyle w:val="FootnoteText"/>
      </w:pPr>
      <w:r>
        <w:rPr>
          <w:rStyle w:val="FootnoteReference"/>
        </w:rPr>
        <w:footnoteRef/>
      </w:r>
      <w:r>
        <w:tab/>
        <w:t>ОВ C […], […] г., стр. […].</w:t>
      </w:r>
    </w:p>
  </w:footnote>
  <w:footnote w:id="6">
    <w:p w:rsidR="0018143B" w:rsidRDefault="0091075B">
      <w:pPr>
        <w:pStyle w:val="FootnoteText"/>
      </w:pPr>
      <w:r>
        <w:rPr>
          <w:rStyle w:val="FootnoteReference"/>
        </w:rPr>
        <w:footnoteRef/>
      </w:r>
      <w:r>
        <w:tab/>
        <w:t>ОВ C […], […] г., стр. […].</w:t>
      </w:r>
    </w:p>
  </w:footnote>
  <w:footnote w:id="7">
    <w:p w:rsidR="0018143B" w:rsidRDefault="0091075B">
      <w:pPr>
        <w:pStyle w:val="FootnoteText"/>
      </w:pPr>
      <w:r>
        <w:rPr>
          <w:rStyle w:val="FootnoteReference"/>
        </w:rPr>
        <w:footnoteRef/>
      </w:r>
      <w:r>
        <w:tab/>
        <w:t>Директива (ЕС) XXXX/XXXX на Европейския парламент и на Съвета от XXXX г. за установяване на хармонизирани изисквания във вътрешния пазар относно прозрачността на представителството на интереси, извършвано от името на трети държави, и за изменение на Директива (ЕС) 2019/1937 (ОВ L [...], [...] г., стр. [...], ELI: …).</w:t>
      </w:r>
    </w:p>
  </w:footnote>
  <w:footnote w:id="8">
    <w:p w:rsidR="0018143B" w:rsidRDefault="0091075B">
      <w:pPr>
        <w:pStyle w:val="FootnoteText"/>
      </w:pPr>
      <w:r>
        <w:rPr>
          <w:rStyle w:val="FootnoteReference"/>
        </w:rPr>
        <w:footnoteRef/>
      </w:r>
      <w:r>
        <w:tab/>
        <w:t>Регламент (ЕС) № 1024/2012 на Европейския парламент и на Съвета от 25 октомври 2012 г.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IMI“) (ОВ L 316, 14.11.2012 г., стр. 1, ELI: </w:t>
      </w:r>
      <w:hyperlink r:id="rId3" w:tooltip="Дава достъп до този документ чрез неговия URI на ELI." w:history="1">
        <w:r>
          <w:rPr>
            <w:rStyle w:val="Hyperlink"/>
          </w:rPr>
          <w:t>http://data.europa.eu/eli/reg/2012/1024/oj</w:t>
        </w:r>
      </w:hyperlink>
      <w:r>
        <w:t>).</w:t>
      </w:r>
    </w:p>
  </w:footnote>
  <w:footnote w:id="9">
    <w:p w:rsidR="0018143B" w:rsidRDefault="0091075B">
      <w:pPr>
        <w:pStyle w:val="FootnoteText"/>
      </w:pPr>
      <w:r>
        <w:rPr>
          <w:rStyle w:val="FootnoteReference"/>
        </w:rPr>
        <w:footnoteRef/>
      </w:r>
      <w:r>
        <w:tab/>
        <w:t>Регламент (ЕС) 2018/1724 на Европейския парламент и на Съвета от 2 октомври 2018 г. за създаване на единна цифрова платформа за предоставяне на достъп до информация, до процедури и до услуги за оказване на помощ и решаване на проблеми и за изменение на Регламент (ЕС) № 1024/2012 (ОВ L 295, 21.11.2018 г., стр. 1, ELI: </w:t>
      </w:r>
      <w:hyperlink r:id="rId4" w:tooltip="Дава достъп до този документ чрез неговия URI на ELI." w:history="1">
        <w:r>
          <w:rPr>
            <w:rStyle w:val="Hyperlink"/>
          </w:rPr>
          <w:t>http://data.europa.eu/eli/reg/2018/1724/oj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Default="005D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C" w:rsidRDefault="005D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B36D3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38D17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58AE3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55061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1-16 15:18: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4B4E5AE-1231-4F5C-89D7-BA96F88B2C0B"/>
    <w:docVar w:name="LW_COVERPAGE_TYPE" w:val="1"/>
    <w:docVar w:name="LW_CROSSREFERENCE" w:val="{SEC(2023) 637 final} - {SWD(2023) 663 final} - {SWD(2023) 664 final}"/>
    <w:docVar w:name="LW_DocType" w:val="COM"/>
    <w:docVar w:name="LW_EMISSION" w:val="12.12.2023"/>
    <w:docVar w:name="LW_EMISSION_ISODATE" w:val="2023-12-12"/>
    <w:docVar w:name="LW_EMISSION_LOCATION" w:val="STR"/>
    <w:docVar w:name="LW_EMISSION_PREFIX" w:val="\u1057?\u1090?\u1088?\u1072?\u1089?\u1073?\u1091?\u1088?\u1075?,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u1058?\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462"/>
    <w:docVar w:name="LW_REF.II.NEW.CP_YEAR" w:val="2023"/>
    <w:docVar w:name="LW_REF.INST.NEW" w:val="COM"/>
    <w:docVar w:name="LW_REF.INST.NEW_ADOPTED" w:val="final"/>
    <w:docVar w:name="LW_REF.INST.NEW_TEXT" w:val="(2023)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88?\u1077?\u1075?\u1083?\u1072?\u1084?\u1077?\u1085?\u1090?\u1080? (\u1045?\u1057?) \u8470? 1024/2012 \u1080? (\u1045?\u1057?) 2018/1724 \u1087?\u1086? \u1086?\u1090?\u1085?\u1086?\u1096?\u1077?\u1085?\u1080?\u1077? \u1085?\u1072? \u1085?\u1103?\u1082?\u1086?\u1080? \u1080?\u1079?\u1080?\u1089?\u1082?\u1074?\u1072?\u1085?\u1080?\u1103?, \u1086?\u1087?\u1088?\u1077?\u1076?\u1077?\u1083?\u1077?\u1085?\u1080? \u1089? \u1044?\u1080?\u1088?\u1077?\u1082?\u1090?\u1080?\u1074?\u1072? (\u1045?\u1057?) XXXX/XXXX"/>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4.0; LW 9.0, Build 20240109"/>
  </w:docVars>
  <w:rsids>
    <w:rsidRoot w:val="0018143B"/>
    <w:rsid w:val="000151EB"/>
    <w:rsid w:val="00074F44"/>
    <w:rsid w:val="000C05D2"/>
    <w:rsid w:val="000D0802"/>
    <w:rsid w:val="0018143B"/>
    <w:rsid w:val="001D6B0F"/>
    <w:rsid w:val="001E7018"/>
    <w:rsid w:val="00220901"/>
    <w:rsid w:val="0028016E"/>
    <w:rsid w:val="002B4D05"/>
    <w:rsid w:val="002B7898"/>
    <w:rsid w:val="002D2B29"/>
    <w:rsid w:val="002F4919"/>
    <w:rsid w:val="00341F64"/>
    <w:rsid w:val="00360678"/>
    <w:rsid w:val="003C1337"/>
    <w:rsid w:val="00406706"/>
    <w:rsid w:val="0042228B"/>
    <w:rsid w:val="00477B21"/>
    <w:rsid w:val="004D6D62"/>
    <w:rsid w:val="004F7CC8"/>
    <w:rsid w:val="00502656"/>
    <w:rsid w:val="0052547B"/>
    <w:rsid w:val="00531F24"/>
    <w:rsid w:val="0055711B"/>
    <w:rsid w:val="00564472"/>
    <w:rsid w:val="005B42C7"/>
    <w:rsid w:val="005C4501"/>
    <w:rsid w:val="005D247C"/>
    <w:rsid w:val="005F58FA"/>
    <w:rsid w:val="0067765F"/>
    <w:rsid w:val="006A1C39"/>
    <w:rsid w:val="006B552F"/>
    <w:rsid w:val="007014BE"/>
    <w:rsid w:val="007074CE"/>
    <w:rsid w:val="007257A4"/>
    <w:rsid w:val="00742D44"/>
    <w:rsid w:val="00754448"/>
    <w:rsid w:val="00754C52"/>
    <w:rsid w:val="00776B3E"/>
    <w:rsid w:val="007C461E"/>
    <w:rsid w:val="00857A06"/>
    <w:rsid w:val="008B4974"/>
    <w:rsid w:val="0091075B"/>
    <w:rsid w:val="009F01AA"/>
    <w:rsid w:val="00A17EF3"/>
    <w:rsid w:val="00A57005"/>
    <w:rsid w:val="00AA2D34"/>
    <w:rsid w:val="00AA69BB"/>
    <w:rsid w:val="00AF1B57"/>
    <w:rsid w:val="00B628DA"/>
    <w:rsid w:val="00B66704"/>
    <w:rsid w:val="00BE31AF"/>
    <w:rsid w:val="00BE46AF"/>
    <w:rsid w:val="00C22C02"/>
    <w:rsid w:val="00C42EE3"/>
    <w:rsid w:val="00D96B8C"/>
    <w:rsid w:val="00DD206D"/>
    <w:rsid w:val="00E02455"/>
    <w:rsid w:val="00E1507C"/>
    <w:rsid w:val="00E70408"/>
    <w:rsid w:val="00EA6C72"/>
    <w:rsid w:val="00EB6A9C"/>
    <w:rsid w:val="00F01CEE"/>
    <w:rsid w:val="00F13E45"/>
    <w:rsid w:val="00FB00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0D04158-BE3C-4288-981F-EB94F8D7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aliases w:val="Char2"/>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aliases w:val="Char2 Char"/>
    <w:basedOn w:val="DefaultParagraphFont"/>
    <w:link w:val="CommentText"/>
    <w:uiPriority w:val="99"/>
    <w:rPr>
      <w:sz w:val="20"/>
      <w:szCs w:val="20"/>
    </w:rPr>
  </w:style>
  <w:style w:type="character" w:customStyle="1" w:styleId="Text1Char">
    <w:name w:val="Text 1 Char"/>
    <w:basedOn w:val="DefaultParagraphFont"/>
    <w:locked/>
    <w:rPr>
      <w:rFonts w:ascii="Times New Roman" w:hAnsi="Times New Roman" w:cs="Times New Roman"/>
      <w:sz w:val="24"/>
      <w:lang w:val="bg-BG"/>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before="0" w:after="160" w:line="240" w:lineRule="exact"/>
      <w:jc w:val="left"/>
    </w:pPr>
    <w:rPr>
      <w:rFonts w:asciiTheme="minorHAnsi" w:hAnsiTheme="minorHAnsi" w:cstheme="minorBidi"/>
      <w:sz w:val="22"/>
      <w:vertAlign w:val="superscript"/>
    </w:rPr>
  </w:style>
  <w:style w:type="paragraph" w:customStyle="1" w:styleId="title-bold">
    <w:name w:val="title-bold"/>
    <w:basedOn w:val="Normal"/>
    <w:pPr>
      <w:spacing w:before="100" w:beforeAutospacing="1" w:after="100" w:afterAutospacing="1"/>
      <w:jc w:val="left"/>
    </w:pPr>
    <w:rPr>
      <w:rFonts w:eastAsia="Times New Roman"/>
      <w:szCs w:val="24"/>
      <w:lang w:eastAsia="en-IE"/>
    </w:r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sid w:val="005D247C"/>
    <w:rPr>
      <w:rFonts w:ascii="Times New Roman" w:hAnsi="Times New Roman" w:cs="Times New Roman"/>
      <w:sz w:val="24"/>
      <w:lang w:val="bg-BG"/>
    </w:rPr>
  </w:style>
  <w:style w:type="character" w:customStyle="1" w:styleId="FooterChar">
    <w:name w:val="Footer Char"/>
    <w:basedOn w:val="DefaultParagraphFont"/>
    <w:link w:val="Footer"/>
    <w:uiPriority w:val="99"/>
    <w:rsid w:val="005D247C"/>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harCharCharChar"/>
    <w:uiPriority w:val="99"/>
    <w:semiHidden/>
    <w:unhideWhenUsed/>
    <w:rPr>
      <w:shd w:val="clear" w:color="auto" w:fill="auto"/>
      <w:vertAlign w:val="superscript"/>
    </w:rPr>
  </w:style>
  <w:style w:type="paragraph" w:customStyle="1" w:styleId="HeaderSensitivity">
    <w:name w:val="Header Sensitivity"/>
    <w:basedOn w:val="Normal"/>
    <w:rsid w:val="005D247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D247C"/>
    <w:pPr>
      <w:spacing w:before="0"/>
      <w:jc w:val="right"/>
    </w:pPr>
    <w:rPr>
      <w:sz w:val="28"/>
    </w:rPr>
  </w:style>
  <w:style w:type="paragraph" w:customStyle="1" w:styleId="FooterSensitivity">
    <w:name w:val="Footer Sensitivity"/>
    <w:basedOn w:val="Normal"/>
    <w:rsid w:val="005D247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D247C"/>
    <w:pPr>
      <w:tabs>
        <w:tab w:val="center" w:pos="4535"/>
        <w:tab w:val="right" w:pos="9071"/>
      </w:tabs>
      <w:spacing w:before="0"/>
    </w:pPr>
  </w:style>
  <w:style w:type="paragraph" w:customStyle="1" w:styleId="HeaderLandscape">
    <w:name w:val="HeaderLandscape"/>
    <w:basedOn w:val="Normal"/>
    <w:rsid w:val="005D247C"/>
    <w:pPr>
      <w:tabs>
        <w:tab w:val="center" w:pos="7285"/>
        <w:tab w:val="right" w:pos="14003"/>
      </w:tabs>
      <w:spacing w:before="0"/>
    </w:pPr>
  </w:style>
  <w:style w:type="paragraph" w:styleId="Footer">
    <w:name w:val="footer"/>
    <w:basedOn w:val="Normal"/>
    <w:link w:val="FooterChar"/>
    <w:uiPriority w:val="99"/>
    <w:unhideWhenUsed/>
    <w:rsid w:val="005D247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D247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37958">
      <w:bodyDiv w:val="1"/>
      <w:marLeft w:val="0"/>
      <w:marRight w:val="0"/>
      <w:marTop w:val="0"/>
      <w:marBottom w:val="0"/>
      <w:divBdr>
        <w:top w:val="none" w:sz="0" w:space="0" w:color="auto"/>
        <w:left w:val="none" w:sz="0" w:space="0" w:color="auto"/>
        <w:bottom w:val="none" w:sz="0" w:space="0" w:color="auto"/>
        <w:right w:val="none" w:sz="0" w:space="0" w:color="auto"/>
      </w:divBdr>
    </w:div>
    <w:div w:id="1194882769">
      <w:bodyDiv w:val="1"/>
      <w:marLeft w:val="0"/>
      <w:marRight w:val="0"/>
      <w:marTop w:val="0"/>
      <w:marBottom w:val="0"/>
      <w:divBdr>
        <w:top w:val="none" w:sz="0" w:space="0" w:color="auto"/>
        <w:left w:val="none" w:sz="0" w:space="0" w:color="auto"/>
        <w:bottom w:val="none" w:sz="0" w:space="0" w:color="auto"/>
        <w:right w:val="none" w:sz="0" w:space="0" w:color="auto"/>
      </w:divBdr>
    </w:div>
    <w:div w:id="1348482191">
      <w:bodyDiv w:val="1"/>
      <w:marLeft w:val="0"/>
      <w:marRight w:val="0"/>
      <w:marTop w:val="0"/>
      <w:marBottom w:val="0"/>
      <w:divBdr>
        <w:top w:val="none" w:sz="0" w:space="0" w:color="auto"/>
        <w:left w:val="none" w:sz="0" w:space="0" w:color="auto"/>
        <w:bottom w:val="none" w:sz="0" w:space="0" w:color="auto"/>
        <w:right w:val="none" w:sz="0" w:space="0" w:color="auto"/>
      </w:divBdr>
      <w:divsChild>
        <w:div w:id="460849264">
          <w:marLeft w:val="0"/>
          <w:marRight w:val="0"/>
          <w:marTop w:val="0"/>
          <w:marBottom w:val="0"/>
          <w:divBdr>
            <w:top w:val="none" w:sz="0" w:space="0" w:color="auto"/>
            <w:left w:val="none" w:sz="0" w:space="0" w:color="auto"/>
            <w:bottom w:val="none" w:sz="0" w:space="0" w:color="auto"/>
            <w:right w:val="none" w:sz="0" w:space="0" w:color="auto"/>
          </w:divBdr>
        </w:div>
      </w:divsChild>
    </w:div>
    <w:div w:id="1460566989">
      <w:bodyDiv w:val="1"/>
      <w:marLeft w:val="0"/>
      <w:marRight w:val="0"/>
      <w:marTop w:val="0"/>
      <w:marBottom w:val="0"/>
      <w:divBdr>
        <w:top w:val="none" w:sz="0" w:space="0" w:color="auto"/>
        <w:left w:val="none" w:sz="0" w:space="0" w:color="auto"/>
        <w:bottom w:val="none" w:sz="0" w:space="0" w:color="auto"/>
        <w:right w:val="none" w:sz="0" w:space="0" w:color="auto"/>
      </w:divBdr>
    </w:div>
    <w:div w:id="1716731715">
      <w:bodyDiv w:val="1"/>
      <w:marLeft w:val="0"/>
      <w:marRight w:val="0"/>
      <w:marTop w:val="0"/>
      <w:marBottom w:val="0"/>
      <w:divBdr>
        <w:top w:val="none" w:sz="0" w:space="0" w:color="auto"/>
        <w:left w:val="none" w:sz="0" w:space="0" w:color="auto"/>
        <w:bottom w:val="none" w:sz="0" w:space="0" w:color="auto"/>
        <w:right w:val="none" w:sz="0" w:space="0" w:color="auto"/>
      </w:divBdr>
      <w:divsChild>
        <w:div w:id="129499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2/1024/oj" TargetMode="External"/><Relationship Id="rId2" Type="http://schemas.openxmlformats.org/officeDocument/2006/relationships/hyperlink" Target="http://data.europa.eu/eli/reg/2018/1724/oj" TargetMode="External"/><Relationship Id="rId1" Type="http://schemas.openxmlformats.org/officeDocument/2006/relationships/hyperlink" Target="http://data.europa.eu/eli/reg/2012/1024/oj" TargetMode="External"/><Relationship Id="rId4" Type="http://schemas.openxmlformats.org/officeDocument/2006/relationships/hyperlink" Target="http://data.europa.eu/eli/reg/2018/172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1192-7387-4682-A1D5-9BCE0BEEED88}">
  <ds:schemaRefs>
    <ds:schemaRef ds:uri="http://schemas.microsoft.com/sharepoint/v3/contenttype/forms"/>
  </ds:schemaRefs>
</ds:datastoreItem>
</file>

<file path=customXml/itemProps2.xml><?xml version="1.0" encoding="utf-8"?>
<ds:datastoreItem xmlns:ds="http://schemas.openxmlformats.org/officeDocument/2006/customXml" ds:itemID="{4281CEB0-78C4-4CF7-A235-122287223CF1}">
  <ds:schemaRefs>
    <ds:schemaRef ds:uri="379e0a09-5deb-44c7-a703-b352a170740d"/>
    <ds:schemaRef ds:uri="http://purl.org/dc/terms/"/>
    <ds:schemaRef ds:uri="http://schemas.microsoft.com/office/2006/metadata/properties"/>
    <ds:schemaRef ds:uri="39d607b5-3019-4139-86e9-2e131faaffa8"/>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24CBD0C4-0F39-4CB0-8EAD-6767F8A46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0005D-1B4E-465C-82C0-89F39DB1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7</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24</cp:revision>
  <dcterms:created xsi:type="dcterms:W3CDTF">2023-12-04T17:03:00Z</dcterms:created>
  <dcterms:modified xsi:type="dcterms:W3CDTF">2024-01-16T14:18:00Z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2023-11-22T11:00:54Z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5a969eac-bc25-4feb-a18b-1a36d13f223f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ContentTypeId">
    <vt:lpwstr>0x010100258AA79CEB83498886A3A086811232500033285A78CCB54F4DA2ECE5FA2B2AF218</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y name="OP_sanitized" fmtid="{D5CDD505-2E9C-101B-9397-08002B2CF9AE}" pid="17">
    <vt:lpwstr>True</vt:lpwstr>
  </property>
</Properties>
</file>