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800FD" w14:textId="168DFD5C" w:rsidR="008161F9" w:rsidRPr="00483479" w:rsidRDefault="00363562" w:rsidP="00363562">
      <w:pPr>
        <w:pStyle w:val="Pagedecouverture"/>
        <w:rPr>
          <w:noProof/>
        </w:rPr>
      </w:pPr>
      <w:r>
        <w:rPr>
          <w:noProof/>
        </w:rPr>
        <w:pict w14:anchorId="78C040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046A01C0-68A2-48DA-89C9-8C6D9BE6BEA0" style="width:455.25pt;height:426pt">
            <v:imagedata r:id="rId8" o:title=""/>
          </v:shape>
        </w:pict>
      </w:r>
    </w:p>
    <w:p w14:paraId="5E7AAB05" w14:textId="77777777" w:rsidR="008161F9" w:rsidRPr="00483479" w:rsidRDefault="008161F9" w:rsidP="008161F9">
      <w:pPr>
        <w:rPr>
          <w:noProof/>
        </w:rPr>
        <w:sectPr w:rsidR="008161F9" w:rsidRPr="00483479" w:rsidSect="00363562">
          <w:footerReference w:type="default" r:id="rId9"/>
          <w:footnotePr>
            <w:numRestart w:val="eachSect"/>
          </w:footnotePr>
          <w:pgSz w:w="11907" w:h="16839"/>
          <w:pgMar w:top="1134" w:right="1417" w:bottom="1134" w:left="1417" w:header="709" w:footer="709" w:gutter="0"/>
          <w:pgNumType w:start="0"/>
          <w:cols w:space="720"/>
          <w:docGrid w:linePitch="360"/>
        </w:sectPr>
      </w:pPr>
    </w:p>
    <w:p w14:paraId="22FFD91A" w14:textId="77777777" w:rsidR="008161F9" w:rsidRPr="00483479" w:rsidRDefault="008161F9" w:rsidP="00BB6B30">
      <w:pPr>
        <w:pStyle w:val="Exposdesmotifstitre"/>
        <w:rPr>
          <w:noProof/>
        </w:rPr>
      </w:pPr>
      <w:bookmarkStart w:id="0" w:name="_GoBack"/>
      <w:bookmarkEnd w:id="0"/>
      <w:r w:rsidRPr="00483479">
        <w:rPr>
          <w:noProof/>
        </w:rPr>
        <w:lastRenderedPageBreak/>
        <w:t>ОБЯСНИТЕЛЕН МЕМОРАНДУМ</w:t>
      </w:r>
    </w:p>
    <w:p w14:paraId="2E61AB70" w14:textId="77777777" w:rsidR="008161F9" w:rsidRPr="00483479" w:rsidRDefault="008161F9" w:rsidP="00BB6B30">
      <w:pPr>
        <w:pStyle w:val="ManualHeading1"/>
        <w:rPr>
          <w:noProof/>
        </w:rPr>
      </w:pPr>
      <w:r w:rsidRPr="00483479">
        <w:rPr>
          <w:noProof/>
        </w:rPr>
        <w:t>1.</w:t>
      </w:r>
      <w:r w:rsidRPr="00483479">
        <w:rPr>
          <w:noProof/>
        </w:rPr>
        <w:tab/>
        <w:t>КОНТЕКСТ НА ПРЕДЛОЖЕНИЕТО</w:t>
      </w:r>
    </w:p>
    <w:p w14:paraId="6907E86A" w14:textId="776B726F" w:rsidR="00F55B01" w:rsidRPr="00483479" w:rsidRDefault="008161F9" w:rsidP="00F55B01">
      <w:pPr>
        <w:pStyle w:val="ManualHeading2"/>
        <w:rPr>
          <w:rFonts w:eastAsia="Arial Unicode MS"/>
          <w:noProof/>
        </w:rPr>
      </w:pPr>
      <w:r w:rsidRPr="00483479">
        <w:rPr>
          <w:noProof/>
          <w:color w:val="000000"/>
          <w:u w:color="000000"/>
          <w:bdr w:val="nil"/>
        </w:rPr>
        <w:t>•</w:t>
      </w:r>
      <w:r w:rsidRPr="00483479">
        <w:rPr>
          <w:noProof/>
        </w:rPr>
        <w:tab/>
        <w:t>Основания и цели на предложението</w:t>
      </w:r>
    </w:p>
    <w:p w14:paraId="6F6C2CBB" w14:textId="2F8722BB" w:rsidR="00F55B01" w:rsidRPr="00483479" w:rsidRDefault="00F55B01" w:rsidP="006957A9">
      <w:pPr>
        <w:pStyle w:val="Text1"/>
        <w:rPr>
          <w:noProof/>
          <w:szCs w:val="24"/>
        </w:rPr>
      </w:pPr>
      <w:r w:rsidRPr="00483479">
        <w:rPr>
          <w:noProof/>
        </w:rPr>
        <w:t>Съгласно Протокола за Ирландия/Северна Ирландия („Протокола“) от Споразумението за оттегляне на Обединеното кралство Великобритания и Северна Ирландия от Европейския съюз и Европейската общност за атомна енергия</w:t>
      </w:r>
      <w:r w:rsidRPr="00483479">
        <w:rPr>
          <w:rStyle w:val="FootnoteReference"/>
          <w:noProof/>
        </w:rPr>
        <w:footnoteReference w:id="1"/>
      </w:r>
      <w:r w:rsidRPr="00483479">
        <w:rPr>
          <w:noProof/>
        </w:rPr>
        <w:t xml:space="preserve"> („Споразумението за оттегляне“) вноса на изпитвани лекарствени продукти от трети държави в Съюза или Северна Ирландия е обвързан с притежаването на разрешение за производство и внос. Тези разрешения са в съответствие със задълженията, произтичащи от достиженията на правото на ЕС в областта на клиничните изпитвания.</w:t>
      </w:r>
    </w:p>
    <w:p w14:paraId="23FCF64D" w14:textId="4E7DAA8E" w:rsidR="00F55B01" w:rsidRPr="00483479" w:rsidRDefault="00F55B01" w:rsidP="006957A9">
      <w:pPr>
        <w:pStyle w:val="Text1"/>
        <w:rPr>
          <w:noProof/>
          <w:szCs w:val="24"/>
        </w:rPr>
      </w:pPr>
      <w:r w:rsidRPr="00483479">
        <w:rPr>
          <w:noProof/>
        </w:rPr>
        <w:t xml:space="preserve">През последните няколко години Обединеното кралство по отношение на Северна Ирландия, както и малките пазари на Европейския съюз (Малта, Ирландия и Кипър), които са зависими от доставките на лекарствени продукти от Обединеното кралство, споделиха за проблеми във връзка със способността на икономическите оператори да спазват всички разпоредби на достиженията на правото </w:t>
      </w:r>
      <w:r w:rsidRPr="00483479">
        <w:rPr>
          <w:b/>
          <w:noProof/>
          <w:szCs w:val="24"/>
        </w:rPr>
        <w:t>относно лекарствата след изтичане на преходния период, предвиден в Споразумението за оттегляне, включително лекарствата, използвани в клинични изпитвания, като имат предвид по-специално изискванията относно вноса</w:t>
      </w:r>
      <w:r w:rsidRPr="00483479">
        <w:rPr>
          <w:noProof/>
        </w:rPr>
        <w:t xml:space="preserve">. </w:t>
      </w:r>
    </w:p>
    <w:p w14:paraId="3A819EE5" w14:textId="623CBC7A" w:rsidR="00F55B01" w:rsidRPr="00483479" w:rsidRDefault="00F55B01" w:rsidP="006957A9">
      <w:pPr>
        <w:pStyle w:val="Text1"/>
        <w:rPr>
          <w:noProof/>
          <w:szCs w:val="24"/>
        </w:rPr>
      </w:pPr>
      <w:r w:rsidRPr="00483479">
        <w:rPr>
          <w:noProof/>
        </w:rPr>
        <w:t>В Известието на Комисията от 25 януари 2021 г.</w:t>
      </w:r>
      <w:r w:rsidRPr="00483479">
        <w:rPr>
          <w:rStyle w:val="FootnoteReference"/>
          <w:noProof/>
          <w:szCs w:val="24"/>
        </w:rPr>
        <w:footnoteReference w:id="2"/>
      </w:r>
      <w:r w:rsidRPr="00483479">
        <w:rPr>
          <w:noProof/>
        </w:rPr>
        <w:t xml:space="preserve"> е предвиден гратисен период от една година (до края на декември 2021 г.), включително за изискванията относно вноса, свързани с изпитваните лекарства, за да се гарантира непрекъснато снабдяване с лекарства на Северна Ирландия, Кипър, Ирландия и Малта. </w:t>
      </w:r>
    </w:p>
    <w:p w14:paraId="19B99681" w14:textId="411E7692" w:rsidR="00F55B01" w:rsidRPr="00483479" w:rsidRDefault="00F55B01" w:rsidP="006957A9">
      <w:pPr>
        <w:pStyle w:val="Text1"/>
        <w:rPr>
          <w:noProof/>
          <w:szCs w:val="24"/>
        </w:rPr>
      </w:pPr>
      <w:r w:rsidRPr="00483479">
        <w:rPr>
          <w:noProof/>
        </w:rPr>
        <w:t xml:space="preserve">Въпреки преходния период за определени оператори, базирани в части от Обединеното кралство, различни от Северна Ирландия, все още е трудно да се адаптират, както се изисква от Протокола. Основните причини са твърде високите разходи за корекция спрямо малкия размер на северноирландския пазар и свързаната сложна логистика, за която не са определени жизнеспособни алтернативни логистични центрове в Северна Ирландия. </w:t>
      </w:r>
    </w:p>
    <w:p w14:paraId="21DC5762" w14:textId="1D63D851" w:rsidR="001C0CCA" w:rsidRPr="00483479" w:rsidRDefault="001C0CCA" w:rsidP="006957A9">
      <w:pPr>
        <w:pStyle w:val="Text1"/>
        <w:rPr>
          <w:noProof/>
        </w:rPr>
      </w:pPr>
      <w:r w:rsidRPr="00483479">
        <w:rPr>
          <w:noProof/>
        </w:rPr>
        <w:t>За пазарите в Кипър, Малта и Ирландия възникнаха същите въпроси, а освен това</w:t>
      </w:r>
      <w:r w:rsidRPr="00483479">
        <w:rPr>
          <w:noProof/>
          <w:color w:val="444444"/>
          <w:szCs w:val="24"/>
        </w:rPr>
        <w:t xml:space="preserve"> бяха срещнати трудности да се гарантира, че участниците в клинични изпитвания имат достъп до определени лекарствени продукти поради това, че веригите за доставки разчитат на други части от Обединеното кралство, различни от Северна Ирландия.</w:t>
      </w:r>
      <w:r w:rsidRPr="00483479">
        <w:rPr>
          <w:noProof/>
        </w:rPr>
        <w:t xml:space="preserve"> </w:t>
      </w:r>
    </w:p>
    <w:p w14:paraId="1A6E5FFD" w14:textId="14C5F2E8" w:rsidR="00A5717F" w:rsidRPr="00483479" w:rsidRDefault="00A5717F" w:rsidP="006957A9">
      <w:pPr>
        <w:pStyle w:val="Text1"/>
        <w:rPr>
          <w:noProof/>
        </w:rPr>
      </w:pPr>
      <w:r w:rsidRPr="00483479">
        <w:rPr>
          <w:noProof/>
        </w:rPr>
        <w:t xml:space="preserve">Спирането на доставките на изпитвани лекарствени продукти би породило потенциален риск за безопасността и благополучието на участниците в текущите клинични изпитвания, както и би възпрепятствало организирането на нови клинични изпитвания в тези държави членки и в Северна Ирландия. </w:t>
      </w:r>
    </w:p>
    <w:p w14:paraId="57A6862C" w14:textId="510281D5" w:rsidR="00F55B01" w:rsidRPr="00483479" w:rsidRDefault="00F55B01" w:rsidP="006957A9">
      <w:pPr>
        <w:pStyle w:val="Text1"/>
        <w:rPr>
          <w:noProof/>
          <w:szCs w:val="24"/>
        </w:rPr>
      </w:pPr>
      <w:r w:rsidRPr="00483479">
        <w:rPr>
          <w:noProof/>
        </w:rPr>
        <w:t>Целите на настоящото предложение са да се разрешат проблемите, свързани с изпитваните лекарствени продукти, да се предотврати неблагоприятното въздействие върху техните доставки, а оттам и на провеждането на клиничните изпитвания, разрешени съгласно Регламент (ЕС) 536/2014</w:t>
      </w:r>
      <w:r w:rsidRPr="00483479">
        <w:rPr>
          <w:rStyle w:val="FootnoteReference"/>
          <w:noProof/>
          <w:szCs w:val="24"/>
        </w:rPr>
        <w:footnoteReference w:id="3"/>
      </w:r>
      <w:r w:rsidRPr="00483479">
        <w:rPr>
          <w:noProof/>
        </w:rPr>
        <w:t>, в Северна Ирландия, Кипър, Ирландия и Малта.</w:t>
      </w:r>
    </w:p>
    <w:p w14:paraId="0993472A" w14:textId="6FD2D55A" w:rsidR="00835099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 xml:space="preserve">Настоящото предложение по изключение дава възможност да не се изисква разрешение за производство и внос за изпитвани лекарствени продукти, </w:t>
      </w:r>
      <w:r w:rsidRPr="00483479">
        <w:rPr>
          <w:noProof/>
          <w:szCs w:val="24"/>
          <w:shd w:val="clear" w:color="auto" w:fill="FFFFFF"/>
        </w:rPr>
        <w:t>внесени в Кипър, Ирландия, Малта и Северна Ирландия от части от Обединеното кралство, различни от Северна Ирландия, при условие че са изпълнени определени условия</w:t>
      </w:r>
      <w:r w:rsidRPr="00483479">
        <w:rPr>
          <w:noProof/>
        </w:rPr>
        <w:t xml:space="preserve">. За Кипър, Ирландия и Малта тази дерогация е с временен характер, тъй като се очаква тези пазари постепенно да бъдат снабдявани чрез държавите членки. Изглежда е достатъчен преходен период от 3 години. </w:t>
      </w:r>
    </w:p>
    <w:p w14:paraId="36E05C28" w14:textId="4F178E3A" w:rsidR="001932BA" w:rsidRPr="00483479" w:rsidRDefault="00976A35" w:rsidP="006957A9">
      <w:pPr>
        <w:pStyle w:val="Text1"/>
        <w:rPr>
          <w:noProof/>
          <w:color w:val="000000" w:themeColor="text1"/>
          <w:szCs w:val="24"/>
        </w:rPr>
      </w:pPr>
      <w:r w:rsidRPr="00483479">
        <w:rPr>
          <w:noProof/>
          <w:color w:val="000000" w:themeColor="text1"/>
          <w:szCs w:val="24"/>
        </w:rPr>
        <w:t xml:space="preserve">Въпреки че Регламент (ЕС) 536/2014 влезе в сила през 2014 г., бе направено така, че приложимостта му да зависи от цялостното функциониране на европейския портал и база данни. </w:t>
      </w:r>
      <w:r w:rsidRPr="00483479">
        <w:rPr>
          <w:noProof/>
        </w:rPr>
        <w:t>Комисията публикува известието за цялостното функциониране на 31 юли 2021 г., с което даде началото на 6-месечен срок преди прилагането на 31 януари 2022 г</w:t>
      </w:r>
      <w:r w:rsidRPr="00080995">
        <w:rPr>
          <w:rStyle w:val="FootnoteReference"/>
          <w:noProof/>
          <w:szCs w:val="24"/>
        </w:rPr>
        <w:footnoteReference w:id="4"/>
      </w:r>
      <w:r w:rsidRPr="00483479">
        <w:rPr>
          <w:noProof/>
        </w:rPr>
        <w:t>.</w:t>
      </w:r>
      <w:r w:rsidRPr="00483479">
        <w:rPr>
          <w:noProof/>
          <w:color w:val="000000" w:themeColor="text1"/>
          <w:szCs w:val="24"/>
        </w:rPr>
        <w:t xml:space="preserve"> Като преходна мярка, през първата година (до 31 януари 2023 г.) спонсорите могат да избират да подават заявление за клинично изпитване в съответствие с правилата на Регламент (ЕС) 536/2014 или чрез правилата на Директива 2001/20/ЕО</w:t>
      </w:r>
      <w:r w:rsidRPr="00483479">
        <w:rPr>
          <w:rStyle w:val="FootnoteReference"/>
          <w:noProof/>
          <w:color w:val="000000" w:themeColor="text1"/>
          <w:szCs w:val="24"/>
        </w:rPr>
        <w:footnoteReference w:id="5"/>
      </w:r>
      <w:r w:rsidRPr="00483479">
        <w:rPr>
          <w:noProof/>
          <w:color w:val="000000" w:themeColor="text1"/>
          <w:szCs w:val="24"/>
        </w:rPr>
        <w:t xml:space="preserve">. Изпитванията, разрешени съгласно тази директива, могат да продължат до 31 януари 2025 г. </w:t>
      </w:r>
    </w:p>
    <w:p w14:paraId="6409ACD2" w14:textId="02EF8837" w:rsidR="00515D8A" w:rsidRPr="00483479" w:rsidRDefault="00976A35" w:rsidP="006957A9">
      <w:pPr>
        <w:pStyle w:val="Text1"/>
        <w:rPr>
          <w:noProof/>
          <w:szCs w:val="24"/>
          <w:shd w:val="clear" w:color="auto" w:fill="FFFFFF"/>
        </w:rPr>
      </w:pPr>
      <w:r w:rsidRPr="00483479">
        <w:rPr>
          <w:noProof/>
          <w:color w:val="000000" w:themeColor="text1"/>
          <w:szCs w:val="24"/>
        </w:rPr>
        <w:t xml:space="preserve">Следователно настоящото </w:t>
      </w:r>
      <w:r w:rsidRPr="00483479">
        <w:rPr>
          <w:noProof/>
          <w:szCs w:val="24"/>
          <w:shd w:val="clear" w:color="auto" w:fill="FFFFFF"/>
        </w:rPr>
        <w:t xml:space="preserve">предложение следва да се разглежда във връзка с концептуално идентичните промени в Директива 2001/20, предложени в COM(2021)997 от 17 декември 2021 г., тъй като и двата законодателни акта могат да се прилагат към различни клинични изпитвания в ЕС до 31 януари 2025 г. Поради тази причина настоящото отделно предложение е освободено от допълнителна обосновка за планирането на дневния ред. </w:t>
      </w:r>
      <w:r w:rsidRPr="00483479">
        <w:rPr>
          <w:noProof/>
          <w:color w:val="000000" w:themeColor="text1"/>
        </w:rPr>
        <w:t>Като се има предвид, че е необходимо въпросите да се разрешат незабавно, за тази инициатива няма да се предоставя пътна карта.</w:t>
      </w:r>
    </w:p>
    <w:p w14:paraId="5A35939B" w14:textId="28F63E8A" w:rsidR="008161F9" w:rsidRPr="00483479" w:rsidRDefault="008161F9" w:rsidP="00044058">
      <w:pPr>
        <w:pStyle w:val="ManualHeading2"/>
        <w:rPr>
          <w:rFonts w:eastAsia="Arial Unicode MS"/>
          <w:noProof/>
          <w:color w:val="000000"/>
          <w:u w:color="000000"/>
          <w:bdr w:val="nil"/>
        </w:rPr>
      </w:pPr>
      <w:r w:rsidRPr="00483479">
        <w:rPr>
          <w:noProof/>
          <w:color w:val="000000"/>
          <w:u w:color="000000"/>
          <w:bdr w:val="nil"/>
        </w:rPr>
        <w:t>•</w:t>
      </w:r>
      <w:r w:rsidRPr="00483479">
        <w:rPr>
          <w:noProof/>
        </w:rPr>
        <w:tab/>
        <w:t>Съгласуваност с действащите разпоредби в тази област на политиката</w:t>
      </w:r>
    </w:p>
    <w:p w14:paraId="44B59A85" w14:textId="16888EE2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>Беше установена всеобхватна законодателна рамка на Съюза относно лекарствените продукти, по-специално Директива 2001/83/ЕО </w:t>
      </w:r>
      <w:r w:rsidRPr="00483479">
        <w:rPr>
          <w:rStyle w:val="FootnoteReference"/>
          <w:noProof/>
        </w:rPr>
        <w:footnoteReference w:id="6"/>
      </w:r>
      <w:r w:rsidRPr="00483479">
        <w:rPr>
          <w:noProof/>
        </w:rPr>
        <w:t>, Директива 2001/20/ЕО и Регламент (ЕС) № 536/2014, които са от значение за тази инициатива, която ще ги допълни и измени.</w:t>
      </w:r>
    </w:p>
    <w:p w14:paraId="05F5A8C7" w14:textId="43E49732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>Настоящото предложение е в съответствие с целта за защита на участниците в клинични изпитвания и на общественото здраве на малките пазари на Съюза и в Северна Ирландия.</w:t>
      </w:r>
    </w:p>
    <w:p w14:paraId="19E868C4" w14:textId="77777777" w:rsidR="008161F9" w:rsidRPr="00483479" w:rsidRDefault="008161F9" w:rsidP="00A4693B">
      <w:pPr>
        <w:pStyle w:val="ManualHeading2"/>
        <w:rPr>
          <w:rFonts w:eastAsia="Arial Unicode MS"/>
          <w:noProof/>
        </w:rPr>
      </w:pPr>
      <w:r w:rsidRPr="00483479">
        <w:rPr>
          <w:noProof/>
          <w:color w:val="000000"/>
          <w:u w:color="000000"/>
          <w:bdr w:val="nil"/>
        </w:rPr>
        <w:t>•</w:t>
      </w:r>
      <w:r w:rsidRPr="00483479">
        <w:rPr>
          <w:noProof/>
        </w:rPr>
        <w:tab/>
        <w:t>Съгласуваност с други политики на Съюза</w:t>
      </w:r>
    </w:p>
    <w:p w14:paraId="0B84E5E9" w14:textId="0FDE2316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 xml:space="preserve">Настоящото предложение не засяга други политики на Съюза, с изключение на правилата по отношение на здравеопазването и вътрешния пазар. Вследствие на това не се счита за необходима оценка на съответствието с други политики на Съюза. </w:t>
      </w:r>
    </w:p>
    <w:p w14:paraId="5FF861AE" w14:textId="77777777" w:rsidR="008161F9" w:rsidRPr="00483479" w:rsidRDefault="008161F9" w:rsidP="00550536">
      <w:pPr>
        <w:pStyle w:val="ManualHeading1"/>
        <w:rPr>
          <w:noProof/>
        </w:rPr>
      </w:pPr>
      <w:r w:rsidRPr="00483479">
        <w:rPr>
          <w:noProof/>
        </w:rPr>
        <w:t>2.</w:t>
      </w:r>
      <w:r w:rsidRPr="00483479">
        <w:rPr>
          <w:noProof/>
        </w:rPr>
        <w:tab/>
        <w:t>ПРАВНО ОСНОВАНИЕ, СУБСИДИАРНОСТ И ПРОПОРЦИОНАЛНОСТ</w:t>
      </w:r>
    </w:p>
    <w:p w14:paraId="56C846E5" w14:textId="77777777" w:rsidR="008161F9" w:rsidRPr="00483479" w:rsidRDefault="008161F9" w:rsidP="00A4693B">
      <w:pPr>
        <w:pStyle w:val="ManualHeading2"/>
        <w:rPr>
          <w:rFonts w:eastAsia="Arial Unicode MS"/>
          <w:noProof/>
          <w:u w:color="000000"/>
          <w:bdr w:val="nil"/>
        </w:rPr>
      </w:pPr>
      <w:r w:rsidRPr="00483479">
        <w:rPr>
          <w:noProof/>
          <w:u w:color="000000"/>
          <w:bdr w:val="nil"/>
        </w:rPr>
        <w:t>•</w:t>
      </w:r>
      <w:r w:rsidRPr="00483479">
        <w:rPr>
          <w:noProof/>
        </w:rPr>
        <w:tab/>
      </w:r>
      <w:r w:rsidRPr="00483479">
        <w:rPr>
          <w:noProof/>
          <w:u w:color="000000"/>
          <w:bdr w:val="nil"/>
        </w:rPr>
        <w:t>Правно основание</w:t>
      </w:r>
    </w:p>
    <w:p w14:paraId="40078EA1" w14:textId="55B83537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 xml:space="preserve">Тъй като с настоящото предложение се изменя Регламент (ЕС) № 536/2014, същите правни основания </w:t>
      </w:r>
      <w:r w:rsidRPr="00483479">
        <w:rPr>
          <w:noProof/>
        </w:rPr>
        <w:sym w:font="Symbol" w:char="F02D"/>
      </w:r>
      <w:r w:rsidRPr="00483479">
        <w:rPr>
          <w:noProof/>
        </w:rPr>
        <w:t xml:space="preserve"> на член 114 и член 168, параграф 4, буква в) от ДФЕС </w:t>
      </w:r>
      <w:r w:rsidRPr="00483479">
        <w:rPr>
          <w:noProof/>
        </w:rPr>
        <w:sym w:font="Symbol" w:char="F02D"/>
      </w:r>
      <w:r w:rsidRPr="00483479">
        <w:rPr>
          <w:noProof/>
        </w:rPr>
        <w:t xml:space="preserve"> се считат за подходящото правно основание и за настоящото предложение.</w:t>
      </w:r>
    </w:p>
    <w:p w14:paraId="236BD3EC" w14:textId="77777777" w:rsidR="008161F9" w:rsidRPr="00483479" w:rsidRDefault="008161F9" w:rsidP="00A4693B">
      <w:pPr>
        <w:pStyle w:val="ManualHeading2"/>
        <w:rPr>
          <w:rFonts w:eastAsia="Arial Unicode MS"/>
          <w:noProof/>
          <w:u w:color="000000"/>
          <w:bdr w:val="nil"/>
        </w:rPr>
      </w:pPr>
      <w:r w:rsidRPr="00483479">
        <w:rPr>
          <w:noProof/>
          <w:u w:color="000000"/>
          <w:bdr w:val="nil"/>
        </w:rPr>
        <w:t>•</w:t>
      </w:r>
      <w:r w:rsidRPr="00483479">
        <w:rPr>
          <w:noProof/>
        </w:rPr>
        <w:tab/>
      </w:r>
      <w:r w:rsidRPr="00483479">
        <w:rPr>
          <w:noProof/>
          <w:u w:color="000000"/>
          <w:bdr w:val="nil"/>
        </w:rPr>
        <w:t xml:space="preserve">Субсидиарност (при неизключителна компетентност) </w:t>
      </w:r>
    </w:p>
    <w:p w14:paraId="52B04F7D" w14:textId="0083C572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 xml:space="preserve">В настоящото предложение са предвидени изключения от разпоредбите на законодателството в областта на фармацевтичните продукти и то може да се изпълни единствено с изменение на основните актове на равнището на ЕС. </w:t>
      </w:r>
    </w:p>
    <w:p w14:paraId="1B22C842" w14:textId="06B8885A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>Настоящото предложение има за цел да се осигурят дерогации за лекарствените продукти, разпространявани в Северна Ирландия, Кипър, Ирландия и Малта, които се използват като изпитвани лекарствени продукти в клинични изпитвания в тези държави.</w:t>
      </w:r>
    </w:p>
    <w:p w14:paraId="167FAF0F" w14:textId="77777777" w:rsidR="008161F9" w:rsidRPr="00483479" w:rsidRDefault="008161F9" w:rsidP="00A4693B">
      <w:pPr>
        <w:pStyle w:val="ManualHeading2"/>
        <w:rPr>
          <w:rFonts w:eastAsia="Arial Unicode MS"/>
          <w:noProof/>
          <w:u w:color="000000"/>
          <w:bdr w:val="nil"/>
        </w:rPr>
      </w:pPr>
      <w:r w:rsidRPr="00483479">
        <w:rPr>
          <w:noProof/>
          <w:u w:color="000000"/>
          <w:bdr w:val="nil"/>
        </w:rPr>
        <w:t>•</w:t>
      </w:r>
      <w:r w:rsidRPr="00483479">
        <w:rPr>
          <w:noProof/>
        </w:rPr>
        <w:tab/>
      </w:r>
      <w:r w:rsidRPr="00483479">
        <w:rPr>
          <w:noProof/>
          <w:u w:color="000000"/>
          <w:bdr w:val="nil"/>
        </w:rPr>
        <w:t>Пропорционалност</w:t>
      </w:r>
    </w:p>
    <w:p w14:paraId="0D1AFB44" w14:textId="6E6223E0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>Предложението обхваща освобождаването от изискванията относно вноса на изпитвани лекарствени продукти, за да се гарантира непрекъснатостта на техните доставки и да се избегнат закъснения или прекъсвания в организирането и провеждането на клинични изпитвания в Съюза и в Северна Ирландия.</w:t>
      </w:r>
    </w:p>
    <w:p w14:paraId="5F261161" w14:textId="749F5438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 xml:space="preserve">Предложението е ограничено до изпитваните лекарства, предлагани изключително в Северна Ирландия, както и на малките пазари на държавите — членки на ЕС, </w:t>
      </w:r>
      <w:r w:rsidRPr="00483479">
        <w:rPr>
          <w:noProof/>
        </w:rPr>
        <w:sym w:font="Symbol" w:char="F02D"/>
      </w:r>
      <w:r w:rsidRPr="00483479">
        <w:rPr>
          <w:noProof/>
        </w:rPr>
        <w:t xml:space="preserve"> Кипър, Малта и Ирландия </w:t>
      </w:r>
      <w:r w:rsidRPr="00483479">
        <w:rPr>
          <w:noProof/>
        </w:rPr>
        <w:sym w:font="Symbol" w:char="F02D"/>
      </w:r>
      <w:r w:rsidRPr="00483479">
        <w:rPr>
          <w:noProof/>
        </w:rPr>
        <w:t xml:space="preserve"> които са зависими от пазара на Обединеното кралство.</w:t>
      </w:r>
    </w:p>
    <w:p w14:paraId="0342D227" w14:textId="77777777" w:rsidR="008161F9" w:rsidRPr="00483479" w:rsidRDefault="008161F9" w:rsidP="00A4693B">
      <w:pPr>
        <w:pStyle w:val="ManualHeading2"/>
        <w:rPr>
          <w:rFonts w:eastAsia="Arial Unicode MS"/>
          <w:noProof/>
          <w:u w:color="000000"/>
          <w:bdr w:val="nil"/>
        </w:rPr>
      </w:pPr>
      <w:r w:rsidRPr="00483479">
        <w:rPr>
          <w:noProof/>
          <w:u w:color="000000"/>
          <w:bdr w:val="nil"/>
        </w:rPr>
        <w:t>•</w:t>
      </w:r>
      <w:r w:rsidRPr="00483479">
        <w:rPr>
          <w:noProof/>
        </w:rPr>
        <w:tab/>
      </w:r>
      <w:r w:rsidRPr="00483479">
        <w:rPr>
          <w:noProof/>
          <w:u w:color="000000"/>
          <w:bdr w:val="nil"/>
        </w:rPr>
        <w:t>Избор на инструмент</w:t>
      </w:r>
    </w:p>
    <w:p w14:paraId="3C85C6DC" w14:textId="7B46C6EA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>Тъй като с инициативата се изменя Регламент (ЕС) № 536/2014, за подходящ инструмент се счита предложение за регламент на Европейския парламент и на Съвета .</w:t>
      </w:r>
    </w:p>
    <w:p w14:paraId="2F0C0854" w14:textId="77777777" w:rsidR="008161F9" w:rsidRPr="00483479" w:rsidRDefault="008161F9" w:rsidP="00550536">
      <w:pPr>
        <w:pStyle w:val="ManualHeading1"/>
        <w:rPr>
          <w:noProof/>
        </w:rPr>
      </w:pPr>
      <w:r w:rsidRPr="00483479">
        <w:rPr>
          <w:noProof/>
        </w:rPr>
        <w:t>3.</w:t>
      </w:r>
      <w:r w:rsidRPr="00483479">
        <w:rPr>
          <w:noProof/>
        </w:rPr>
        <w:tab/>
        <w:t>РЕЗУЛТАТИ ОТ ПОСЛЕДВАЩИТЕ ОЦЕНКИ, КОНСУЛТАЦИИТЕ СЪС ЗАИНТЕРЕСОВАНИТЕ СТРАНИ И ОЦЕНКИТЕ НА ВЪЗДЕЙСТВИЕТО</w:t>
      </w:r>
    </w:p>
    <w:p w14:paraId="7BA83F40" w14:textId="77777777" w:rsidR="008161F9" w:rsidRPr="00483479" w:rsidRDefault="008161F9" w:rsidP="00A4693B">
      <w:pPr>
        <w:pStyle w:val="ManualHeading2"/>
        <w:rPr>
          <w:rFonts w:eastAsia="Arial Unicode MS"/>
          <w:noProof/>
          <w:u w:color="000000"/>
          <w:bdr w:val="nil"/>
        </w:rPr>
      </w:pPr>
      <w:r w:rsidRPr="00483479">
        <w:rPr>
          <w:noProof/>
          <w:u w:color="000000"/>
          <w:bdr w:val="nil"/>
        </w:rPr>
        <w:t>•</w:t>
      </w:r>
      <w:r w:rsidRPr="00483479">
        <w:rPr>
          <w:noProof/>
        </w:rPr>
        <w:tab/>
      </w:r>
      <w:r w:rsidRPr="00483479">
        <w:rPr>
          <w:noProof/>
          <w:u w:color="000000"/>
          <w:bdr w:val="nil"/>
        </w:rPr>
        <w:t>Последващи оценки/проверки за пригодност на действащото законодателство</w:t>
      </w:r>
    </w:p>
    <w:p w14:paraId="0FB3726F" w14:textId="77777777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>Не е приложимо.</w:t>
      </w:r>
    </w:p>
    <w:p w14:paraId="0BA4F953" w14:textId="77777777" w:rsidR="008161F9" w:rsidRPr="00483479" w:rsidRDefault="008161F9" w:rsidP="00A4693B">
      <w:pPr>
        <w:pStyle w:val="ManualHeading2"/>
        <w:rPr>
          <w:rFonts w:eastAsia="Arial Unicode MS"/>
          <w:noProof/>
          <w:u w:color="000000"/>
          <w:bdr w:val="nil"/>
        </w:rPr>
      </w:pPr>
      <w:r w:rsidRPr="00483479">
        <w:rPr>
          <w:noProof/>
          <w:u w:color="000000"/>
          <w:bdr w:val="nil"/>
        </w:rPr>
        <w:t>•</w:t>
      </w:r>
      <w:r w:rsidRPr="00483479">
        <w:rPr>
          <w:noProof/>
        </w:rPr>
        <w:tab/>
      </w:r>
      <w:r w:rsidRPr="00483479">
        <w:rPr>
          <w:noProof/>
          <w:u w:color="000000"/>
          <w:bdr w:val="nil"/>
        </w:rPr>
        <w:t>Консултации със заинтересованите страни</w:t>
      </w:r>
    </w:p>
    <w:p w14:paraId="55EC15BB" w14:textId="7FB1BFAD" w:rsidR="008161F9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>Настоящата инициатива е предложена в резултат на двустранна дискусия със съответните национални органи и браншови организации, които са изразили голяма загриженост поради риска от прекъсвания на текущите или бъдещите клинични изпитвания поради изискванията за внос на изпитвани лекарствени продукти.</w:t>
      </w:r>
    </w:p>
    <w:p w14:paraId="78217D0D" w14:textId="77777777" w:rsidR="001932BA" w:rsidRPr="00483479" w:rsidRDefault="001932BA" w:rsidP="006957A9">
      <w:pPr>
        <w:pStyle w:val="Text1"/>
        <w:rPr>
          <w:noProof/>
          <w:color w:val="000000" w:themeColor="text1"/>
        </w:rPr>
      </w:pPr>
      <w:r w:rsidRPr="00483479">
        <w:rPr>
          <w:noProof/>
          <w:color w:val="000000" w:themeColor="text1"/>
        </w:rPr>
        <w:t>Като се има предвид, че са проведени целеви консултации със засегнатите държави членки и заинтересованите страни, няма да се провежда друга открита обществена консултация.</w:t>
      </w:r>
    </w:p>
    <w:p w14:paraId="5D0A90F5" w14:textId="77777777" w:rsidR="008161F9" w:rsidRPr="00483479" w:rsidRDefault="008161F9" w:rsidP="00A4693B">
      <w:pPr>
        <w:pStyle w:val="ManualHeading2"/>
        <w:rPr>
          <w:rFonts w:eastAsia="Arial Unicode MS"/>
          <w:noProof/>
          <w:u w:color="000000"/>
          <w:bdr w:val="nil"/>
        </w:rPr>
      </w:pPr>
      <w:r w:rsidRPr="00483479">
        <w:rPr>
          <w:noProof/>
          <w:u w:color="000000"/>
          <w:bdr w:val="nil"/>
        </w:rPr>
        <w:t>•</w:t>
      </w:r>
      <w:r w:rsidRPr="00483479">
        <w:rPr>
          <w:noProof/>
        </w:rPr>
        <w:tab/>
      </w:r>
      <w:r w:rsidRPr="00483479">
        <w:rPr>
          <w:noProof/>
          <w:u w:color="000000"/>
          <w:bdr w:val="nil"/>
        </w:rPr>
        <w:t>Оценка на въздействието</w:t>
      </w:r>
    </w:p>
    <w:p w14:paraId="1A0FE887" w14:textId="16DE5946" w:rsidR="001932BA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>Предложението е освободено от оценката на въздействието поради спешността на ситуацията, за да се гарантира общественото здраве чрез непрекъснатост на доставките на изпитвани лекарствени продукти за клинични изпитвания в Северна Ирландия и на малките пазари на държавите — членки на ЕС, които са зависими от Обединеното кралство за своите доставки.</w:t>
      </w:r>
    </w:p>
    <w:p w14:paraId="2E677648" w14:textId="77777777" w:rsidR="008161F9" w:rsidRPr="00483479" w:rsidRDefault="008161F9" w:rsidP="00A4693B">
      <w:pPr>
        <w:pStyle w:val="ManualHeading2"/>
        <w:rPr>
          <w:rFonts w:eastAsia="Arial Unicode MS"/>
          <w:noProof/>
          <w:u w:color="000000"/>
          <w:bdr w:val="nil"/>
        </w:rPr>
      </w:pPr>
      <w:r w:rsidRPr="00483479">
        <w:rPr>
          <w:noProof/>
          <w:u w:color="000000"/>
          <w:bdr w:val="nil"/>
        </w:rPr>
        <w:t>•</w:t>
      </w:r>
      <w:r w:rsidRPr="00483479">
        <w:rPr>
          <w:noProof/>
        </w:rPr>
        <w:tab/>
      </w:r>
      <w:r w:rsidRPr="00483479">
        <w:rPr>
          <w:noProof/>
          <w:u w:color="000000"/>
          <w:bdr w:val="nil"/>
        </w:rPr>
        <w:t>Пригодност и опростяване на законодателството</w:t>
      </w:r>
    </w:p>
    <w:p w14:paraId="356148A2" w14:textId="4319A928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 xml:space="preserve">Чрез отмяна на някои регулаторни изисквания за внос на изпитвани лекарствени продукти, при условие че са изпълнени някои условия, с предложението се намаляват разходите за привеждане в съответствие, по-специално що се отнася до МСП. </w:t>
      </w:r>
    </w:p>
    <w:p w14:paraId="70CF3BEF" w14:textId="77777777" w:rsidR="008161F9" w:rsidRPr="00483479" w:rsidRDefault="008161F9" w:rsidP="00A4693B">
      <w:pPr>
        <w:pStyle w:val="ManualHeading2"/>
        <w:rPr>
          <w:rFonts w:eastAsia="Arial Unicode MS"/>
          <w:noProof/>
          <w:u w:color="000000"/>
          <w:bdr w:val="nil"/>
        </w:rPr>
      </w:pPr>
      <w:r w:rsidRPr="00483479">
        <w:rPr>
          <w:noProof/>
          <w:u w:color="000000"/>
          <w:bdr w:val="nil"/>
        </w:rPr>
        <w:t>•</w:t>
      </w:r>
      <w:r w:rsidRPr="00483479">
        <w:rPr>
          <w:noProof/>
        </w:rPr>
        <w:tab/>
      </w:r>
      <w:r w:rsidRPr="00483479">
        <w:rPr>
          <w:noProof/>
          <w:u w:color="000000"/>
          <w:bdr w:val="nil"/>
        </w:rPr>
        <w:t>Основни права</w:t>
      </w:r>
    </w:p>
    <w:p w14:paraId="5DD433C6" w14:textId="4C71F743" w:rsidR="00F55B01" w:rsidRPr="00483479" w:rsidRDefault="00F55B01" w:rsidP="006957A9">
      <w:pPr>
        <w:pStyle w:val="Text1"/>
        <w:rPr>
          <w:noProof/>
        </w:rPr>
      </w:pPr>
      <w:r w:rsidRPr="00483479">
        <w:rPr>
          <w:noProof/>
        </w:rPr>
        <w:t xml:space="preserve">Предложеният регламент допринася за постигане на висока степен на закрила на човешкото здраве, както е предвидено в член 35 от Хартата на основните права на Европейския съюз. </w:t>
      </w:r>
    </w:p>
    <w:p w14:paraId="6CF027CA" w14:textId="77777777" w:rsidR="008161F9" w:rsidRPr="00483479" w:rsidRDefault="008161F9" w:rsidP="00550536">
      <w:pPr>
        <w:pStyle w:val="ManualHeading1"/>
        <w:rPr>
          <w:noProof/>
        </w:rPr>
      </w:pPr>
      <w:r w:rsidRPr="00483479">
        <w:rPr>
          <w:noProof/>
        </w:rPr>
        <w:t>4.</w:t>
      </w:r>
      <w:r w:rsidRPr="00483479">
        <w:rPr>
          <w:noProof/>
        </w:rPr>
        <w:tab/>
        <w:t>ОТРАЖЕНИЕ ВЪРХУ БЮДЖЕТА</w:t>
      </w:r>
    </w:p>
    <w:p w14:paraId="00741AA1" w14:textId="1E65BA35" w:rsidR="00F55B01" w:rsidRPr="00483479" w:rsidRDefault="00F55B01" w:rsidP="006957A9">
      <w:pPr>
        <w:pStyle w:val="Text1"/>
        <w:rPr>
          <w:rFonts w:eastAsia="Arial Unicode MS"/>
          <w:noProof/>
        </w:rPr>
      </w:pPr>
      <w:r w:rsidRPr="00483479">
        <w:rPr>
          <w:noProof/>
        </w:rPr>
        <w:t xml:space="preserve">Не са предвидени отражения върху бюджета. </w:t>
      </w:r>
    </w:p>
    <w:p w14:paraId="70668049" w14:textId="77777777" w:rsidR="008161F9" w:rsidRPr="00483479" w:rsidRDefault="008161F9" w:rsidP="00550536">
      <w:pPr>
        <w:pStyle w:val="ManualHeading1"/>
        <w:rPr>
          <w:noProof/>
        </w:rPr>
      </w:pPr>
      <w:r w:rsidRPr="00483479">
        <w:rPr>
          <w:noProof/>
        </w:rPr>
        <w:t>5.</w:t>
      </w:r>
      <w:r w:rsidRPr="00483479">
        <w:rPr>
          <w:noProof/>
        </w:rPr>
        <w:tab/>
        <w:t>ДРУГИ ЕЛЕМЕНТИ</w:t>
      </w:r>
    </w:p>
    <w:p w14:paraId="275474EB" w14:textId="77777777" w:rsidR="008161F9" w:rsidRPr="00483479" w:rsidRDefault="008161F9" w:rsidP="00A4693B">
      <w:pPr>
        <w:pStyle w:val="ManualHeading2"/>
        <w:rPr>
          <w:rFonts w:eastAsia="Arial Unicode MS"/>
          <w:noProof/>
          <w:u w:color="000000"/>
          <w:bdr w:val="nil"/>
        </w:rPr>
      </w:pPr>
      <w:r w:rsidRPr="00483479">
        <w:rPr>
          <w:noProof/>
          <w:u w:color="000000"/>
          <w:bdr w:val="nil"/>
        </w:rPr>
        <w:t>•</w:t>
      </w:r>
      <w:r w:rsidRPr="00483479">
        <w:rPr>
          <w:noProof/>
        </w:rPr>
        <w:tab/>
      </w:r>
      <w:r w:rsidRPr="00483479">
        <w:rPr>
          <w:noProof/>
          <w:u w:color="000000"/>
          <w:bdr w:val="nil"/>
        </w:rPr>
        <w:t>Планове за изпълнение и механизми за мониторинг, оценка и докладване</w:t>
      </w:r>
    </w:p>
    <w:p w14:paraId="1845AC6D" w14:textId="2F8A56BE" w:rsidR="009A3AA4" w:rsidRPr="00483479" w:rsidRDefault="009A3AA4" w:rsidP="006957A9">
      <w:pPr>
        <w:pStyle w:val="Text1"/>
        <w:rPr>
          <w:noProof/>
        </w:rPr>
      </w:pPr>
      <w:r w:rsidRPr="00483479">
        <w:rPr>
          <w:noProof/>
        </w:rPr>
        <w:t xml:space="preserve">Инициативата се прилага към Обединеното кралство по отношение на Северна Ирландия, която трябва да я приложи и да уведоми Комисията относно плановете за изпълнение, свързани с тази инициатива. Засегнатите държави членки също трябва да предприемат необходимите мерки за изпълнение на инициативата. Комисията ще продължи да наблюдава нейното изпълнение. </w:t>
      </w:r>
    </w:p>
    <w:p w14:paraId="564E4659" w14:textId="77777777" w:rsidR="008161F9" w:rsidRPr="00483479" w:rsidRDefault="008161F9" w:rsidP="00A4693B">
      <w:pPr>
        <w:pStyle w:val="ManualHeading2"/>
        <w:rPr>
          <w:rFonts w:eastAsia="Arial Unicode MS"/>
          <w:noProof/>
          <w:u w:color="000000"/>
          <w:bdr w:val="nil"/>
        </w:rPr>
      </w:pPr>
      <w:r w:rsidRPr="00483479">
        <w:rPr>
          <w:noProof/>
          <w:u w:color="000000"/>
          <w:bdr w:val="nil"/>
        </w:rPr>
        <w:t>•</w:t>
      </w:r>
      <w:r w:rsidRPr="00483479">
        <w:rPr>
          <w:noProof/>
        </w:rPr>
        <w:tab/>
      </w:r>
      <w:r w:rsidRPr="00483479">
        <w:rPr>
          <w:noProof/>
          <w:u w:color="000000"/>
          <w:bdr w:val="nil"/>
        </w:rPr>
        <w:t>Подробно разяснение на специфичните разпоредби на предложението</w:t>
      </w:r>
    </w:p>
    <w:p w14:paraId="792C95C5" w14:textId="77777777" w:rsidR="009A3AA4" w:rsidRPr="00483479" w:rsidRDefault="009A3AA4" w:rsidP="006957A9">
      <w:pPr>
        <w:pStyle w:val="Text1"/>
        <w:rPr>
          <w:noProof/>
        </w:rPr>
      </w:pPr>
      <w:r w:rsidRPr="00483479">
        <w:rPr>
          <w:noProof/>
        </w:rPr>
        <w:t xml:space="preserve">Не е приложимо за настоящото предложение. </w:t>
      </w:r>
    </w:p>
    <w:p w14:paraId="02E1A7F2" w14:textId="77777777" w:rsidR="008161F9" w:rsidRPr="00483479" w:rsidRDefault="008161F9" w:rsidP="00F96E01">
      <w:pPr>
        <w:rPr>
          <w:noProof/>
        </w:rPr>
        <w:sectPr w:rsidR="008161F9" w:rsidRPr="00483479" w:rsidSect="00363562">
          <w:footerReference w:type="default" r:id="rId10"/>
          <w:footerReference w:type="first" r:id="rId11"/>
          <w:footnotePr>
            <w:numRestart w:val="eachSect"/>
          </w:footnotePr>
          <w:pgSz w:w="11907" w:h="16839"/>
          <w:pgMar w:top="1134" w:right="1417" w:bottom="1134" w:left="1417" w:header="709" w:footer="709" w:gutter="0"/>
          <w:cols w:space="708"/>
          <w:docGrid w:linePitch="360"/>
        </w:sectPr>
      </w:pPr>
    </w:p>
    <w:p w14:paraId="4FE150ED" w14:textId="4A3D82A9" w:rsidR="00084D49" w:rsidRDefault="00084D49" w:rsidP="00084D49">
      <w:pPr>
        <w:pStyle w:val="Rfrenceinterinstitutionnelle"/>
        <w:rPr>
          <w:noProof/>
        </w:rPr>
      </w:pPr>
      <w:r w:rsidRPr="00084D49">
        <w:t>2021/0432 (COD)</w:t>
      </w:r>
    </w:p>
    <w:p w14:paraId="25F497C0" w14:textId="03F101DE" w:rsidR="008161F9" w:rsidRPr="00483479" w:rsidRDefault="00483479" w:rsidP="00483479">
      <w:pPr>
        <w:pStyle w:val="Statut"/>
        <w:rPr>
          <w:noProof/>
        </w:rPr>
      </w:pPr>
      <w:r w:rsidRPr="00483479">
        <w:rPr>
          <w:noProof/>
        </w:rPr>
        <w:t>Предложение за</w:t>
      </w:r>
    </w:p>
    <w:p w14:paraId="336E7A5E" w14:textId="6843BF44" w:rsidR="008161F9" w:rsidRPr="00483479" w:rsidRDefault="00483479" w:rsidP="00483479">
      <w:pPr>
        <w:pStyle w:val="Typedudocument"/>
        <w:rPr>
          <w:noProof/>
        </w:rPr>
      </w:pPr>
      <w:r w:rsidRPr="00483479">
        <w:rPr>
          <w:noProof/>
        </w:rPr>
        <w:t>РЕГЛАМЕНТ НА ЕВРОПЕЙСКИЯ ПАРЛАМЕНТ И НА СЪВЕТА</w:t>
      </w:r>
    </w:p>
    <w:p w14:paraId="30593BEB" w14:textId="5F62FB7F" w:rsidR="008161F9" w:rsidRPr="00483479" w:rsidRDefault="00483479" w:rsidP="00483479">
      <w:pPr>
        <w:pStyle w:val="Titreobjet"/>
        <w:rPr>
          <w:noProof/>
        </w:rPr>
      </w:pPr>
      <w:r w:rsidRPr="00483479">
        <w:rPr>
          <w:noProof/>
        </w:rPr>
        <w:t>за изменение на Регламент (ЕС) № 536/2014 по отношение на дерогация от някои задължения, свързани с изпитвани лекарствени продукти, които се предлагат в Обединеното кралство по отношение на Северна Ирландия, както и в Ирландия, Кипър и Малта</w:t>
      </w:r>
    </w:p>
    <w:p w14:paraId="6A5C830E" w14:textId="4A888953" w:rsidR="008161F9" w:rsidRPr="00483479" w:rsidRDefault="00483479" w:rsidP="00483479">
      <w:pPr>
        <w:pStyle w:val="IntrtEEE"/>
        <w:rPr>
          <w:noProof/>
        </w:rPr>
      </w:pPr>
      <w:r w:rsidRPr="00483479">
        <w:rPr>
          <w:noProof/>
        </w:rPr>
        <w:t>(текст от значение за ЕИП)</w:t>
      </w:r>
    </w:p>
    <w:p w14:paraId="7A1CA45F" w14:textId="77777777" w:rsidR="008161F9" w:rsidRPr="00483479" w:rsidRDefault="008161F9" w:rsidP="006D42BA">
      <w:pPr>
        <w:pStyle w:val="Institutionquiagit"/>
        <w:rPr>
          <w:noProof/>
        </w:rPr>
      </w:pPr>
      <w:r w:rsidRPr="00483479">
        <w:rPr>
          <w:noProof/>
        </w:rPr>
        <w:t>ЕВРОПЕЙСКИЯТ ПАРЛАМЕНТ И СЪВЕТЪТ НА ЕВРОПЕЙСКИЯ СЪЮЗ,</w:t>
      </w:r>
    </w:p>
    <w:p w14:paraId="37DACD1E" w14:textId="4119FA13" w:rsidR="008161F9" w:rsidRPr="00483479" w:rsidRDefault="008161F9" w:rsidP="006D42BA">
      <w:pPr>
        <w:rPr>
          <w:noProof/>
        </w:rPr>
      </w:pPr>
      <w:r w:rsidRPr="00483479">
        <w:rPr>
          <w:noProof/>
        </w:rPr>
        <w:t>като взеха предвид Договора за функционирането на Европейския съюз, и по-специално член 114 и член 168, параграф 4, буква в) от него,</w:t>
      </w:r>
    </w:p>
    <w:p w14:paraId="5FFBD46F" w14:textId="77777777" w:rsidR="008161F9" w:rsidRPr="00483479" w:rsidRDefault="008161F9" w:rsidP="006D42BA">
      <w:pPr>
        <w:rPr>
          <w:noProof/>
        </w:rPr>
      </w:pPr>
      <w:r w:rsidRPr="00483479">
        <w:rPr>
          <w:noProof/>
        </w:rPr>
        <w:t>като взеха предвид предложението на Европейската комисия,</w:t>
      </w:r>
    </w:p>
    <w:p w14:paraId="5B118CAD" w14:textId="77777777" w:rsidR="008161F9" w:rsidRPr="00483479" w:rsidRDefault="008161F9" w:rsidP="006D42BA">
      <w:pPr>
        <w:rPr>
          <w:noProof/>
        </w:rPr>
      </w:pPr>
      <w:r w:rsidRPr="00483479">
        <w:rPr>
          <w:noProof/>
        </w:rPr>
        <w:t>след предаване на проекта на законодателния акт на националните парламенти,</w:t>
      </w:r>
    </w:p>
    <w:p w14:paraId="4B4EA755" w14:textId="7588C80B" w:rsidR="008161F9" w:rsidRPr="00483479" w:rsidRDefault="008161F9" w:rsidP="006D42BA">
      <w:pPr>
        <w:rPr>
          <w:noProof/>
        </w:rPr>
      </w:pPr>
      <w:r w:rsidRPr="00483479">
        <w:rPr>
          <w:noProof/>
        </w:rPr>
        <w:t>като взеха предвид становището на Европейския икономически и социален комитет</w:t>
      </w:r>
      <w:r w:rsidRPr="00483479">
        <w:rPr>
          <w:rStyle w:val="FootnoteReference"/>
          <w:noProof/>
        </w:rPr>
        <w:footnoteReference w:id="7"/>
      </w:r>
      <w:r w:rsidRPr="00483479">
        <w:rPr>
          <w:noProof/>
        </w:rPr>
        <w:t xml:space="preserve">, </w:t>
      </w:r>
    </w:p>
    <w:p w14:paraId="23764398" w14:textId="1B6F51DF" w:rsidR="008161F9" w:rsidRPr="00483479" w:rsidRDefault="008161F9" w:rsidP="006D42BA">
      <w:pPr>
        <w:rPr>
          <w:noProof/>
        </w:rPr>
      </w:pPr>
      <w:r w:rsidRPr="00483479">
        <w:rPr>
          <w:noProof/>
        </w:rPr>
        <w:t>като взеха предвид становището на Комитета на регионите</w:t>
      </w:r>
      <w:r w:rsidRPr="00483479">
        <w:rPr>
          <w:rStyle w:val="FootnoteReference"/>
          <w:noProof/>
        </w:rPr>
        <w:footnoteReference w:id="8"/>
      </w:r>
      <w:r w:rsidRPr="00483479">
        <w:rPr>
          <w:noProof/>
        </w:rPr>
        <w:t xml:space="preserve">, </w:t>
      </w:r>
    </w:p>
    <w:p w14:paraId="0B0BDE49" w14:textId="77777777" w:rsidR="008161F9" w:rsidRPr="00483479" w:rsidRDefault="008161F9" w:rsidP="006D42BA">
      <w:pPr>
        <w:rPr>
          <w:noProof/>
        </w:rPr>
      </w:pPr>
      <w:r w:rsidRPr="00483479">
        <w:rPr>
          <w:noProof/>
        </w:rPr>
        <w:t>в съответствие с обикновената законодателна процедура,</w:t>
      </w:r>
    </w:p>
    <w:p w14:paraId="615B559C" w14:textId="77777777" w:rsidR="008161F9" w:rsidRPr="00483479" w:rsidRDefault="008161F9" w:rsidP="006D42BA">
      <w:pPr>
        <w:rPr>
          <w:noProof/>
        </w:rPr>
      </w:pPr>
      <w:r w:rsidRPr="00483479">
        <w:rPr>
          <w:noProof/>
        </w:rPr>
        <w:t>като имат предвид, че:</w:t>
      </w:r>
    </w:p>
    <w:p w14:paraId="07F01944" w14:textId="0023DE5B" w:rsidR="00683282" w:rsidRPr="00483479" w:rsidRDefault="00814A9E" w:rsidP="00814A9E">
      <w:pPr>
        <w:pStyle w:val="ManualConsidrant"/>
        <w:rPr>
          <w:noProof/>
        </w:rPr>
      </w:pPr>
      <w:r w:rsidRPr="00814A9E">
        <w:t>(1)</w:t>
      </w:r>
      <w:r w:rsidRPr="00814A9E">
        <w:tab/>
      </w:r>
      <w:r w:rsidR="00683282" w:rsidRPr="00483479">
        <w:rPr>
          <w:noProof/>
        </w:rPr>
        <w:t>Споразумението за оттеглянето на Обединеното кралство Великобритания и Северна Ирландия от Европейския съюз и Европейската общност за атомна енергия</w:t>
      </w:r>
      <w:r w:rsidR="00683282" w:rsidRPr="00483479">
        <w:rPr>
          <w:rStyle w:val="FootnoteReference"/>
          <w:noProof/>
        </w:rPr>
        <w:footnoteReference w:id="9"/>
      </w:r>
      <w:r w:rsidR="00683282" w:rsidRPr="00483479">
        <w:rPr>
          <w:noProof/>
        </w:rPr>
        <w:t xml:space="preserve"> („Споразумението за оттегляне“) беше сключено от името на Съюза с Решение (ЕС) 2020/135</w:t>
      </w:r>
      <w:hyperlink r:id="rId12" w:anchor="ntr2-L_2020432EN.01000101-E0002" w:history="1">
        <w:r w:rsidR="00683282" w:rsidRPr="00483479">
          <w:rPr>
            <w:rStyle w:val="FootnoteReference"/>
            <w:noProof/>
          </w:rPr>
          <w:footnoteReference w:id="10"/>
        </w:r>
      </w:hyperlink>
      <w:r w:rsidR="00683282" w:rsidRPr="00483479">
        <w:rPr>
          <w:noProof/>
        </w:rPr>
        <w:t xml:space="preserve"> на Съвета и влезе в сила на 1 февруари 2020 г. Преходният период, посочен в член 126 от Споразумението за оттегляне, през който правото на Съюза продължаваше да се прилага към и в Обединеното кралство в съответствие с член 127 от Споразумението за оттегляне („преходният период“), изтече на 31 декември 2020 г. На 25 януари 2021 г. Комисията публикува Известие</w:t>
      </w:r>
      <w:r w:rsidR="00683282" w:rsidRPr="00483479">
        <w:rPr>
          <w:rStyle w:val="FootnoteReference"/>
          <w:noProof/>
        </w:rPr>
        <w:footnoteReference w:id="11"/>
      </w:r>
      <w:r w:rsidR="00683282" w:rsidRPr="00483479">
        <w:rPr>
          <w:noProof/>
        </w:rPr>
        <w:t xml:space="preserve"> („Известието“) относно прилагането на достиженията на правото на Съюза във фармацевтичната област на пазари, които са зависими в исторически план от доставката на лекарства от или през Великобритания (т.е. Кипър, Ирландия, Малта и Северна Ирландия), след края на преходния период. Известието включва обяснения на начина, по който Комисията ще прилага достиженията на правото на Съюза във фармацевтичната област на тези пазари във връзка с изпитваните лекарствени продукти. Известието следва да спре да се прилага на 31 декември 2021 г. </w:t>
      </w:r>
    </w:p>
    <w:p w14:paraId="21060625" w14:textId="7BB5950C" w:rsidR="008161F9" w:rsidRPr="00483479" w:rsidRDefault="00814A9E" w:rsidP="00814A9E">
      <w:pPr>
        <w:pStyle w:val="ManualConsidrant"/>
        <w:rPr>
          <w:noProof/>
        </w:rPr>
      </w:pPr>
      <w:r w:rsidRPr="00814A9E">
        <w:t>(2)</w:t>
      </w:r>
      <w:r w:rsidRPr="00814A9E">
        <w:tab/>
      </w:r>
      <w:r w:rsidR="00683282" w:rsidRPr="00483479">
        <w:rPr>
          <w:noProof/>
        </w:rPr>
        <w:t>В съответствие с Протокола за Ирландия/Северна Ирландия, който представлява неразделна част от Споразумението за оттегляне, изпитваните лекарствени продукти, използвани в клинични изпитвания в Северна Ирландия, трябва да бъдат в съответствие с правото на Съюза.</w:t>
      </w:r>
    </w:p>
    <w:p w14:paraId="7F267502" w14:textId="4E2850EE" w:rsidR="00683282" w:rsidRPr="00483479" w:rsidRDefault="00814A9E" w:rsidP="00814A9E">
      <w:pPr>
        <w:pStyle w:val="ManualConsidrant"/>
        <w:rPr>
          <w:noProof/>
        </w:rPr>
      </w:pPr>
      <w:r w:rsidRPr="00814A9E">
        <w:t>(3)</w:t>
      </w:r>
      <w:r w:rsidRPr="00814A9E">
        <w:tab/>
      </w:r>
      <w:r w:rsidR="00683282" w:rsidRPr="00483479">
        <w:rPr>
          <w:noProof/>
        </w:rPr>
        <w:t>С Регламент (ЕС) № 536/2014 на Европейския парламент и на Съвета</w:t>
      </w:r>
      <w:r w:rsidR="00683282" w:rsidRPr="00483479">
        <w:rPr>
          <w:rStyle w:val="FootnoteReference"/>
          <w:noProof/>
        </w:rPr>
        <w:footnoteReference w:id="12"/>
      </w:r>
      <w:r w:rsidR="00683282" w:rsidRPr="00483479">
        <w:rPr>
          <w:noProof/>
        </w:rPr>
        <w:t xml:space="preserve"> се установяват правилата за изпитваните лекарствени продукти, предназначени да се използват в клинични изпитвания в Съюза. Посоченият регламент се прилага от 31 януари 2022 г.</w:t>
      </w:r>
    </w:p>
    <w:p w14:paraId="3C86864E" w14:textId="74A3E22A" w:rsidR="007F4D72" w:rsidRPr="00483479" w:rsidRDefault="00814A9E" w:rsidP="00814A9E">
      <w:pPr>
        <w:pStyle w:val="ManualConsidrant"/>
        <w:rPr>
          <w:noProof/>
        </w:rPr>
      </w:pPr>
      <w:r w:rsidRPr="00814A9E">
        <w:t>(4)</w:t>
      </w:r>
      <w:r w:rsidRPr="00814A9E">
        <w:tab/>
      </w:r>
      <w:r w:rsidR="00683282" w:rsidRPr="00483479">
        <w:rPr>
          <w:noProof/>
        </w:rPr>
        <w:t xml:space="preserve">В съответствие с член 61, параграф 1 от Регламент (ЕС) № 536/2014 във връзка с Протокола за Ирландия/Северна Ирландия за вноса на изпитвани лекарствени продукти от трети държави в Съюза или в Северна Ирландия е необходимо разрешение за производство и внос. Кипър, Ирландия, Малта и Северна Ирландия са зависими в исторически план от доставките на лекарствени продукти, включително на изпитвани лекарствени продукти, от или през части от Обединеното кралство, различни от Северна Ирландия, а веригите за доставки за тези пазари все още не са изцяло адаптирани, така че да са в съответствие с правото на Съюза. За да се гарантира, че участниците в клинични изпитвания в Кипър, Ирландия, Малта и Северна Ирландия продължават да имат достъп до нови, иновативни или подобрени лечения, е необходимо Регламент (ЕС) № 536/2014 да се измени, за да се осигури дерогация от изискването за разрешение за производство и внос за изпитвани лекарствени продукти, </w:t>
      </w:r>
      <w:r w:rsidR="00683282" w:rsidRPr="00483479">
        <w:rPr>
          <w:noProof/>
          <w:szCs w:val="24"/>
          <w:shd w:val="clear" w:color="auto" w:fill="FFFFFF"/>
        </w:rPr>
        <w:t>внесени на тази пазари от части от Обединеното кралство, различни от Северна Ирландия. Както за да се гарантира качеството на тези изпитвани лекарствени продукт, така и за да се избегне компромис с целостта на вътрешния пазар обаче, следва да се определят някои условия.</w:t>
      </w:r>
      <w:r w:rsidR="00683282" w:rsidRPr="00483479">
        <w:rPr>
          <w:noProof/>
        </w:rPr>
        <w:t xml:space="preserve"> </w:t>
      </w:r>
    </w:p>
    <w:p w14:paraId="56ACD474" w14:textId="0387325E" w:rsidR="007F4D72" w:rsidRPr="00483479" w:rsidRDefault="00814A9E" w:rsidP="00814A9E">
      <w:pPr>
        <w:pStyle w:val="ManualConsidrant"/>
        <w:rPr>
          <w:noProof/>
          <w:color w:val="444444"/>
          <w:szCs w:val="24"/>
          <w:shd w:val="clear" w:color="auto" w:fill="FFFFFF"/>
        </w:rPr>
      </w:pPr>
      <w:r w:rsidRPr="00814A9E">
        <w:t>(5)</w:t>
      </w:r>
      <w:r w:rsidRPr="00814A9E">
        <w:tab/>
      </w:r>
      <w:r w:rsidR="007F4D72" w:rsidRPr="00483479">
        <w:rPr>
          <w:noProof/>
        </w:rPr>
        <w:t xml:space="preserve">Поради това Регламент (ЕС) № 536/2014 </w:t>
      </w:r>
      <w:r w:rsidR="007F4D72" w:rsidRPr="00483479">
        <w:rPr>
          <w:noProof/>
          <w:szCs w:val="24"/>
          <w:shd w:val="clear" w:color="auto" w:fill="FFFFFF"/>
        </w:rPr>
        <w:t>следва да бъде съответно изменен.</w:t>
      </w:r>
    </w:p>
    <w:p w14:paraId="0163B714" w14:textId="52F7B27C" w:rsidR="00683282" w:rsidRPr="00483479" w:rsidRDefault="00814A9E" w:rsidP="00814A9E">
      <w:pPr>
        <w:pStyle w:val="ManualConsidrant"/>
        <w:rPr>
          <w:noProof/>
        </w:rPr>
      </w:pPr>
      <w:r w:rsidRPr="00814A9E">
        <w:t>(6)</w:t>
      </w:r>
      <w:r w:rsidRPr="00814A9E">
        <w:tab/>
      </w:r>
      <w:r w:rsidR="00683282" w:rsidRPr="00483479">
        <w:rPr>
          <w:noProof/>
        </w:rPr>
        <w:t xml:space="preserve">Предвид изискването за единно прилагане на правото на Съюза в държавите членки приложимите в Кипър, Ирландия и Малта дерогации следва да бъдат само временни по характер. </w:t>
      </w:r>
    </w:p>
    <w:p w14:paraId="23115E29" w14:textId="555C5A0E" w:rsidR="00D35191" w:rsidRPr="00483479" w:rsidRDefault="00814A9E" w:rsidP="00814A9E">
      <w:pPr>
        <w:pStyle w:val="ManualConsidrant"/>
        <w:rPr>
          <w:noProof/>
          <w:szCs w:val="24"/>
        </w:rPr>
      </w:pPr>
      <w:r w:rsidRPr="00814A9E">
        <w:t>(7)</w:t>
      </w:r>
      <w:r w:rsidRPr="00814A9E">
        <w:tab/>
      </w:r>
      <w:r w:rsidR="00D35191" w:rsidRPr="00483479">
        <w:rPr>
          <w:noProof/>
        </w:rPr>
        <w:t xml:space="preserve">За да се осигури правна приемственост за операторите, които осъществяват дейност в този сектор, и за да се гарантира непрекъснатият достъп на участниците в клинични изпитвания в Кипър, Малта, Ирландия и Северна Ирландия до изпитвани лекарствени продукти от датата на прилагане на Регламент (ЕС) № 536/2014, настоящият регламент следва да влезе в сила незабавно и да се прилага с обратна сила от датата, на която стане приложим Регламент (ЕС) 536/2014, </w:t>
      </w:r>
    </w:p>
    <w:p w14:paraId="27CD82A7" w14:textId="293AFB92" w:rsidR="008161F9" w:rsidRPr="00483479" w:rsidRDefault="008161F9" w:rsidP="006D42BA">
      <w:pPr>
        <w:pStyle w:val="Formuledadoption"/>
        <w:rPr>
          <w:noProof/>
        </w:rPr>
      </w:pPr>
      <w:r w:rsidRPr="00483479">
        <w:rPr>
          <w:noProof/>
        </w:rPr>
        <w:t>ПРИЕХА НАСТОЯЩИЯ РЕГЛАМЕНТ:</w:t>
      </w:r>
    </w:p>
    <w:p w14:paraId="121A0515" w14:textId="77777777" w:rsidR="008161F9" w:rsidRPr="00483479" w:rsidRDefault="008161F9" w:rsidP="006D42BA">
      <w:pPr>
        <w:pStyle w:val="Titrearticle"/>
        <w:rPr>
          <w:noProof/>
        </w:rPr>
      </w:pPr>
      <w:r w:rsidRPr="00483479">
        <w:rPr>
          <w:noProof/>
        </w:rPr>
        <w:t>Член 1</w:t>
      </w:r>
    </w:p>
    <w:p w14:paraId="0B41A3E4" w14:textId="77777777" w:rsidR="00683282" w:rsidRPr="00483479" w:rsidRDefault="00683282" w:rsidP="00683282">
      <w:pPr>
        <w:rPr>
          <w:noProof/>
        </w:rPr>
      </w:pPr>
      <w:r w:rsidRPr="00483479">
        <w:rPr>
          <w:noProof/>
        </w:rPr>
        <w:t>В член 61, параграф 1 от Регламент 536/2014 се добавя следната алинея:</w:t>
      </w:r>
    </w:p>
    <w:p w14:paraId="70390A36" w14:textId="45C5CE78" w:rsidR="00683282" w:rsidRPr="00483479" w:rsidRDefault="00683282" w:rsidP="00683282">
      <w:pPr>
        <w:rPr>
          <w:noProof/>
          <w:shd w:val="clear" w:color="auto" w:fill="FFFFFF"/>
        </w:rPr>
      </w:pPr>
      <w:r w:rsidRPr="00483479">
        <w:rPr>
          <w:noProof/>
          <w:shd w:val="clear" w:color="auto" w:fill="FFFFFF"/>
        </w:rPr>
        <w:t xml:space="preserve">„За вноса на изпитвани лекарствени продукти от други части на Обединеното кралство в Северна Ирландия, а до 31 декември 2024 г. в Кипър, Ирландия и Малта обаче няма да бъде необходимо разрешение за производство и внос, при условие че са изпълнени следните условия: </w:t>
      </w:r>
    </w:p>
    <w:p w14:paraId="5749B626" w14:textId="69ABDB6F" w:rsidR="00683282" w:rsidRPr="00483479" w:rsidRDefault="006957A9" w:rsidP="006957A9">
      <w:pPr>
        <w:pStyle w:val="Point0"/>
        <w:rPr>
          <w:noProof/>
          <w:shd w:val="clear" w:color="auto" w:fill="FFFFFF"/>
        </w:rPr>
      </w:pPr>
      <w:r w:rsidRPr="00483479">
        <w:rPr>
          <w:noProof/>
          <w:shd w:val="clear" w:color="auto" w:fill="FFFFFF"/>
        </w:rPr>
        <w:t>а)</w:t>
      </w:r>
      <w:r w:rsidRPr="00483479">
        <w:rPr>
          <w:noProof/>
        </w:rPr>
        <w:tab/>
      </w:r>
      <w:r w:rsidRPr="00483479">
        <w:rPr>
          <w:noProof/>
          <w:shd w:val="clear" w:color="auto" w:fill="FFFFFF"/>
        </w:rPr>
        <w:t>изпитваните лекарствени продукти са преминали сертифициране за освобождаване на партида или в Съюза, или в части от Обединеното кралство, различни от Северна Ирландия, за да се провери съответствието с изискванията, изложени в член 63, параграф 1;</w:t>
      </w:r>
      <w:r w:rsidRPr="00483479">
        <w:rPr>
          <w:b/>
          <w:bCs/>
          <w:i/>
          <w:iCs/>
          <w:noProof/>
          <w:shd w:val="clear" w:color="auto" w:fill="FFFFFF"/>
        </w:rPr>
        <w:t xml:space="preserve"> </w:t>
      </w:r>
    </w:p>
    <w:p w14:paraId="41DDA573" w14:textId="23D662C0" w:rsidR="00683282" w:rsidRPr="00483479" w:rsidRDefault="006957A9" w:rsidP="006957A9">
      <w:pPr>
        <w:pStyle w:val="Point0"/>
        <w:rPr>
          <w:noProof/>
          <w:shd w:val="clear" w:color="auto" w:fill="FFFFFF"/>
        </w:rPr>
      </w:pPr>
      <w:r w:rsidRPr="00483479">
        <w:rPr>
          <w:noProof/>
          <w:shd w:val="clear" w:color="auto" w:fill="FFFFFF"/>
        </w:rPr>
        <w:t>б)</w:t>
      </w:r>
      <w:r w:rsidRPr="00483479">
        <w:rPr>
          <w:noProof/>
        </w:rPr>
        <w:tab/>
      </w:r>
      <w:r w:rsidRPr="00483479">
        <w:rPr>
          <w:noProof/>
          <w:shd w:val="clear" w:color="auto" w:fill="FFFFFF"/>
        </w:rPr>
        <w:t>изпитваните лекарствени продукти се предлагат единствено на участници в клинични изпитвания в държавата членка, в която са внесени лекарствените продукти, или, ако те са внесени в Северна Ирландия, се предоставят единствено на участници в клинични изпитвания в Северна Ирландия.“.</w:t>
      </w:r>
    </w:p>
    <w:p w14:paraId="6F20F7DA" w14:textId="77777777" w:rsidR="008161F9" w:rsidRPr="00483479" w:rsidRDefault="008161F9" w:rsidP="006D42BA">
      <w:pPr>
        <w:pStyle w:val="Titrearticle"/>
        <w:rPr>
          <w:noProof/>
        </w:rPr>
      </w:pPr>
      <w:r w:rsidRPr="00483479">
        <w:rPr>
          <w:noProof/>
        </w:rPr>
        <w:t>Член 2</w:t>
      </w:r>
    </w:p>
    <w:p w14:paraId="5ED1668C" w14:textId="77777777" w:rsidR="008161F9" w:rsidRPr="00483479" w:rsidRDefault="008161F9" w:rsidP="006D42BA">
      <w:pPr>
        <w:rPr>
          <w:noProof/>
        </w:rPr>
      </w:pPr>
      <w:r w:rsidRPr="00483479">
        <w:rPr>
          <w:noProof/>
        </w:rPr>
        <w:t xml:space="preserve">Настоящият регламент влиза в сила в деня след деня на публикуването му в </w:t>
      </w:r>
      <w:r w:rsidRPr="00483479">
        <w:rPr>
          <w:i/>
          <w:noProof/>
        </w:rPr>
        <w:t>Официален вестник на Европейския съюз</w:t>
      </w:r>
      <w:r w:rsidRPr="00483479">
        <w:rPr>
          <w:noProof/>
        </w:rPr>
        <w:t>.</w:t>
      </w:r>
    </w:p>
    <w:p w14:paraId="2257E88C" w14:textId="732B6E35" w:rsidR="004C4E02" w:rsidRPr="00483479" w:rsidRDefault="004C4E02" w:rsidP="004C4E02">
      <w:pPr>
        <w:rPr>
          <w:noProof/>
        </w:rPr>
      </w:pPr>
      <w:r w:rsidRPr="00483479">
        <w:rPr>
          <w:noProof/>
        </w:rPr>
        <w:t>То се прилага от 31 януари 2022 г.</w:t>
      </w:r>
    </w:p>
    <w:p w14:paraId="6B34F5E3" w14:textId="3BB5308F" w:rsidR="008161F9" w:rsidRPr="00483479" w:rsidRDefault="008161F9" w:rsidP="006D42BA">
      <w:pPr>
        <w:pStyle w:val="Applicationdirecte"/>
        <w:rPr>
          <w:noProof/>
        </w:rPr>
      </w:pPr>
      <w:r w:rsidRPr="00483479">
        <w:rPr>
          <w:noProof/>
        </w:rPr>
        <w:t>Настоящият регламент е задължителен в своята цялост и се прилага пряко във всички държави членки.</w:t>
      </w:r>
    </w:p>
    <w:p w14:paraId="032C06C5" w14:textId="01C285B3" w:rsidR="008161F9" w:rsidRPr="00483479" w:rsidRDefault="00374FD6" w:rsidP="00D63A2B">
      <w:pPr>
        <w:pStyle w:val="Fait"/>
        <w:rPr>
          <w:noProof/>
        </w:rPr>
      </w:pPr>
      <w:r w:rsidRPr="00374FD6">
        <w:t xml:space="preserve">Съставено в Брюксел на </w:t>
      </w:r>
      <w:r w:rsidRPr="00374FD6">
        <w:rPr>
          <w:rStyle w:val="Marker"/>
        </w:rPr>
        <w:t>[…]</w:t>
      </w:r>
      <w:r w:rsidRPr="00374FD6">
        <w:t xml:space="preserve"> година.</w:t>
      </w:r>
    </w:p>
    <w:p w14:paraId="4B0C6B2A" w14:textId="77777777" w:rsidR="008161F9" w:rsidRPr="00483479" w:rsidRDefault="008161F9" w:rsidP="00D63A2B">
      <w:pPr>
        <w:pStyle w:val="Institutionquisigne"/>
        <w:rPr>
          <w:noProof/>
        </w:rPr>
      </w:pPr>
      <w:r w:rsidRPr="00483479">
        <w:rPr>
          <w:noProof/>
        </w:rPr>
        <w:t>За Европейския парламент</w:t>
      </w:r>
      <w:r w:rsidRPr="00483479">
        <w:rPr>
          <w:noProof/>
        </w:rPr>
        <w:tab/>
        <w:t>За Съвета</w:t>
      </w:r>
    </w:p>
    <w:p w14:paraId="3677FB8F" w14:textId="77777777" w:rsidR="008161F9" w:rsidRPr="00483479" w:rsidRDefault="008161F9" w:rsidP="008161F9">
      <w:pPr>
        <w:pStyle w:val="Personnequisigne"/>
        <w:rPr>
          <w:noProof/>
        </w:rPr>
      </w:pPr>
      <w:r w:rsidRPr="00483479">
        <w:rPr>
          <w:noProof/>
        </w:rPr>
        <w:t>Председател</w:t>
      </w:r>
      <w:r w:rsidRPr="00483479">
        <w:rPr>
          <w:noProof/>
        </w:rPr>
        <w:tab/>
        <w:t>Председател</w:t>
      </w:r>
    </w:p>
    <w:sectPr w:rsidR="008161F9" w:rsidRPr="00483479" w:rsidSect="00363562">
      <w:footnotePr>
        <w:numRestart w:val="eachSect"/>
      </w:footnotePr>
      <w:pgSz w:w="11907" w:h="16839"/>
      <w:pgMar w:top="1134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AF57D" w14:textId="77777777" w:rsidR="00A24694" w:rsidRDefault="00A24694" w:rsidP="008161F9">
      <w:pPr>
        <w:spacing w:before="0" w:after="0"/>
      </w:pPr>
      <w:r>
        <w:separator/>
      </w:r>
    </w:p>
  </w:endnote>
  <w:endnote w:type="continuationSeparator" w:id="0">
    <w:p w14:paraId="72794E7E" w14:textId="77777777" w:rsidR="00A24694" w:rsidRDefault="00A24694" w:rsidP="008161F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EU Albertina"/>
    <w:charset w:val="00"/>
    <w:family w:val="auto"/>
    <w:pitch w:val="variable"/>
    <w:sig w:usb0="800002EF" w:usb1="1000E0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B7B85" w14:textId="15E9299B" w:rsidR="00483479" w:rsidRPr="00363562" w:rsidRDefault="00363562" w:rsidP="00363562">
    <w:pPr>
      <w:pStyle w:val="Footer"/>
      <w:rPr>
        <w:rFonts w:ascii="Arial" w:hAnsi="Arial" w:cs="Arial"/>
        <w:b/>
        <w:sz w:val="48"/>
      </w:rPr>
    </w:pPr>
    <w:r w:rsidRPr="00363562">
      <w:rPr>
        <w:rFonts w:ascii="Arial" w:hAnsi="Arial" w:cs="Arial"/>
        <w:b/>
        <w:sz w:val="48"/>
      </w:rPr>
      <w:t>BG</w:t>
    </w:r>
    <w:r w:rsidRPr="00363562">
      <w:rPr>
        <w:rFonts w:ascii="Arial" w:hAnsi="Arial" w:cs="Arial"/>
        <w:b/>
        <w:sz w:val="48"/>
      </w:rPr>
      <w:tab/>
    </w:r>
    <w:r w:rsidRPr="00363562">
      <w:rPr>
        <w:rFonts w:ascii="Arial" w:hAnsi="Arial" w:cs="Arial"/>
        <w:b/>
        <w:sz w:val="48"/>
      </w:rPr>
      <w:tab/>
    </w:r>
    <w:r w:rsidRPr="00363562">
      <w:tab/>
    </w:r>
    <w:r w:rsidRPr="00363562">
      <w:rPr>
        <w:rFonts w:ascii="Arial" w:hAnsi="Arial" w:cs="Arial"/>
        <w:b/>
        <w:sz w:val="48"/>
      </w:rPr>
      <w:t>BG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89B38" w14:textId="062CEF28" w:rsidR="00363562" w:rsidRPr="00363562" w:rsidRDefault="00363562" w:rsidP="00363562">
    <w:pPr>
      <w:pStyle w:val="Footer"/>
      <w:rPr>
        <w:rFonts w:ascii="Arial" w:hAnsi="Arial" w:cs="Arial"/>
        <w:b/>
        <w:sz w:val="48"/>
      </w:rPr>
    </w:pPr>
    <w:r w:rsidRPr="00363562">
      <w:rPr>
        <w:rFonts w:ascii="Arial" w:hAnsi="Arial" w:cs="Arial"/>
        <w:b/>
        <w:sz w:val="48"/>
      </w:rPr>
      <w:t>BG</w:t>
    </w:r>
    <w:r w:rsidRPr="00363562">
      <w:rPr>
        <w:rFonts w:ascii="Arial" w:hAnsi="Arial" w:cs="Arial"/>
        <w:b/>
        <w:sz w:val="48"/>
      </w:rPr>
      <w:tab/>
    </w:r>
    <w:r>
      <w:fldChar w:fldCharType="begin"/>
    </w:r>
    <w:r>
      <w:instrText xml:space="preserve"> PAGE  \* MERGEFORMAT </w:instrText>
    </w:r>
    <w:r>
      <w:fldChar w:fldCharType="separate"/>
    </w:r>
    <w:r w:rsidR="00D63A2B">
      <w:rPr>
        <w:noProof/>
      </w:rPr>
      <w:t>7</w:t>
    </w:r>
    <w:r>
      <w:fldChar w:fldCharType="end"/>
    </w:r>
    <w:r>
      <w:tab/>
    </w:r>
    <w:r w:rsidRPr="00363562">
      <w:tab/>
    </w:r>
    <w:r w:rsidRPr="00363562">
      <w:rPr>
        <w:rFonts w:ascii="Arial" w:hAnsi="Arial" w:cs="Arial"/>
        <w:b/>
        <w:sz w:val="48"/>
      </w:rPr>
      <w:t>BG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938B4" w14:textId="77777777" w:rsidR="00363562" w:rsidRPr="00363562" w:rsidRDefault="00363562" w:rsidP="00363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C8DF9" w14:textId="77777777" w:rsidR="00A24694" w:rsidRDefault="00A24694" w:rsidP="008161F9">
      <w:pPr>
        <w:spacing w:before="0" w:after="0"/>
      </w:pPr>
      <w:r>
        <w:separator/>
      </w:r>
    </w:p>
  </w:footnote>
  <w:footnote w:type="continuationSeparator" w:id="0">
    <w:p w14:paraId="1E21BD78" w14:textId="77777777" w:rsidR="00A24694" w:rsidRDefault="00A24694" w:rsidP="008161F9">
      <w:pPr>
        <w:spacing w:before="0" w:after="0"/>
      </w:pPr>
      <w:r>
        <w:continuationSeparator/>
      </w:r>
    </w:p>
  </w:footnote>
  <w:footnote w:id="1">
    <w:p w14:paraId="52BC55BF" w14:textId="3A51DA13" w:rsidR="00C04DEB" w:rsidRPr="00710DC4" w:rsidRDefault="00C04DEB" w:rsidP="00C04DEB">
      <w:pPr>
        <w:pStyle w:val="FootnoteText"/>
      </w:pPr>
      <w:r>
        <w:rPr>
          <w:rStyle w:val="FootnoteReference"/>
        </w:rPr>
        <w:footnoteRef/>
      </w:r>
      <w:r>
        <w:tab/>
        <w:t>ОВ L 29, 31.1.2020 г., стр. 7.</w:t>
      </w:r>
    </w:p>
  </w:footnote>
  <w:footnote w:id="2">
    <w:p w14:paraId="7404F10B" w14:textId="69072811" w:rsidR="00F55B01" w:rsidRPr="006B10CA" w:rsidRDefault="00F55B01" w:rsidP="00682053">
      <w:pPr>
        <w:pStyle w:val="FootnoteText"/>
      </w:pPr>
      <w:r>
        <w:rPr>
          <w:rStyle w:val="FootnoteReference"/>
        </w:rPr>
        <w:footnoteRef/>
      </w:r>
      <w:r>
        <w:tab/>
        <w:t>Известие на Комисията от 25 януари 2021 г. относно прилагане на достиженията на правото на Съюза във фармацевтичната област след края на преходния период на пазари, които са зависими в исторически план от доставката на лекарства от или през Великобритания, (</w:t>
      </w:r>
      <w:hyperlink r:id="rId1" w:history="1">
        <w:r>
          <w:rPr>
            <w:rStyle w:val="Hyperlink"/>
          </w:rPr>
          <w:t>ОВ C 27, 25.1.2021 г., стр. 11</w:t>
        </w:r>
      </w:hyperlink>
      <w:r>
        <w:rPr>
          <w:rStyle w:val="Hyperlink"/>
        </w:rPr>
        <w:t>)</w:t>
      </w:r>
      <w:r>
        <w:t xml:space="preserve">. </w:t>
      </w:r>
    </w:p>
  </w:footnote>
  <w:footnote w:id="3">
    <w:p w14:paraId="3728F5AE" w14:textId="6F3ABFFE" w:rsidR="0058586E" w:rsidRPr="00710DC4" w:rsidRDefault="0058586E">
      <w:pPr>
        <w:pStyle w:val="FootnoteText"/>
        <w:rPr>
          <w:i/>
        </w:rPr>
      </w:pPr>
      <w:r>
        <w:rPr>
          <w:rStyle w:val="FootnoteReference"/>
        </w:rPr>
        <w:footnoteRef/>
      </w:r>
      <w:r>
        <w:tab/>
      </w:r>
      <w:r>
        <w:rPr>
          <w:shd w:val="clear" w:color="auto" w:fill="FFFFFF"/>
        </w:rPr>
        <w:t>Регламент (ЕС) № 536/2014 на Европейския парламент и на Съвета от 16 април 2014 г. относно клиничните изпитвания на лекарствени продукти за хуманна употреба, и за отмяна на Директива 2001/20/ЕО (</w:t>
      </w:r>
      <w:r>
        <w:t>ОВ L 158, 27.5.2014 г., стр. 1).</w:t>
      </w:r>
      <w:r>
        <w:rPr>
          <w:i/>
          <w:highlight w:val="yellow"/>
        </w:rPr>
        <w:t xml:space="preserve"> </w:t>
      </w:r>
    </w:p>
  </w:footnote>
  <w:footnote w:id="4">
    <w:p w14:paraId="0CA44E91" w14:textId="336EB344" w:rsidR="0058586E" w:rsidRPr="00710DC4" w:rsidRDefault="0058586E">
      <w:pPr>
        <w:pStyle w:val="FootnoteText"/>
        <w:rPr>
          <w:i/>
        </w:rPr>
      </w:pPr>
      <w:r>
        <w:rPr>
          <w:rStyle w:val="FootnoteReference"/>
        </w:rPr>
        <w:footnoteRef/>
      </w:r>
      <w:r>
        <w:tab/>
        <w:t>Известие на Комисията от 25 януари 2021 г. относно прилагане на достиженията на правото на Съюза във фармацевтичната област след края на преходния период на пазари, които са зависими в исторически план от доставката на лекарства от или през Великобритания, (</w:t>
      </w:r>
      <w:hyperlink r:id="rId2" w:history="1">
        <w:r>
          <w:rPr>
            <w:rStyle w:val="Hyperlink"/>
          </w:rPr>
          <w:t>ОВ C 27, 25.1.2021 г., стр. 11</w:t>
        </w:r>
      </w:hyperlink>
      <w:r>
        <w:rPr>
          <w:rStyle w:val="Hyperlink"/>
        </w:rPr>
        <w:t>)</w:t>
      </w:r>
      <w:r>
        <w:t>.</w:t>
      </w:r>
    </w:p>
  </w:footnote>
  <w:footnote w:id="5">
    <w:p w14:paraId="3F50DF9A" w14:textId="48FB5BCE" w:rsidR="008545CB" w:rsidRPr="008545CB" w:rsidRDefault="008545CB">
      <w:pPr>
        <w:pStyle w:val="FootnoteText"/>
        <w:rPr>
          <w:i/>
        </w:rPr>
      </w:pPr>
      <w:r>
        <w:rPr>
          <w:rStyle w:val="FootnoteReference"/>
        </w:rPr>
        <w:footnoteRef/>
      </w:r>
      <w:r>
        <w:tab/>
        <w:t>Директива 2001/20/ЕО на Европейския парламент и на Съвета от 4 април 2001 г. относно сближаване на законовите, подзаконовите и административните разпоредби на държавите членки относно прилагането на добрата клинична практика при провеждането на клинични изпитвания на лекарствени продукти за хуманна употреба, (ОВ L 121, 1.5.2001 г., стр. 34).</w:t>
      </w:r>
    </w:p>
  </w:footnote>
  <w:footnote w:id="6">
    <w:p w14:paraId="3C588035" w14:textId="77777777" w:rsidR="00F55B01" w:rsidRPr="00B42780" w:rsidRDefault="00F55B01" w:rsidP="00F55B01">
      <w:pPr>
        <w:pStyle w:val="FootnoteText"/>
      </w:pPr>
      <w:r>
        <w:rPr>
          <w:rStyle w:val="FootnoteReference"/>
        </w:rPr>
        <w:footnoteRef/>
      </w:r>
      <w:r>
        <w:tab/>
        <w:t>Директива 2001/83/ЕО на Европейския парламент и на Съвета от 6 ноември 2001 г. за утвърждаване на кодекс на Общността относно лекарствени продукти за хуманна употреба (ОВ L 311, 28.11.2001 г., стр. 67).</w:t>
      </w:r>
    </w:p>
  </w:footnote>
  <w:footnote w:id="7">
    <w:p w14:paraId="35438A2F" w14:textId="2A56AF1E" w:rsidR="008161F9" w:rsidRPr="005C5B94" w:rsidRDefault="008161F9" w:rsidP="006D42BA">
      <w:pPr>
        <w:pStyle w:val="FootnoteText"/>
      </w:pPr>
      <w:r>
        <w:rPr>
          <w:rStyle w:val="FootnoteReference"/>
        </w:rPr>
        <w:footnoteRef/>
      </w:r>
      <w:r>
        <w:tab/>
        <w:t>ОВ C , , стр. .</w:t>
      </w:r>
    </w:p>
  </w:footnote>
  <w:footnote w:id="8">
    <w:p w14:paraId="7B190197" w14:textId="1E621605" w:rsidR="008161F9" w:rsidRPr="005C5B94" w:rsidRDefault="008161F9" w:rsidP="006D42BA">
      <w:pPr>
        <w:pStyle w:val="FootnoteText"/>
      </w:pPr>
      <w:r>
        <w:rPr>
          <w:rStyle w:val="FootnoteReference"/>
        </w:rPr>
        <w:footnoteRef/>
      </w:r>
      <w:r>
        <w:tab/>
        <w:t>ОВ C , , стр. .</w:t>
      </w:r>
    </w:p>
  </w:footnote>
  <w:footnote w:id="9">
    <w:p w14:paraId="095EF9DE" w14:textId="73ABC3C0" w:rsidR="00683282" w:rsidRPr="005C5B94" w:rsidRDefault="00683282" w:rsidP="00683282">
      <w:pPr>
        <w:pStyle w:val="FootnoteText"/>
      </w:pPr>
      <w:r>
        <w:rPr>
          <w:rStyle w:val="FootnoteReference"/>
        </w:rPr>
        <w:footnoteRef/>
      </w:r>
      <w:r>
        <w:tab/>
        <w:t>ОВ L 29, 31.1.2020 г., стр. 7.</w:t>
      </w:r>
    </w:p>
  </w:footnote>
  <w:footnote w:id="10">
    <w:p w14:paraId="0BC7CFA6" w14:textId="133C5840" w:rsidR="00683282" w:rsidRPr="00907CE2" w:rsidRDefault="00683282" w:rsidP="006E6C3D">
      <w:pPr>
        <w:pStyle w:val="NormalWeb"/>
        <w:shd w:val="clear" w:color="auto" w:fill="FFFFFF"/>
        <w:spacing w:before="0" w:beforeAutospacing="0" w:after="0" w:afterAutospacing="0"/>
        <w:ind w:left="709" w:hanging="709"/>
        <w:jc w:val="both"/>
        <w:rPr>
          <w:rFonts w:eastAsiaTheme="minorHAnsi"/>
          <w:sz w:val="20"/>
          <w:szCs w:val="20"/>
        </w:rPr>
      </w:pPr>
      <w:r>
        <w:rPr>
          <w:rStyle w:val="FootnoteReference"/>
        </w:rPr>
        <w:footnoteRef/>
      </w:r>
      <w:r>
        <w:tab/>
        <w:t>Решение (ЕС) 2020/135 на Съвета от 30 януари 2020 г. относно сключването на Споразумението за оттегляне на Обединеното кралство Великобритания и Северна Ирландия от Европейския съюз и Европейската общност за атомна енергия (ОВ L 29, 31.1.2020 г., стр. 1).</w:t>
      </w:r>
    </w:p>
  </w:footnote>
  <w:footnote w:id="11">
    <w:p w14:paraId="0B75C86F" w14:textId="037C8AD1" w:rsidR="00683282" w:rsidRPr="00483479" w:rsidRDefault="00683282" w:rsidP="00683282">
      <w:pPr>
        <w:pStyle w:val="FootnoteText"/>
      </w:pPr>
      <w:r>
        <w:rPr>
          <w:rStyle w:val="FootnoteReference"/>
        </w:rPr>
        <w:footnoteRef/>
      </w:r>
      <w:r w:rsidRPr="00483479">
        <w:tab/>
        <w:t>Известие на Комисията — Прилагане на достиженията на правото на Съюза във фармацевтичната област след края на преходния период на пазари, които са зависими в исторически план от доставката на лекарства от или през Великобритания (2021/</w:t>
      </w:r>
      <w:r>
        <w:t>C </w:t>
      </w:r>
      <w:r w:rsidRPr="00483479">
        <w:t xml:space="preserve">27/08) (ОВ </w:t>
      </w:r>
      <w:r>
        <w:t>C </w:t>
      </w:r>
      <w:r w:rsidRPr="00483479">
        <w:t>27, 25.1.2021</w:t>
      </w:r>
      <w:r>
        <w:t> </w:t>
      </w:r>
      <w:r w:rsidRPr="00483479">
        <w:t>г., стр.</w:t>
      </w:r>
      <w:r>
        <w:t> </w:t>
      </w:r>
      <w:r w:rsidRPr="00483479">
        <w:t>11).</w:t>
      </w:r>
    </w:p>
  </w:footnote>
  <w:footnote w:id="12">
    <w:p w14:paraId="4B45980E" w14:textId="113585EA" w:rsidR="006E6C3D" w:rsidRPr="00483479" w:rsidRDefault="006E6C3D">
      <w:pPr>
        <w:pStyle w:val="FootnoteText"/>
      </w:pPr>
      <w:r>
        <w:rPr>
          <w:rStyle w:val="FootnoteReference"/>
        </w:rPr>
        <w:footnoteRef/>
      </w:r>
      <w:r w:rsidRPr="00483479">
        <w:tab/>
      </w:r>
      <w:r w:rsidRPr="00483479">
        <w:rPr>
          <w:shd w:val="clear" w:color="auto" w:fill="FFFFFF"/>
        </w:rPr>
        <w:t>Регламент (ЕС) №</w:t>
      </w:r>
      <w:r>
        <w:rPr>
          <w:shd w:val="clear" w:color="auto" w:fill="FFFFFF"/>
        </w:rPr>
        <w:t> </w:t>
      </w:r>
      <w:r w:rsidRPr="00483479">
        <w:rPr>
          <w:shd w:val="clear" w:color="auto" w:fill="FFFFFF"/>
        </w:rPr>
        <w:t>536/2014 на Европейския парламент и на Съвета от 16</w:t>
      </w:r>
      <w:r>
        <w:rPr>
          <w:shd w:val="clear" w:color="auto" w:fill="FFFFFF"/>
        </w:rPr>
        <w:t> </w:t>
      </w:r>
      <w:r w:rsidRPr="00483479">
        <w:rPr>
          <w:shd w:val="clear" w:color="auto" w:fill="FFFFFF"/>
        </w:rPr>
        <w:t>април 2014</w:t>
      </w:r>
      <w:r>
        <w:rPr>
          <w:shd w:val="clear" w:color="auto" w:fill="FFFFFF"/>
        </w:rPr>
        <w:t> </w:t>
      </w:r>
      <w:r w:rsidRPr="00483479">
        <w:rPr>
          <w:shd w:val="clear" w:color="auto" w:fill="FFFFFF"/>
        </w:rPr>
        <w:t>г. относно клиничните изпитвания на лекарствени продукти за хуманна употреба, и за отмяна на Директива 2001/20/ЕО (</w:t>
      </w:r>
      <w:r w:rsidRPr="00483479">
        <w:t xml:space="preserve">ОВ </w:t>
      </w:r>
      <w:r>
        <w:t>L </w:t>
      </w:r>
      <w:r w:rsidRPr="00483479">
        <w:t>158, 27.5.2014</w:t>
      </w:r>
      <w:r>
        <w:t> </w:t>
      </w:r>
      <w:r w:rsidRPr="00483479">
        <w:t>г., стр.</w:t>
      </w:r>
      <w:r>
        <w:t> </w:t>
      </w:r>
      <w:r w:rsidRPr="00483479">
        <w:t>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5462879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70608A1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5D5E734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D4D203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DC4695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D178A48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6A62903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2E04A1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9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1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7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8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64A12FA4"/>
    <w:multiLevelType w:val="multilevel"/>
    <w:tmpl w:val="428ECF3E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22"/>
    <w:lvlOverride w:ilvl="0">
      <w:startOverride w:val="1"/>
    </w:lvlOverride>
  </w:num>
  <w:num w:numId="6">
    <w:abstractNumId w:val="6"/>
  </w:num>
  <w:num w:numId="7">
    <w:abstractNumId w:val="2"/>
  </w:num>
  <w:num w:numId="8">
    <w:abstractNumId w:val="1"/>
  </w:num>
  <w:num w:numId="9">
    <w:abstractNumId w:val="0"/>
  </w:num>
  <w:num w:numId="10">
    <w:abstractNumId w:val="19"/>
  </w:num>
  <w:num w:numId="11">
    <w:abstractNumId w:val="12"/>
  </w:num>
  <w:num w:numId="12">
    <w:abstractNumId w:val="21"/>
  </w:num>
  <w:num w:numId="13">
    <w:abstractNumId w:val="11"/>
  </w:num>
  <w:num w:numId="14">
    <w:abstractNumId w:val="13"/>
  </w:num>
  <w:num w:numId="15">
    <w:abstractNumId w:val="9"/>
  </w:num>
  <w:num w:numId="16">
    <w:abstractNumId w:val="20"/>
  </w:num>
  <w:num w:numId="17">
    <w:abstractNumId w:val="8"/>
  </w:num>
  <w:num w:numId="18">
    <w:abstractNumId w:val="15"/>
  </w:num>
  <w:num w:numId="19">
    <w:abstractNumId w:val="17"/>
  </w:num>
  <w:num w:numId="20">
    <w:abstractNumId w:val="18"/>
  </w:num>
  <w:num w:numId="21">
    <w:abstractNumId w:val="10"/>
  </w:num>
  <w:num w:numId="22">
    <w:abstractNumId w:val="16"/>
  </w:num>
  <w:num w:numId="23">
    <w:abstractNumId w:val="22"/>
  </w:num>
  <w:num w:numId="24">
    <w:abstractNumId w:val="19"/>
  </w:num>
  <w:num w:numId="25">
    <w:abstractNumId w:val="12"/>
  </w:num>
  <w:num w:numId="26">
    <w:abstractNumId w:val="21"/>
  </w:num>
  <w:num w:numId="27">
    <w:abstractNumId w:val="11"/>
  </w:num>
  <w:num w:numId="28">
    <w:abstractNumId w:val="13"/>
  </w:num>
  <w:num w:numId="29">
    <w:abstractNumId w:val="9"/>
  </w:num>
  <w:num w:numId="30">
    <w:abstractNumId w:val="20"/>
  </w:num>
  <w:num w:numId="31">
    <w:abstractNumId w:val="8"/>
  </w:num>
  <w:num w:numId="32">
    <w:abstractNumId w:val="15"/>
  </w:num>
  <w:num w:numId="33">
    <w:abstractNumId w:val="17"/>
  </w:num>
  <w:num w:numId="34">
    <w:abstractNumId w:val="18"/>
  </w:num>
  <w:num w:numId="35">
    <w:abstractNumId w:val="10"/>
  </w:num>
  <w:num w:numId="36">
    <w:abstractNumId w:val="16"/>
  </w:num>
  <w:num w:numId="37">
    <w:abstractNumId w:val="22"/>
  </w:num>
  <w:num w:numId="38">
    <w:abstractNumId w:val="20"/>
  </w:num>
  <w:num w:numId="39">
    <w:abstractNumId w:val="20"/>
  </w:num>
  <w:num w:numId="40">
    <w:abstractNumId w:val="20"/>
  </w:num>
  <w:num w:numId="41">
    <w:abstractNumId w:val="14"/>
  </w:num>
  <w:num w:numId="42">
    <w:abstractNumId w:val="9"/>
  </w:num>
  <w:num w:numId="43">
    <w:abstractNumId w:val="9"/>
  </w:num>
  <w:num w:numId="44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attachedTemplate r:id="rId1"/>
  <w:revisionView w:markup="0"/>
  <w:defaultTabStop w:val="720"/>
  <w:hyphenationZone w:val="425"/>
  <w:characterSpacingControl w:val="doNotCompress"/>
  <w:hdrShapeDefaults>
    <o:shapedefaults v:ext="edit" spidmax="3891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R_RefLast" w:val="0"/>
    <w:docVar w:name="DQCDateTime" w:val="2022-01-18 09:07:30"/>
    <w:docVar w:name="DQCResult_Distribution" w:val="0;1"/>
    <w:docVar w:name="DQCResult_DocumentContent" w:val="0;0"/>
    <w:docVar w:name="DQCResult_DocumentSize" w:val="0;0"/>
    <w:docVar w:name="DQCResult_DocumentVersions" w:val="0;0"/>
    <w:docVar w:name="DQCResult_InvalidFootnotes" w:val="0;0"/>
    <w:docVar w:name="DQCResult_LinkedStyles" w:val="0;0"/>
    <w:docVar w:name="DQCResult_ModifiedMargins" w:val="0;1"/>
    <w:docVar w:name="DQCResult_ModifiedMarkers" w:val="0;0"/>
    <w:docVar w:name="DQCResult_ModifiedNumbering" w:val="0;0"/>
    <w:docVar w:name="DQCResult_Objects" w:val="0;0"/>
    <w:docVar w:name="DQCResult_Sections" w:val="0;0"/>
    <w:docVar w:name="DQCResult_StructureCheck" w:val="0;0"/>
    <w:docVar w:name="DQCResult_SuperfluousWhitespace" w:val="0;0"/>
    <w:docVar w:name="DQCResult_UnknownFonts" w:val="0;0"/>
    <w:docVar w:name="DQCResult_UnknownStyles" w:val="0;1"/>
    <w:docVar w:name="DQCStatus" w:val="Green"/>
    <w:docVar w:name="DQCVersion" w:val="3"/>
    <w:docVar w:name="DQCWithWarnings" w:val="0"/>
    <w:docVar w:name="LW_CORRIGENDUM" w:val="&lt;UNUSED&gt;"/>
    <w:docVar w:name="LW_COVERPAGE_EXISTS" w:val="True"/>
    <w:docVar w:name="LW_COVERPAGE_GUID" w:val="046A01C0-68A2-48DA-89C9-8C6D9BE6BEA0"/>
    <w:docVar w:name="LW_COVERPAGE_TYPE" w:val="1"/>
    <w:docVar w:name="LW_CROSSREFERENCE" w:val="&lt;UNUSED&gt;"/>
    <w:docVar w:name="LW_DocType" w:val="COM"/>
    <w:docVar w:name="LW_EMISSION" w:val="17.12.2021"/>
    <w:docVar w:name="LW_EMISSION_ISODATE" w:val="2021-12-17"/>
    <w:docVar w:name="LW_EMISSION_LOCATION" w:val="BRX"/>
    <w:docVar w:name="LW_EMISSION_PREFIX" w:val="\u1041?\u1088?\u1102?\u1082?\u1089?\u1077?\u1083?, "/>
    <w:docVar w:name="LW_EMISSION_SUFFIX" w:val=" \u1075?."/>
    <w:docVar w:name="LW_ID_DOCMODEL" w:val="SJ-023"/>
    <w:docVar w:name="LW_ID_DOCSIGNATURE" w:val="SJ-023"/>
    <w:docVar w:name="LW_ID_DOCSTRUCTURE" w:val="COM/PL/ORG"/>
    <w:docVar w:name="LW_ID_DOCTYPE" w:val="SJ-023"/>
    <w:docVar w:name="LW_ID_EXP.MOTIFS.NEW" w:val="EM_PL_"/>
    <w:docVar w:name="LW_ID_STATUT" w:val="SJ-023"/>
    <w:docVar w:name="LW_INTERETEEE.CP" w:val="(текст от значение за ЕИП)"/>
    <w:docVar w:name="LW_LANGUE" w:val="BG"/>
    <w:docVar w:name="LW_LEVEL_OF_SENSITIVITY" w:val="Standard treatment"/>
    <w:docVar w:name="LW_NOM.INST" w:val="\u1045?\u1042?\u1056?\u1054?\u1055?\u1045?\u1049?\u1057?\u1050?\u1040? \u1050?\u1054?\u1052?\u1048?\u1057?\u1048?\u1071?"/>
    <w:docVar w:name="LW_NOM.INST_JOINTDOC" w:val="&lt;EMPTY&gt;"/>
    <w:docVar w:name="LW_PART_NBR" w:val="1"/>
    <w:docVar w:name="LW_PART_NBR_TOTAL" w:val="1"/>
    <w:docVar w:name="LW_REF.II.NEW.CP" w:val="COD"/>
    <w:docVar w:name="LW_REF.II.NEW.CP_NUMBER" w:val="0432"/>
    <w:docVar w:name="LW_REF.II.NEW.CP_YEAR" w:val="2021"/>
    <w:docVar w:name="LW_REF.INST.NEW" w:val="COM"/>
    <w:docVar w:name="LW_REF.INST.NEW_ADOPTED" w:val="final"/>
    <w:docVar w:name="LW_REF.INST.NEW_TEXT" w:val="(2021) 998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TATUT.CP" w:val="Предложение за"/>
    <w:docVar w:name="LW_SUPERTITRE" w:val="&lt;UNUSED&gt;"/>
    <w:docVar w:name="LW_TITRE.OBJ.CP" w:val="за изменение на Регламент (ЕС) № 536/2014 по отношение на дерогация от някои задължения, свързани с изпитвани лекарствени продукти, които се предлагат в Обединеното кралство по отношение на Северна Ирландия, както и в Ирландия, Кипър и Малта"/>
    <w:docVar w:name="LW_TYPE.DOC.CP" w:val="РЕГЛАМЕНТ НА ЕВРОПЕЙСКИЯ ПАРЛАМЕНТ И НА СЪВЕТА"/>
    <w:docVar w:name="LwApiVersions" w:val="LW4CoDe 1.23.2.0; LW 8.0, Build 20211117"/>
  </w:docVars>
  <w:rsids>
    <w:rsidRoot w:val="008161F9"/>
    <w:rsid w:val="00003646"/>
    <w:rsid w:val="00043850"/>
    <w:rsid w:val="00050FD7"/>
    <w:rsid w:val="0005270A"/>
    <w:rsid w:val="000708BF"/>
    <w:rsid w:val="00080995"/>
    <w:rsid w:val="00084D49"/>
    <w:rsid w:val="00091EB5"/>
    <w:rsid w:val="000A7517"/>
    <w:rsid w:val="000D14C4"/>
    <w:rsid w:val="000E198E"/>
    <w:rsid w:val="00143314"/>
    <w:rsid w:val="001932BA"/>
    <w:rsid w:val="001A28CC"/>
    <w:rsid w:val="001C0CCA"/>
    <w:rsid w:val="001C2816"/>
    <w:rsid w:val="001D1948"/>
    <w:rsid w:val="001D5FDB"/>
    <w:rsid w:val="001D6C6C"/>
    <w:rsid w:val="001E0907"/>
    <w:rsid w:val="001E30C4"/>
    <w:rsid w:val="001F49BB"/>
    <w:rsid w:val="00203C6A"/>
    <w:rsid w:val="002119E1"/>
    <w:rsid w:val="00213448"/>
    <w:rsid w:val="002248BB"/>
    <w:rsid w:val="00232E98"/>
    <w:rsid w:val="00236239"/>
    <w:rsid w:val="002410A0"/>
    <w:rsid w:val="002B0EAC"/>
    <w:rsid w:val="002B4DE6"/>
    <w:rsid w:val="002E6687"/>
    <w:rsid w:val="002E6BE2"/>
    <w:rsid w:val="00336367"/>
    <w:rsid w:val="00344CFF"/>
    <w:rsid w:val="00363562"/>
    <w:rsid w:val="00374FD6"/>
    <w:rsid w:val="003A73AC"/>
    <w:rsid w:val="003F3346"/>
    <w:rsid w:val="004520C9"/>
    <w:rsid w:val="00483479"/>
    <w:rsid w:val="004A0459"/>
    <w:rsid w:val="004C4E02"/>
    <w:rsid w:val="004C7341"/>
    <w:rsid w:val="004C7DF6"/>
    <w:rsid w:val="004D1A98"/>
    <w:rsid w:val="005012F9"/>
    <w:rsid w:val="005107BA"/>
    <w:rsid w:val="005116FD"/>
    <w:rsid w:val="00515D8A"/>
    <w:rsid w:val="00523853"/>
    <w:rsid w:val="005258C8"/>
    <w:rsid w:val="0053603E"/>
    <w:rsid w:val="0054028F"/>
    <w:rsid w:val="00544824"/>
    <w:rsid w:val="0055484F"/>
    <w:rsid w:val="00556A34"/>
    <w:rsid w:val="00575480"/>
    <w:rsid w:val="005856CE"/>
    <w:rsid w:val="0058586E"/>
    <w:rsid w:val="00586574"/>
    <w:rsid w:val="00591B21"/>
    <w:rsid w:val="00595489"/>
    <w:rsid w:val="005B682A"/>
    <w:rsid w:val="005C53E6"/>
    <w:rsid w:val="005C5B94"/>
    <w:rsid w:val="005D33B1"/>
    <w:rsid w:val="005E0509"/>
    <w:rsid w:val="00605C3E"/>
    <w:rsid w:val="00606868"/>
    <w:rsid w:val="00630418"/>
    <w:rsid w:val="00633DB8"/>
    <w:rsid w:val="00645AD5"/>
    <w:rsid w:val="00650AB3"/>
    <w:rsid w:val="00657950"/>
    <w:rsid w:val="006635FC"/>
    <w:rsid w:val="00682053"/>
    <w:rsid w:val="00683282"/>
    <w:rsid w:val="00683EDF"/>
    <w:rsid w:val="006957A9"/>
    <w:rsid w:val="006E6C3D"/>
    <w:rsid w:val="0070128F"/>
    <w:rsid w:val="007044F1"/>
    <w:rsid w:val="00710DC4"/>
    <w:rsid w:val="007222FE"/>
    <w:rsid w:val="00725E9A"/>
    <w:rsid w:val="00757B6D"/>
    <w:rsid w:val="007634C5"/>
    <w:rsid w:val="007720FB"/>
    <w:rsid w:val="00787219"/>
    <w:rsid w:val="007A0394"/>
    <w:rsid w:val="007C06F6"/>
    <w:rsid w:val="007D1C96"/>
    <w:rsid w:val="007D3743"/>
    <w:rsid w:val="007D75E5"/>
    <w:rsid w:val="007E0717"/>
    <w:rsid w:val="007E7968"/>
    <w:rsid w:val="007F32E7"/>
    <w:rsid w:val="007F4D72"/>
    <w:rsid w:val="00805776"/>
    <w:rsid w:val="00814A9E"/>
    <w:rsid w:val="008161F9"/>
    <w:rsid w:val="00835099"/>
    <w:rsid w:val="00841FBB"/>
    <w:rsid w:val="008466D2"/>
    <w:rsid w:val="00850886"/>
    <w:rsid w:val="008545CB"/>
    <w:rsid w:val="00854E52"/>
    <w:rsid w:val="008652E7"/>
    <w:rsid w:val="008B5924"/>
    <w:rsid w:val="008C1EFD"/>
    <w:rsid w:val="008C6761"/>
    <w:rsid w:val="008E4045"/>
    <w:rsid w:val="008E67FD"/>
    <w:rsid w:val="00931BD2"/>
    <w:rsid w:val="00937DEE"/>
    <w:rsid w:val="00974495"/>
    <w:rsid w:val="0097569B"/>
    <w:rsid w:val="00976A35"/>
    <w:rsid w:val="00986B33"/>
    <w:rsid w:val="00987AD5"/>
    <w:rsid w:val="009A0579"/>
    <w:rsid w:val="009A3AA4"/>
    <w:rsid w:val="009A7A99"/>
    <w:rsid w:val="009B7138"/>
    <w:rsid w:val="009D2B73"/>
    <w:rsid w:val="009E6CBD"/>
    <w:rsid w:val="00A2074F"/>
    <w:rsid w:val="00A2464C"/>
    <w:rsid w:val="00A24694"/>
    <w:rsid w:val="00A25A1C"/>
    <w:rsid w:val="00A45DC4"/>
    <w:rsid w:val="00A5717F"/>
    <w:rsid w:val="00A71349"/>
    <w:rsid w:val="00A7496D"/>
    <w:rsid w:val="00AB37EC"/>
    <w:rsid w:val="00AC6BF1"/>
    <w:rsid w:val="00AD4714"/>
    <w:rsid w:val="00AE3067"/>
    <w:rsid w:val="00AF5147"/>
    <w:rsid w:val="00B0107D"/>
    <w:rsid w:val="00B07AB2"/>
    <w:rsid w:val="00B1723F"/>
    <w:rsid w:val="00B22C8D"/>
    <w:rsid w:val="00B46AB4"/>
    <w:rsid w:val="00B662A7"/>
    <w:rsid w:val="00B7014F"/>
    <w:rsid w:val="00B93862"/>
    <w:rsid w:val="00BC45DE"/>
    <w:rsid w:val="00BD5DC4"/>
    <w:rsid w:val="00BE1AD1"/>
    <w:rsid w:val="00BE246D"/>
    <w:rsid w:val="00BE6C11"/>
    <w:rsid w:val="00BF17AA"/>
    <w:rsid w:val="00BF3B50"/>
    <w:rsid w:val="00BF69FC"/>
    <w:rsid w:val="00C04DEB"/>
    <w:rsid w:val="00C24556"/>
    <w:rsid w:val="00C479DE"/>
    <w:rsid w:val="00C66815"/>
    <w:rsid w:val="00C72DBE"/>
    <w:rsid w:val="00CA5790"/>
    <w:rsid w:val="00CC6691"/>
    <w:rsid w:val="00CD64AC"/>
    <w:rsid w:val="00CF2FFC"/>
    <w:rsid w:val="00CF666B"/>
    <w:rsid w:val="00D07F27"/>
    <w:rsid w:val="00D1581F"/>
    <w:rsid w:val="00D26379"/>
    <w:rsid w:val="00D34464"/>
    <w:rsid w:val="00D35191"/>
    <w:rsid w:val="00D43717"/>
    <w:rsid w:val="00D63A2B"/>
    <w:rsid w:val="00D646EF"/>
    <w:rsid w:val="00D85396"/>
    <w:rsid w:val="00DA30DC"/>
    <w:rsid w:val="00DA7A0D"/>
    <w:rsid w:val="00DB5219"/>
    <w:rsid w:val="00DE1236"/>
    <w:rsid w:val="00DE12FC"/>
    <w:rsid w:val="00DF2AFA"/>
    <w:rsid w:val="00E06B52"/>
    <w:rsid w:val="00E32665"/>
    <w:rsid w:val="00E41051"/>
    <w:rsid w:val="00E802A3"/>
    <w:rsid w:val="00EA0129"/>
    <w:rsid w:val="00EC0DF3"/>
    <w:rsid w:val="00EC5E4A"/>
    <w:rsid w:val="00ED5137"/>
    <w:rsid w:val="00F01FCD"/>
    <w:rsid w:val="00F20062"/>
    <w:rsid w:val="00F34A75"/>
    <w:rsid w:val="00F36937"/>
    <w:rsid w:val="00F55B01"/>
    <w:rsid w:val="00F765DB"/>
    <w:rsid w:val="00F925E1"/>
    <w:rsid w:val="00F93E8C"/>
    <w:rsid w:val="00FA2597"/>
    <w:rsid w:val="00FB67FA"/>
    <w:rsid w:val="00FD13BF"/>
    <w:rsid w:val="00FD4359"/>
    <w:rsid w:val="00FE0E4E"/>
    <w:rsid w:val="00FF6244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5FCFD06"/>
  <w15:docId w15:val="{015489F6-5ABC-4EB4-9104-B891874C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bg-BG"/>
    </w:rPr>
  </w:style>
  <w:style w:type="paragraph" w:styleId="Heading1">
    <w:name w:val="heading 1"/>
    <w:basedOn w:val="Normal"/>
    <w:next w:val="Text1"/>
    <w:link w:val="Heading1Char"/>
    <w:uiPriority w:val="9"/>
    <w:qFormat/>
    <w:rsid w:val="009B7138"/>
    <w:pPr>
      <w:keepNext/>
      <w:numPr>
        <w:numId w:val="40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rsid w:val="009B7138"/>
    <w:pPr>
      <w:keepNext/>
      <w:numPr>
        <w:ilvl w:val="1"/>
        <w:numId w:val="40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rsid w:val="009B7138"/>
    <w:pPr>
      <w:keepNext/>
      <w:numPr>
        <w:ilvl w:val="2"/>
        <w:numId w:val="40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rsid w:val="009B7138"/>
    <w:pPr>
      <w:keepNext/>
      <w:numPr>
        <w:ilvl w:val="3"/>
        <w:numId w:val="40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rsid w:val="00757B6D"/>
    <w:pPr>
      <w:keepNext/>
      <w:numPr>
        <w:ilvl w:val="4"/>
        <w:numId w:val="40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rsid w:val="00757B6D"/>
    <w:pPr>
      <w:keepNext/>
      <w:numPr>
        <w:ilvl w:val="5"/>
        <w:numId w:val="40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rsid w:val="00757B6D"/>
    <w:pPr>
      <w:keepNext/>
      <w:numPr>
        <w:ilvl w:val="6"/>
        <w:numId w:val="40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1F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1F9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6832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32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3282"/>
    <w:rPr>
      <w:rFonts w:ascii="Times New Roman" w:hAnsi="Times New Roman" w:cs="Times New Roman"/>
      <w:sz w:val="20"/>
      <w:szCs w:val="20"/>
      <w:lang w:val="bg-BG"/>
    </w:rPr>
  </w:style>
  <w:style w:type="paragraph" w:styleId="NormalWeb">
    <w:name w:val="Normal (Web)"/>
    <w:basedOn w:val="Normal"/>
    <w:uiPriority w:val="99"/>
    <w:unhideWhenUsed/>
    <w:rsid w:val="00683282"/>
    <w:pPr>
      <w:spacing w:before="100" w:beforeAutospacing="1" w:after="100" w:afterAutospacing="1"/>
      <w:jc w:val="left"/>
    </w:pPr>
    <w:rPr>
      <w:rFonts w:eastAsia="Times New Roman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68328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A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A1C"/>
    <w:rPr>
      <w:rFonts w:ascii="Times New Roman" w:hAnsi="Times New Roman" w:cs="Times New Roman"/>
      <w:b/>
      <w:bCs/>
      <w:sz w:val="20"/>
      <w:szCs w:val="20"/>
      <w:lang w:val="bg-BG"/>
    </w:rPr>
  </w:style>
  <w:style w:type="character" w:styleId="Hyperlink">
    <w:name w:val="Hyperlink"/>
    <w:rsid w:val="00F55B01"/>
    <w:rPr>
      <w:color w:val="0000FF"/>
      <w:u w:val="single"/>
      <w:shd w:val="clear" w:color="auto" w:fill="auto"/>
    </w:rPr>
  </w:style>
  <w:style w:type="character" w:styleId="Emphasis">
    <w:name w:val="Emphasis"/>
    <w:basedOn w:val="DefaultParagraphFont"/>
    <w:uiPriority w:val="20"/>
    <w:qFormat/>
    <w:rsid w:val="00EA0129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633DB8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33DB8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33DB8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33DB8"/>
    <w:pPr>
      <w:numPr>
        <w:numId w:val="4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91EB5"/>
    <w:rPr>
      <w:color w:val="800080" w:themeColor="followedHyperlink"/>
      <w:u w:val="single"/>
    </w:rPr>
  </w:style>
  <w:style w:type="paragraph" w:customStyle="1" w:styleId="Default">
    <w:name w:val="Default"/>
    <w:rsid w:val="00FB67FA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E67FD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E67FD"/>
    <w:pPr>
      <w:spacing w:after="0"/>
    </w:pPr>
  </w:style>
  <w:style w:type="paragraph" w:styleId="ListNumber">
    <w:name w:val="List Number"/>
    <w:basedOn w:val="Normal"/>
    <w:uiPriority w:val="99"/>
    <w:semiHidden/>
    <w:unhideWhenUsed/>
    <w:rsid w:val="008E67F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E67F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E67F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E67FD"/>
    <w:pPr>
      <w:numPr>
        <w:numId w:val="9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363562"/>
    <w:pPr>
      <w:tabs>
        <w:tab w:val="center" w:pos="4535"/>
        <w:tab w:val="right" w:pos="9071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363562"/>
    <w:rPr>
      <w:rFonts w:ascii="Times New Roman" w:hAnsi="Times New Roman" w:cs="Times New Roman"/>
      <w:sz w:val="24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363562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FooterChar">
    <w:name w:val="Footer Char"/>
    <w:basedOn w:val="DefaultParagraphFont"/>
    <w:link w:val="Footer"/>
    <w:uiPriority w:val="99"/>
    <w:rsid w:val="00363562"/>
    <w:rPr>
      <w:rFonts w:ascii="Times New Roman" w:hAnsi="Times New Roman" w:cs="Times New Roman"/>
      <w:sz w:val="24"/>
      <w:lang w:val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7138"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7138"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B7138"/>
    <w:rPr>
      <w:rFonts w:ascii="Times New Roman" w:eastAsiaTheme="majorEastAsia" w:hAnsi="Times New Roman" w:cs="Times New Roman"/>
      <w:b/>
      <w:bCs/>
      <w:smallCaps/>
      <w:sz w:val="24"/>
      <w:szCs w:val="28"/>
      <w:shd w:val="clear" w:color="auto" w:fill="auto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138"/>
    <w:rPr>
      <w:rFonts w:ascii="Times New Roman" w:eastAsiaTheme="majorEastAsia" w:hAnsi="Times New Roman" w:cs="Times New Roman"/>
      <w:b/>
      <w:bCs/>
      <w:sz w:val="24"/>
      <w:szCs w:val="26"/>
      <w:shd w:val="clear" w:color="auto" w:fill="auto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138"/>
    <w:rPr>
      <w:rFonts w:ascii="Times New Roman" w:eastAsiaTheme="majorEastAsia" w:hAnsi="Times New Roman" w:cs="Times New Roman"/>
      <w:bCs/>
      <w:i/>
      <w:sz w:val="24"/>
      <w:shd w:val="clear" w:color="auto" w:fill="aut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138"/>
    <w:rPr>
      <w:rFonts w:ascii="Times New Roman" w:eastAsiaTheme="majorEastAsia" w:hAnsi="Times New Roman" w:cs="Times New Roman"/>
      <w:bCs/>
      <w:iCs/>
      <w:sz w:val="24"/>
      <w:shd w:val="clear" w:color="auto" w:fill="auto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9B7138"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rsid w:val="009B7138"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rsid w:val="009B7138"/>
    <w:pPr>
      <w:tabs>
        <w:tab w:val="right" w:leader="dot" w:pos="9071"/>
      </w:tabs>
    </w:pPr>
  </w:style>
  <w:style w:type="paragraph" w:customStyle="1" w:styleId="HeaderLandscape">
    <w:name w:val="HeaderLandscape"/>
    <w:basedOn w:val="Normal"/>
    <w:rsid w:val="00363562"/>
    <w:pPr>
      <w:tabs>
        <w:tab w:val="center" w:pos="7285"/>
        <w:tab w:val="right" w:pos="14003"/>
      </w:tabs>
      <w:spacing w:before="0"/>
    </w:pPr>
  </w:style>
  <w:style w:type="paragraph" w:customStyle="1" w:styleId="FooterLandscape">
    <w:name w:val="FooterLandscape"/>
    <w:basedOn w:val="Normal"/>
    <w:rsid w:val="00363562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sid w:val="009B7138"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36356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363562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36356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rsid w:val="009B7138"/>
    <w:pPr>
      <w:ind w:left="850"/>
    </w:pPr>
  </w:style>
  <w:style w:type="paragraph" w:customStyle="1" w:styleId="Text2">
    <w:name w:val="Text 2"/>
    <w:basedOn w:val="Normal"/>
    <w:rsid w:val="009B7138"/>
    <w:pPr>
      <w:ind w:left="1417"/>
    </w:pPr>
  </w:style>
  <w:style w:type="paragraph" w:customStyle="1" w:styleId="Text3">
    <w:name w:val="Text 3"/>
    <w:basedOn w:val="Normal"/>
    <w:rsid w:val="009B7138"/>
    <w:pPr>
      <w:ind w:left="1984"/>
    </w:pPr>
  </w:style>
  <w:style w:type="paragraph" w:customStyle="1" w:styleId="Text4">
    <w:name w:val="Text 4"/>
    <w:basedOn w:val="Normal"/>
    <w:rsid w:val="009B7138"/>
    <w:pPr>
      <w:ind w:left="2551"/>
    </w:pPr>
  </w:style>
  <w:style w:type="paragraph" w:customStyle="1" w:styleId="NormalCentered">
    <w:name w:val="Normal Centered"/>
    <w:basedOn w:val="Normal"/>
    <w:rsid w:val="009B7138"/>
    <w:pPr>
      <w:jc w:val="center"/>
    </w:pPr>
  </w:style>
  <w:style w:type="paragraph" w:customStyle="1" w:styleId="NormalLeft">
    <w:name w:val="Normal Left"/>
    <w:basedOn w:val="Normal"/>
    <w:rsid w:val="009B7138"/>
    <w:pPr>
      <w:jc w:val="left"/>
    </w:pPr>
  </w:style>
  <w:style w:type="paragraph" w:customStyle="1" w:styleId="NormalRight">
    <w:name w:val="Normal Right"/>
    <w:basedOn w:val="Normal"/>
    <w:rsid w:val="009B7138"/>
    <w:pPr>
      <w:jc w:val="right"/>
    </w:pPr>
  </w:style>
  <w:style w:type="paragraph" w:customStyle="1" w:styleId="QuotedText">
    <w:name w:val="Quoted Text"/>
    <w:basedOn w:val="Normal"/>
    <w:rsid w:val="009B7138"/>
    <w:pPr>
      <w:ind w:left="1417"/>
    </w:pPr>
  </w:style>
  <w:style w:type="paragraph" w:customStyle="1" w:styleId="Point0">
    <w:name w:val="Point 0"/>
    <w:basedOn w:val="Normal"/>
    <w:rsid w:val="009B7138"/>
    <w:pPr>
      <w:ind w:left="850" w:hanging="850"/>
    </w:pPr>
  </w:style>
  <w:style w:type="paragraph" w:customStyle="1" w:styleId="Point1">
    <w:name w:val="Point 1"/>
    <w:basedOn w:val="Normal"/>
    <w:rsid w:val="009B7138"/>
    <w:pPr>
      <w:ind w:left="1417" w:hanging="567"/>
    </w:pPr>
  </w:style>
  <w:style w:type="paragraph" w:customStyle="1" w:styleId="Point2">
    <w:name w:val="Point 2"/>
    <w:basedOn w:val="Normal"/>
    <w:rsid w:val="009B7138"/>
    <w:pPr>
      <w:ind w:left="1984" w:hanging="567"/>
    </w:pPr>
  </w:style>
  <w:style w:type="paragraph" w:customStyle="1" w:styleId="Point3">
    <w:name w:val="Point 3"/>
    <w:basedOn w:val="Normal"/>
    <w:rsid w:val="009B7138"/>
    <w:pPr>
      <w:ind w:left="2551" w:hanging="567"/>
    </w:pPr>
  </w:style>
  <w:style w:type="paragraph" w:customStyle="1" w:styleId="Point4">
    <w:name w:val="Point 4"/>
    <w:basedOn w:val="Normal"/>
    <w:rsid w:val="009B7138"/>
    <w:pPr>
      <w:ind w:left="3118" w:hanging="567"/>
    </w:pPr>
  </w:style>
  <w:style w:type="paragraph" w:customStyle="1" w:styleId="Tiret0">
    <w:name w:val="Tiret 0"/>
    <w:basedOn w:val="Point0"/>
    <w:rsid w:val="009B7138"/>
    <w:pPr>
      <w:numPr>
        <w:numId w:val="24"/>
      </w:numPr>
    </w:pPr>
  </w:style>
  <w:style w:type="paragraph" w:customStyle="1" w:styleId="Tiret1">
    <w:name w:val="Tiret 1"/>
    <w:basedOn w:val="Point1"/>
    <w:rsid w:val="009B7138"/>
    <w:pPr>
      <w:numPr>
        <w:numId w:val="25"/>
      </w:numPr>
    </w:pPr>
  </w:style>
  <w:style w:type="paragraph" w:customStyle="1" w:styleId="Tiret2">
    <w:name w:val="Tiret 2"/>
    <w:basedOn w:val="Point2"/>
    <w:rsid w:val="009B7138"/>
    <w:pPr>
      <w:numPr>
        <w:numId w:val="26"/>
      </w:numPr>
    </w:pPr>
  </w:style>
  <w:style w:type="paragraph" w:customStyle="1" w:styleId="Tiret3">
    <w:name w:val="Tiret 3"/>
    <w:basedOn w:val="Point3"/>
    <w:rsid w:val="009B7138"/>
    <w:pPr>
      <w:numPr>
        <w:numId w:val="27"/>
      </w:numPr>
    </w:pPr>
  </w:style>
  <w:style w:type="paragraph" w:customStyle="1" w:styleId="Tiret4">
    <w:name w:val="Tiret 4"/>
    <w:basedOn w:val="Point4"/>
    <w:rsid w:val="009B7138"/>
    <w:pPr>
      <w:numPr>
        <w:numId w:val="28"/>
      </w:numPr>
    </w:pPr>
  </w:style>
  <w:style w:type="paragraph" w:customStyle="1" w:styleId="PointDouble0">
    <w:name w:val="PointDouble 0"/>
    <w:basedOn w:val="Normal"/>
    <w:rsid w:val="009B7138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rsid w:val="009B7138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rsid w:val="009B7138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rsid w:val="009B7138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rsid w:val="009B7138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rsid w:val="009B7138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rsid w:val="009B7138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rsid w:val="009B7138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rsid w:val="009B7138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rsid w:val="009B7138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rsid w:val="009B7138"/>
    <w:pPr>
      <w:numPr>
        <w:numId w:val="44"/>
      </w:numPr>
    </w:pPr>
  </w:style>
  <w:style w:type="paragraph" w:customStyle="1" w:styleId="NumPar2">
    <w:name w:val="NumPar 2"/>
    <w:basedOn w:val="Normal"/>
    <w:next w:val="Text1"/>
    <w:rsid w:val="009B7138"/>
    <w:pPr>
      <w:numPr>
        <w:ilvl w:val="1"/>
        <w:numId w:val="44"/>
      </w:numPr>
    </w:pPr>
  </w:style>
  <w:style w:type="paragraph" w:customStyle="1" w:styleId="NumPar3">
    <w:name w:val="NumPar 3"/>
    <w:basedOn w:val="Normal"/>
    <w:next w:val="Text1"/>
    <w:rsid w:val="009B7138"/>
    <w:pPr>
      <w:numPr>
        <w:ilvl w:val="2"/>
        <w:numId w:val="44"/>
      </w:numPr>
    </w:pPr>
  </w:style>
  <w:style w:type="paragraph" w:customStyle="1" w:styleId="NumPar4">
    <w:name w:val="NumPar 4"/>
    <w:basedOn w:val="Normal"/>
    <w:next w:val="Text1"/>
    <w:rsid w:val="009B7138"/>
    <w:pPr>
      <w:numPr>
        <w:ilvl w:val="3"/>
        <w:numId w:val="44"/>
      </w:numPr>
    </w:pPr>
  </w:style>
  <w:style w:type="paragraph" w:customStyle="1" w:styleId="ManualNumPar1">
    <w:name w:val="Manual NumPar 1"/>
    <w:basedOn w:val="Normal"/>
    <w:next w:val="Text1"/>
    <w:rsid w:val="009B7138"/>
    <w:pPr>
      <w:ind w:left="850" w:hanging="850"/>
    </w:pPr>
  </w:style>
  <w:style w:type="paragraph" w:customStyle="1" w:styleId="ManualNumPar2">
    <w:name w:val="Manual NumPar 2"/>
    <w:basedOn w:val="Normal"/>
    <w:next w:val="Text1"/>
    <w:rsid w:val="009B7138"/>
    <w:pPr>
      <w:ind w:left="850" w:hanging="850"/>
    </w:pPr>
  </w:style>
  <w:style w:type="paragraph" w:customStyle="1" w:styleId="ManualNumPar3">
    <w:name w:val="Manual NumPar 3"/>
    <w:basedOn w:val="Normal"/>
    <w:next w:val="Text1"/>
    <w:rsid w:val="009B7138"/>
    <w:pPr>
      <w:ind w:left="850" w:hanging="850"/>
    </w:pPr>
  </w:style>
  <w:style w:type="paragraph" w:customStyle="1" w:styleId="ManualNumPar4">
    <w:name w:val="Manual NumPar 4"/>
    <w:basedOn w:val="Normal"/>
    <w:next w:val="Text1"/>
    <w:rsid w:val="009B7138"/>
    <w:pPr>
      <w:ind w:left="850" w:hanging="850"/>
    </w:pPr>
  </w:style>
  <w:style w:type="paragraph" w:customStyle="1" w:styleId="QuotedNumPar">
    <w:name w:val="Quoted NumPar"/>
    <w:basedOn w:val="Normal"/>
    <w:rsid w:val="009B7138"/>
    <w:pPr>
      <w:ind w:left="1417" w:hanging="567"/>
    </w:pPr>
  </w:style>
  <w:style w:type="paragraph" w:customStyle="1" w:styleId="ManualHeading1">
    <w:name w:val="Manual Heading 1"/>
    <w:basedOn w:val="Normal"/>
    <w:next w:val="Text1"/>
    <w:rsid w:val="009B7138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rsid w:val="009B7138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rsid w:val="009B7138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rsid w:val="009B7138"/>
    <w:pPr>
      <w:keepNext/>
      <w:tabs>
        <w:tab w:val="left" w:pos="850"/>
      </w:tabs>
      <w:ind w:left="850" w:hanging="850"/>
      <w:outlineLvl w:val="3"/>
    </w:pPr>
  </w:style>
  <w:style w:type="paragraph" w:customStyle="1" w:styleId="ChapterTitle">
    <w:name w:val="ChapterTitle"/>
    <w:basedOn w:val="Normal"/>
    <w:next w:val="Normal"/>
    <w:rsid w:val="009B7138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rsid w:val="009B7138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rsid w:val="009B7138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rsid w:val="009B7138"/>
    <w:pPr>
      <w:jc w:val="center"/>
    </w:pPr>
    <w:rPr>
      <w:b/>
    </w:rPr>
  </w:style>
  <w:style w:type="character" w:customStyle="1" w:styleId="Marker">
    <w:name w:val="Marker"/>
    <w:basedOn w:val="DefaultParagraphFont"/>
    <w:rsid w:val="00AB37EC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9B7138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9B7138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9B7138"/>
    <w:pPr>
      <w:numPr>
        <w:numId w:val="31"/>
      </w:numPr>
    </w:pPr>
  </w:style>
  <w:style w:type="paragraph" w:customStyle="1" w:styleId="Point1number">
    <w:name w:val="Point 1 (number)"/>
    <w:basedOn w:val="Normal"/>
    <w:rsid w:val="009B7138"/>
    <w:pPr>
      <w:numPr>
        <w:ilvl w:val="2"/>
        <w:numId w:val="31"/>
      </w:numPr>
    </w:pPr>
  </w:style>
  <w:style w:type="paragraph" w:customStyle="1" w:styleId="Point2number">
    <w:name w:val="Point 2 (number)"/>
    <w:basedOn w:val="Normal"/>
    <w:rsid w:val="009B7138"/>
    <w:pPr>
      <w:numPr>
        <w:ilvl w:val="4"/>
        <w:numId w:val="31"/>
      </w:numPr>
    </w:pPr>
  </w:style>
  <w:style w:type="paragraph" w:customStyle="1" w:styleId="Point3number">
    <w:name w:val="Point 3 (number)"/>
    <w:basedOn w:val="Normal"/>
    <w:rsid w:val="009B7138"/>
    <w:pPr>
      <w:numPr>
        <w:ilvl w:val="6"/>
        <w:numId w:val="31"/>
      </w:numPr>
    </w:pPr>
  </w:style>
  <w:style w:type="paragraph" w:customStyle="1" w:styleId="Point0letter">
    <w:name w:val="Point 0 (letter)"/>
    <w:basedOn w:val="Normal"/>
    <w:rsid w:val="009B7138"/>
    <w:pPr>
      <w:numPr>
        <w:ilvl w:val="1"/>
        <w:numId w:val="31"/>
      </w:numPr>
    </w:pPr>
  </w:style>
  <w:style w:type="paragraph" w:customStyle="1" w:styleId="Point1letter">
    <w:name w:val="Point 1 (letter)"/>
    <w:basedOn w:val="Normal"/>
    <w:rsid w:val="009B7138"/>
    <w:pPr>
      <w:numPr>
        <w:ilvl w:val="3"/>
        <w:numId w:val="31"/>
      </w:numPr>
    </w:pPr>
  </w:style>
  <w:style w:type="paragraph" w:customStyle="1" w:styleId="Point2letter">
    <w:name w:val="Point 2 (letter)"/>
    <w:basedOn w:val="Normal"/>
    <w:rsid w:val="009B7138"/>
    <w:pPr>
      <w:numPr>
        <w:ilvl w:val="5"/>
        <w:numId w:val="31"/>
      </w:numPr>
    </w:pPr>
  </w:style>
  <w:style w:type="paragraph" w:customStyle="1" w:styleId="Point3letter">
    <w:name w:val="Point 3 (letter)"/>
    <w:basedOn w:val="Normal"/>
    <w:rsid w:val="009B7138"/>
    <w:pPr>
      <w:numPr>
        <w:ilvl w:val="7"/>
        <w:numId w:val="31"/>
      </w:numPr>
    </w:pPr>
  </w:style>
  <w:style w:type="paragraph" w:customStyle="1" w:styleId="Point4letter">
    <w:name w:val="Point 4 (letter)"/>
    <w:basedOn w:val="Normal"/>
    <w:rsid w:val="009B7138"/>
    <w:pPr>
      <w:numPr>
        <w:ilvl w:val="8"/>
        <w:numId w:val="31"/>
      </w:numPr>
    </w:pPr>
  </w:style>
  <w:style w:type="paragraph" w:customStyle="1" w:styleId="Bullet0">
    <w:name w:val="Bullet 0"/>
    <w:basedOn w:val="Normal"/>
    <w:rsid w:val="009B7138"/>
    <w:pPr>
      <w:numPr>
        <w:numId w:val="32"/>
      </w:numPr>
    </w:pPr>
  </w:style>
  <w:style w:type="paragraph" w:customStyle="1" w:styleId="Bullet1">
    <w:name w:val="Bullet 1"/>
    <w:basedOn w:val="Normal"/>
    <w:rsid w:val="009B7138"/>
    <w:pPr>
      <w:numPr>
        <w:numId w:val="33"/>
      </w:numPr>
    </w:pPr>
  </w:style>
  <w:style w:type="paragraph" w:customStyle="1" w:styleId="Bullet2">
    <w:name w:val="Bullet 2"/>
    <w:basedOn w:val="Normal"/>
    <w:rsid w:val="009B7138"/>
    <w:pPr>
      <w:numPr>
        <w:numId w:val="34"/>
      </w:numPr>
    </w:pPr>
  </w:style>
  <w:style w:type="paragraph" w:customStyle="1" w:styleId="Bullet3">
    <w:name w:val="Bullet 3"/>
    <w:basedOn w:val="Normal"/>
    <w:rsid w:val="009B7138"/>
    <w:pPr>
      <w:numPr>
        <w:numId w:val="35"/>
      </w:numPr>
    </w:pPr>
  </w:style>
  <w:style w:type="paragraph" w:customStyle="1" w:styleId="Bullet4">
    <w:name w:val="Bullet 4"/>
    <w:basedOn w:val="Normal"/>
    <w:rsid w:val="009B7138"/>
    <w:pPr>
      <w:numPr>
        <w:numId w:val="36"/>
      </w:numPr>
    </w:pPr>
  </w:style>
  <w:style w:type="paragraph" w:customStyle="1" w:styleId="Langue">
    <w:name w:val="Langue"/>
    <w:basedOn w:val="Normal"/>
    <w:next w:val="Rfrenceinterne"/>
    <w:rsid w:val="009B7138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rsid w:val="009B7138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rsid w:val="009B7138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rsid w:val="009B7138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rsid w:val="009B7138"/>
    <w:pPr>
      <w:spacing w:before="0" w:after="0"/>
    </w:pPr>
  </w:style>
  <w:style w:type="paragraph" w:customStyle="1" w:styleId="Declassification">
    <w:name w:val="Declassification"/>
    <w:basedOn w:val="Normal"/>
    <w:next w:val="Normal"/>
    <w:rsid w:val="009B7138"/>
    <w:pPr>
      <w:spacing w:before="0" w:after="0"/>
    </w:pPr>
  </w:style>
  <w:style w:type="paragraph" w:customStyle="1" w:styleId="Disclaimer">
    <w:name w:val="Disclaimer"/>
    <w:basedOn w:val="Normal"/>
    <w:rsid w:val="009B7138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rsid w:val="009B7138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rsid w:val="009B7138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rsid w:val="009B7138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rsid w:val="009B7138"/>
    <w:pPr>
      <w:spacing w:before="480"/>
    </w:pPr>
  </w:style>
  <w:style w:type="paragraph" w:customStyle="1" w:styleId="Avertissementtitre">
    <w:name w:val="Avertissement titre"/>
    <w:basedOn w:val="Normal"/>
    <w:next w:val="Normal"/>
    <w:rsid w:val="009B7138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rsid w:val="009B7138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rsid w:val="009B7138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rsid w:val="009B7138"/>
    <w:pPr>
      <w:numPr>
        <w:numId w:val="37"/>
      </w:numPr>
    </w:pPr>
  </w:style>
  <w:style w:type="paragraph" w:customStyle="1" w:styleId="Corrigendum">
    <w:name w:val="Corrigendum"/>
    <w:basedOn w:val="Normal"/>
    <w:next w:val="Normal"/>
    <w:rsid w:val="009B7138"/>
    <w:pPr>
      <w:spacing w:before="0" w:after="240"/>
      <w:jc w:val="left"/>
    </w:pPr>
  </w:style>
  <w:style w:type="paragraph" w:customStyle="1" w:styleId="Datedadoption">
    <w:name w:val="Date d'adoption"/>
    <w:basedOn w:val="Normal"/>
    <w:next w:val="Titreobjet"/>
    <w:rsid w:val="009B7138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rsid w:val="009B7138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rsid w:val="009B7138"/>
    <w:pPr>
      <w:keepNext/>
    </w:pPr>
  </w:style>
  <w:style w:type="paragraph" w:customStyle="1" w:styleId="Institutionquiagit">
    <w:name w:val="Institution qui agit"/>
    <w:basedOn w:val="Normal"/>
    <w:next w:val="Normal"/>
    <w:rsid w:val="009B7138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rsid w:val="009B7138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rsid w:val="009B7138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rsid w:val="009B7138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rsid w:val="009B7138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rsid w:val="009B7138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rsid w:val="009B7138"/>
    <w:pPr>
      <w:spacing w:before="360" w:after="0"/>
      <w:jc w:val="center"/>
    </w:pPr>
  </w:style>
  <w:style w:type="paragraph" w:customStyle="1" w:styleId="Titrearticle">
    <w:name w:val="Titre article"/>
    <w:basedOn w:val="Normal"/>
    <w:next w:val="Normal"/>
    <w:rsid w:val="009B7138"/>
    <w:pPr>
      <w:keepNext/>
      <w:spacing w:before="360"/>
      <w:jc w:val="center"/>
    </w:pPr>
    <w:rPr>
      <w:i/>
    </w:rPr>
  </w:style>
  <w:style w:type="paragraph" w:customStyle="1" w:styleId="Titreobjet">
    <w:name w:val="Titre objet"/>
    <w:basedOn w:val="Normal"/>
    <w:next w:val="IntrtEEE"/>
    <w:rsid w:val="009B7138"/>
    <w:pPr>
      <w:spacing w:before="360" w:after="360"/>
      <w:jc w:val="center"/>
    </w:pPr>
    <w:rPr>
      <w:b/>
    </w:rPr>
  </w:style>
  <w:style w:type="paragraph" w:customStyle="1" w:styleId="Typedudocument">
    <w:name w:val="Type du document"/>
    <w:basedOn w:val="Normal"/>
    <w:next w:val="Titreobjet"/>
    <w:rsid w:val="009B7138"/>
    <w:pPr>
      <w:spacing w:before="360" w:after="0"/>
      <w:jc w:val="center"/>
    </w:pPr>
    <w:rPr>
      <w:b/>
    </w:rPr>
  </w:style>
  <w:style w:type="character" w:customStyle="1" w:styleId="Added">
    <w:name w:val="Added"/>
    <w:basedOn w:val="DefaultParagraphFont"/>
    <w:rsid w:val="009B713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9B7138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9B7138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sid w:val="009B7138"/>
    <w:rPr>
      <w:i/>
      <w:caps/>
    </w:rPr>
  </w:style>
  <w:style w:type="paragraph" w:customStyle="1" w:styleId="Supertitre">
    <w:name w:val="Supertitre"/>
    <w:basedOn w:val="Normal"/>
    <w:next w:val="Normal"/>
    <w:rsid w:val="009B7138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rsid w:val="009B7138"/>
    <w:pPr>
      <w:spacing w:before="360" w:after="0"/>
      <w:jc w:val="center"/>
    </w:pPr>
  </w:style>
  <w:style w:type="paragraph" w:customStyle="1" w:styleId="Rfrencecroise">
    <w:name w:val="Référence croisée"/>
    <w:basedOn w:val="Normal"/>
    <w:rsid w:val="009B7138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rsid w:val="009B7138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B7138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B7138"/>
  </w:style>
  <w:style w:type="paragraph" w:customStyle="1" w:styleId="StatutPagedecouverture">
    <w:name w:val="Statut (Page de couverture)"/>
    <w:basedOn w:val="Statut"/>
    <w:next w:val="TypedudocumentPagedecouverture"/>
    <w:rsid w:val="009B7138"/>
  </w:style>
  <w:style w:type="paragraph" w:customStyle="1" w:styleId="TitreobjetPagedecouverture">
    <w:name w:val="Titre objet (Page de couverture)"/>
    <w:basedOn w:val="Titreobjet"/>
    <w:next w:val="IntrtEEEPagedecouverture"/>
    <w:rsid w:val="009B7138"/>
  </w:style>
  <w:style w:type="paragraph" w:customStyle="1" w:styleId="TypedudocumentPagedecouverture">
    <w:name w:val="Type du document (Page de couverture)"/>
    <w:basedOn w:val="Typedudocument"/>
    <w:next w:val="TitreobjetPagedecouverture"/>
    <w:rsid w:val="009B7138"/>
  </w:style>
  <w:style w:type="paragraph" w:customStyle="1" w:styleId="Volume">
    <w:name w:val="Volume"/>
    <w:basedOn w:val="Normal"/>
    <w:next w:val="Confidentialit"/>
    <w:rsid w:val="009B7138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rsid w:val="009B7138"/>
    <w:pPr>
      <w:spacing w:after="240"/>
    </w:pPr>
  </w:style>
  <w:style w:type="paragraph" w:customStyle="1" w:styleId="Accompagnant">
    <w:name w:val="Accompagnant"/>
    <w:basedOn w:val="Normal"/>
    <w:next w:val="Typeacteprincipal"/>
    <w:rsid w:val="009B7138"/>
    <w:pPr>
      <w:spacing w:before="0" w:after="240"/>
      <w:jc w:val="center"/>
    </w:pPr>
    <w:rPr>
      <w:b/>
      <w:i/>
    </w:rPr>
  </w:style>
  <w:style w:type="paragraph" w:customStyle="1" w:styleId="Typeacteprincipal">
    <w:name w:val="Type acte principal"/>
    <w:basedOn w:val="Normal"/>
    <w:next w:val="Objetacteprincipal"/>
    <w:rsid w:val="009B7138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rsid w:val="009B7138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  <w:rsid w:val="009B7138"/>
  </w:style>
  <w:style w:type="paragraph" w:customStyle="1" w:styleId="AccompagnantPagedecouverture">
    <w:name w:val="Accompagnant (Page de couverture)"/>
    <w:basedOn w:val="Accompagnant"/>
    <w:next w:val="TypeacteprincipalPagedecouverture"/>
    <w:rsid w:val="009B713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B7138"/>
  </w:style>
  <w:style w:type="paragraph" w:customStyle="1" w:styleId="ObjetacteprincipalPagedecouverture">
    <w:name w:val="Objet acte principal (Page de couverture)"/>
    <w:basedOn w:val="Objetacteprincipal"/>
    <w:next w:val="Rfrencecroise"/>
    <w:rsid w:val="009B7138"/>
  </w:style>
  <w:style w:type="paragraph" w:customStyle="1" w:styleId="LanguesfaisantfoiPagedecouverture">
    <w:name w:val="Langues faisant foi (Page de couverture)"/>
    <w:basedOn w:val="Normal"/>
    <w:next w:val="Normal"/>
    <w:rsid w:val="009B7138"/>
    <w:pPr>
      <w:spacing w:before="360" w:after="0"/>
      <w:jc w:val="center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757B6D"/>
    <w:rPr>
      <w:rFonts w:ascii="Times New Roman" w:eastAsiaTheme="majorEastAsia" w:hAnsi="Times New Roman" w:cs="Times New Roman"/>
      <w:sz w:val="24"/>
      <w:lang w:val="bg-BG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B6D"/>
    <w:rPr>
      <w:rFonts w:ascii="Times New Roman" w:eastAsiaTheme="majorEastAsia" w:hAnsi="Times New Roman" w:cs="Times New Roman"/>
      <w:iCs/>
      <w:sz w:val="24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B6D"/>
    <w:rPr>
      <w:rFonts w:ascii="Times New Roman" w:eastAsiaTheme="majorEastAsia" w:hAnsi="Times New Roman" w:cs="Times New Roman"/>
      <w:iCs/>
      <w:sz w:val="24"/>
      <w:lang w:val="bg-BG"/>
    </w:rPr>
  </w:style>
  <w:style w:type="paragraph" w:customStyle="1" w:styleId="ManualHeading5">
    <w:name w:val="Manual Heading 5"/>
    <w:basedOn w:val="Normal"/>
    <w:next w:val="Text2"/>
    <w:rsid w:val="00757B6D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rsid w:val="00757B6D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rsid w:val="00757B6D"/>
    <w:pPr>
      <w:keepNext/>
      <w:tabs>
        <w:tab w:val="left" w:pos="1417"/>
      </w:tabs>
      <w:ind w:left="1417" w:hanging="1417"/>
      <w:outlineLvl w:val="6"/>
    </w:pPr>
  </w:style>
  <w:style w:type="paragraph" w:customStyle="1" w:styleId="Text5">
    <w:name w:val="Text 5"/>
    <w:basedOn w:val="Normal"/>
    <w:rsid w:val="00757B6D"/>
    <w:pPr>
      <w:ind w:left="3118"/>
    </w:pPr>
  </w:style>
  <w:style w:type="paragraph" w:customStyle="1" w:styleId="Text6">
    <w:name w:val="Text 6"/>
    <w:basedOn w:val="Normal"/>
    <w:rsid w:val="00757B6D"/>
    <w:pPr>
      <w:ind w:left="3685"/>
    </w:pPr>
  </w:style>
  <w:style w:type="paragraph" w:customStyle="1" w:styleId="Point5">
    <w:name w:val="Point 5"/>
    <w:basedOn w:val="Normal"/>
    <w:rsid w:val="00757B6D"/>
    <w:pPr>
      <w:ind w:left="3685" w:hanging="567"/>
    </w:pPr>
  </w:style>
  <w:style w:type="paragraph" w:customStyle="1" w:styleId="Tiret5">
    <w:name w:val="Tiret 5"/>
    <w:basedOn w:val="Point5"/>
    <w:rsid w:val="00757B6D"/>
    <w:pPr>
      <w:numPr>
        <w:numId w:val="41"/>
      </w:numPr>
    </w:pPr>
  </w:style>
  <w:style w:type="paragraph" w:customStyle="1" w:styleId="NumPar5">
    <w:name w:val="NumPar 5"/>
    <w:basedOn w:val="Normal"/>
    <w:next w:val="Text2"/>
    <w:rsid w:val="00757B6D"/>
    <w:pPr>
      <w:numPr>
        <w:ilvl w:val="4"/>
        <w:numId w:val="44"/>
      </w:numPr>
    </w:pPr>
  </w:style>
  <w:style w:type="paragraph" w:customStyle="1" w:styleId="NumPar6">
    <w:name w:val="NumPar 6"/>
    <w:basedOn w:val="Normal"/>
    <w:next w:val="Text2"/>
    <w:rsid w:val="00757B6D"/>
    <w:pPr>
      <w:numPr>
        <w:ilvl w:val="5"/>
        <w:numId w:val="44"/>
      </w:numPr>
    </w:pPr>
  </w:style>
  <w:style w:type="paragraph" w:customStyle="1" w:styleId="NumPar7">
    <w:name w:val="NumPar 7"/>
    <w:basedOn w:val="Normal"/>
    <w:next w:val="Text2"/>
    <w:rsid w:val="00757B6D"/>
    <w:pPr>
      <w:numPr>
        <w:ilvl w:val="6"/>
        <w:numId w:val="44"/>
      </w:numPr>
    </w:pPr>
  </w:style>
  <w:style w:type="paragraph" w:customStyle="1" w:styleId="ManualNumPar5">
    <w:name w:val="Manual NumPar 5"/>
    <w:basedOn w:val="Normal"/>
    <w:next w:val="Text2"/>
    <w:rsid w:val="00757B6D"/>
    <w:pPr>
      <w:ind w:left="1417" w:hanging="1417"/>
    </w:pPr>
  </w:style>
  <w:style w:type="paragraph" w:customStyle="1" w:styleId="ManualNumPar6">
    <w:name w:val="Manual NumPar 6"/>
    <w:basedOn w:val="Normal"/>
    <w:next w:val="Text2"/>
    <w:rsid w:val="00757B6D"/>
    <w:pPr>
      <w:ind w:left="1417" w:hanging="1417"/>
    </w:pPr>
  </w:style>
  <w:style w:type="paragraph" w:customStyle="1" w:styleId="ManualNumPar7">
    <w:name w:val="Manual NumPar 7"/>
    <w:basedOn w:val="Normal"/>
    <w:next w:val="Text2"/>
    <w:rsid w:val="00757B6D"/>
    <w:pPr>
      <w:ind w:left="1417" w:hanging="14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6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6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eli/reg/2020/2170/oj?locale=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'1.0' encoding='UTF-8' standalone='yes'?>
<Relationships xmlns="http://schemas.openxmlformats.org/package/2006/relationships"><Relationship Id="rId2" Type="http://schemas.openxmlformats.org/officeDocument/2006/relationships/hyperlink" Target="https://eur-lex.europa.eu/legal-content/BG/TXT/PDF/?uri=CELEX:52021XC0125(01)&amp;from=BG" TargetMode="External"/><Relationship Id="rId1" Type="http://schemas.openxmlformats.org/officeDocument/2006/relationships/hyperlink" Target="https://eur-lex.europa.eu/legal-content/BG/TXT/PDF/?uri=CELEX:52021XC0125(01)&amp;from=BG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Public\Documents\Templates\CO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95B8-E8B1-492F-A21C-A7EF02497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COM.dotm</Template>
  <TotalTime>1</TotalTime>
  <Pages>8</Pages>
  <Words>2161</Words>
  <Characters>12691</Characters>
  <Application>Microsoft Office Word</Application>
  <DocSecurity>0</DocSecurity>
  <Lines>253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35</cp:revision>
  <dcterms:created xsi:type="dcterms:W3CDTF">2022-01-17T16:40:00Z</dcterms:created>
  <dcterms:modified xsi:type="dcterms:W3CDTF">2022-01-18T08:07:00Z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COM/PL/ORG</vt:lpwstr>
  </property>
  <property fmtid="{D5CDD505-2E9C-101B-9397-08002B2CF9AE}" pid="3" name="Version">
    <vt:lpwstr>7.0.9.0</vt:lpwstr>
  </property>
  <property fmtid="{D5CDD505-2E9C-101B-9397-08002B2CF9AE}" pid="4" name="Last edited using">
    <vt:lpwstr>LW 7.0.1, Build 20200226</vt:lpwstr>
  </property>
  <property fmtid="{D5CDD505-2E9C-101B-9397-08002B2CF9AE}" pid="5" name="Created using">
    <vt:lpwstr>LW 7.0.1, Build 20200226</vt:lpwstr>
  </property>
  <property fmtid="{D5CDD505-2E9C-101B-9397-08002B2CF9AE}" pid="6" name="Part">
    <vt:lpwstr>1</vt:lpwstr>
  </property>
  <property fmtid="{D5CDD505-2E9C-101B-9397-08002B2CF9AE}" pid="7" name="Total parts">
    <vt:lpwstr>1</vt:lpwstr>
  </property>
  <property fmtid="{D5CDD505-2E9C-101B-9397-08002B2CF9AE}" pid="8" name="Level of sensitivity">
    <vt:lpwstr>Standard treatment</vt:lpwstr>
  </property>
  <property fmtid="{D5CDD505-2E9C-101B-9397-08002B2CF9AE}" pid="9" name="LWTemplateID">
    <vt:lpwstr>SJ-023</vt:lpwstr>
  </property>
  <property fmtid="{D5CDD505-2E9C-101B-9397-08002B2CF9AE}" pid="10" name="DQCStatus">
    <vt:lpwstr>Green (DQC version 03)</vt:lpwstr>
  </property>
  <property name="OP_sanitized" fmtid="{D5CDD505-2E9C-101B-9397-08002B2CF9AE}" pid="11">
    <vt:lpwstr>True</vt:lpwstr>
  </property>
</Properties>
</file>