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3C158" w14:textId="7DC9A207" w:rsidR="00A660F1" w:rsidRPr="00CF2E9C" w:rsidRDefault="00C42E60" w:rsidP="00C42E60">
      <w:pPr>
        <w:pStyle w:val="Pagedecouverture"/>
        <w:rPr>
          <w:noProof/>
        </w:rPr>
      </w:pPr>
      <w:bookmarkStart w:id="0" w:name="_Toc379988870"/>
      <w:bookmarkStart w:id="1" w:name="LW_BM_COVERPAGE"/>
      <w:r>
        <w:rPr>
          <w:noProof/>
        </w:rPr>
        <w:pict w14:anchorId="2826AF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alt="EAABDCE8-75CE-4834-AA08-471453F55EB3" style="width:455.25pt;height:365.25pt">
            <v:imagedata r:id="rId8" o:title=""/>
          </v:shape>
        </w:pict>
      </w:r>
    </w:p>
    <w:bookmarkEnd w:id="1"/>
    <w:p w14:paraId="448D0D2F" w14:textId="77777777" w:rsidR="00672FC3" w:rsidRDefault="00672FC3" w:rsidP="00672FC3">
      <w:pPr>
        <w:rPr>
          <w:noProof/>
        </w:rPr>
        <w:sectPr w:rsidR="00672FC3" w:rsidSect="00C42E60">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23F9119" w14:textId="77777777" w:rsidR="003412B0" w:rsidRDefault="003412B0" w:rsidP="00CF2E9C">
      <w:pPr>
        <w:rPr>
          <w:b/>
          <w:noProof/>
        </w:rPr>
      </w:pPr>
      <w:bookmarkStart w:id="2" w:name="_GoBack"/>
      <w:bookmarkEnd w:id="2"/>
    </w:p>
    <w:sdt>
      <w:sdtPr>
        <w:rPr>
          <w:rFonts w:asciiTheme="minorHAnsi" w:eastAsiaTheme="minorHAnsi" w:hAnsiTheme="minorHAnsi" w:cstheme="minorBidi"/>
          <w:b/>
          <w:noProof/>
          <w:color w:val="auto"/>
          <w:sz w:val="22"/>
          <w:szCs w:val="22"/>
        </w:rPr>
        <w:id w:val="-198713430"/>
        <w:docPartObj>
          <w:docPartGallery w:val="Table of Contents"/>
          <w:docPartUnique/>
        </w:docPartObj>
      </w:sdtPr>
      <w:sdtEndPr>
        <w:rPr>
          <w:b w:val="0"/>
          <w:bCs/>
        </w:rPr>
      </w:sdtEndPr>
      <w:sdtContent>
        <w:p w14:paraId="0BAE61CC" w14:textId="77777777" w:rsidR="00E83231" w:rsidRPr="00CF2E9C" w:rsidRDefault="00E83231">
          <w:pPr>
            <w:pStyle w:val="TOCHeading"/>
            <w:rPr>
              <w:rFonts w:ascii="Times New Roman" w:hAnsi="Times New Roman" w:cs="Times New Roman"/>
              <w:b/>
              <w:noProof/>
              <w:color w:val="auto"/>
            </w:rPr>
          </w:pPr>
          <w:r>
            <w:rPr>
              <w:rFonts w:ascii="Times New Roman" w:hAnsi="Times New Roman"/>
              <w:b/>
              <w:noProof/>
              <w:color w:val="auto"/>
            </w:rPr>
            <w:t>Съдържание</w:t>
          </w:r>
        </w:p>
        <w:p w14:paraId="5E0D197C" w14:textId="4244FD17" w:rsidR="00D66C30" w:rsidRPr="00D66C30" w:rsidRDefault="00E83231">
          <w:pPr>
            <w:pStyle w:val="TOC1"/>
            <w:tabs>
              <w:tab w:val="left" w:pos="440"/>
              <w:tab w:val="right" w:leader="dot" w:pos="9350"/>
            </w:tabs>
            <w:rPr>
              <w:rFonts w:eastAsiaTheme="minorEastAsia"/>
              <w:noProof/>
              <w:lang w:val="en-US"/>
            </w:rPr>
          </w:pPr>
          <w:r w:rsidRPr="00D66C30">
            <w:rPr>
              <w:noProof/>
            </w:rPr>
            <w:fldChar w:fldCharType="begin"/>
          </w:r>
          <w:r w:rsidRPr="00D66C30">
            <w:rPr>
              <w:noProof/>
            </w:rPr>
            <w:instrText xml:space="preserve"> TOC \o "1-3" \h \z \u </w:instrText>
          </w:r>
          <w:r w:rsidRPr="00D66C30">
            <w:rPr>
              <w:noProof/>
            </w:rPr>
            <w:fldChar w:fldCharType="separate"/>
          </w:r>
          <w:hyperlink w:anchor="_Toc85617898" w:history="1">
            <w:r w:rsidR="00D66C30" w:rsidRPr="00D66C30">
              <w:rPr>
                <w:rStyle w:val="Hyperlink"/>
                <w:noProof/>
              </w:rPr>
              <w:t>1.</w:t>
            </w:r>
            <w:r w:rsidR="00D66C30" w:rsidRPr="00D66C30">
              <w:rPr>
                <w:rFonts w:eastAsiaTheme="minorEastAsia"/>
                <w:noProof/>
                <w:lang w:val="en-US"/>
              </w:rPr>
              <w:tab/>
            </w:r>
            <w:r w:rsidR="00D66C30" w:rsidRPr="00D66C30">
              <w:rPr>
                <w:rStyle w:val="Hyperlink"/>
                <w:noProof/>
              </w:rPr>
              <w:t>Въведение</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_Toc85617898 \h </w:instrText>
            </w:r>
            <w:r w:rsidR="00D66C30" w:rsidRPr="00D66C30">
              <w:rPr>
                <w:noProof/>
                <w:webHidden/>
              </w:rPr>
            </w:r>
            <w:r w:rsidR="00D66C30" w:rsidRPr="00D66C30">
              <w:rPr>
                <w:noProof/>
                <w:webHidden/>
              </w:rPr>
              <w:fldChar w:fldCharType="separate"/>
            </w:r>
            <w:r w:rsidR="00D66C30" w:rsidRPr="00D66C30">
              <w:rPr>
                <w:noProof/>
                <w:webHidden/>
              </w:rPr>
              <w:t>3</w:t>
            </w:r>
            <w:r w:rsidR="00D66C30" w:rsidRPr="00D66C30">
              <w:rPr>
                <w:noProof/>
                <w:webHidden/>
              </w:rPr>
              <w:fldChar w:fldCharType="end"/>
            </w:r>
          </w:hyperlink>
        </w:p>
        <w:p w14:paraId="3797A0E2" w14:textId="2E994CBD" w:rsidR="00D66C30" w:rsidRPr="00D66C30" w:rsidRDefault="00C42E60">
          <w:pPr>
            <w:pStyle w:val="TOC2"/>
            <w:tabs>
              <w:tab w:val="left" w:pos="880"/>
              <w:tab w:val="right" w:leader="dot" w:pos="9350"/>
            </w:tabs>
            <w:rPr>
              <w:rFonts w:eastAsiaTheme="minorEastAsia"/>
              <w:noProof/>
              <w:lang w:val="en-US"/>
            </w:rPr>
          </w:pPr>
          <w:hyperlink w:anchor="_Toc85617899" w:history="1">
            <w:r w:rsidR="00D66C30" w:rsidRPr="00D66C30">
              <w:rPr>
                <w:rStyle w:val="Hyperlink"/>
                <w:noProof/>
              </w:rPr>
              <w:t>1.1.</w:t>
            </w:r>
            <w:r w:rsidR="00D66C30" w:rsidRPr="00D66C30">
              <w:rPr>
                <w:rFonts w:eastAsiaTheme="minorEastAsia"/>
                <w:noProof/>
                <w:lang w:val="en-US"/>
              </w:rPr>
              <w:tab/>
            </w:r>
            <w:r w:rsidR="00D66C30" w:rsidRPr="00D66C30">
              <w:rPr>
                <w:rStyle w:val="Hyperlink"/>
                <w:noProof/>
              </w:rPr>
              <w:t>Контекст и цели на директивата</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_Toc85617899 \h </w:instrText>
            </w:r>
            <w:r w:rsidR="00D66C30" w:rsidRPr="00D66C30">
              <w:rPr>
                <w:noProof/>
                <w:webHidden/>
              </w:rPr>
            </w:r>
            <w:r w:rsidR="00D66C30" w:rsidRPr="00D66C30">
              <w:rPr>
                <w:noProof/>
                <w:webHidden/>
              </w:rPr>
              <w:fldChar w:fldCharType="separate"/>
            </w:r>
            <w:r w:rsidR="00D66C30" w:rsidRPr="00D66C30">
              <w:rPr>
                <w:noProof/>
                <w:webHidden/>
              </w:rPr>
              <w:t>3</w:t>
            </w:r>
            <w:r w:rsidR="00D66C30" w:rsidRPr="00D66C30">
              <w:rPr>
                <w:noProof/>
                <w:webHidden/>
              </w:rPr>
              <w:fldChar w:fldCharType="end"/>
            </w:r>
          </w:hyperlink>
        </w:p>
        <w:p w14:paraId="4F03DB16" w14:textId="701F86ED" w:rsidR="00D66C30" w:rsidRPr="00D66C30" w:rsidRDefault="00C42E60">
          <w:pPr>
            <w:pStyle w:val="TOC2"/>
            <w:tabs>
              <w:tab w:val="left" w:pos="880"/>
              <w:tab w:val="right" w:leader="dot" w:pos="9350"/>
            </w:tabs>
            <w:rPr>
              <w:rFonts w:eastAsiaTheme="minorEastAsia"/>
              <w:noProof/>
              <w:lang w:val="en-US"/>
            </w:rPr>
          </w:pPr>
          <w:hyperlink w:anchor="_Toc85617900" w:history="1">
            <w:r w:rsidR="00D66C30" w:rsidRPr="00D66C30">
              <w:rPr>
                <w:rStyle w:val="Hyperlink"/>
                <w:noProof/>
              </w:rPr>
              <w:t>1.2.</w:t>
            </w:r>
            <w:r w:rsidR="00D66C30" w:rsidRPr="00D66C30">
              <w:rPr>
                <w:rFonts w:eastAsiaTheme="minorEastAsia"/>
                <w:noProof/>
                <w:lang w:val="en-US"/>
              </w:rPr>
              <w:tab/>
            </w:r>
            <w:r w:rsidR="00D66C30" w:rsidRPr="00D66C30">
              <w:rPr>
                <w:rStyle w:val="Hyperlink"/>
                <w:noProof/>
              </w:rPr>
              <w:t>Цел и обхват на настоящия доклад</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_Toc85617900 \h </w:instrText>
            </w:r>
            <w:r w:rsidR="00D66C30" w:rsidRPr="00D66C30">
              <w:rPr>
                <w:noProof/>
                <w:webHidden/>
              </w:rPr>
            </w:r>
            <w:r w:rsidR="00D66C30" w:rsidRPr="00D66C30">
              <w:rPr>
                <w:noProof/>
                <w:webHidden/>
              </w:rPr>
              <w:fldChar w:fldCharType="separate"/>
            </w:r>
            <w:r w:rsidR="00D66C30" w:rsidRPr="00D66C30">
              <w:rPr>
                <w:noProof/>
                <w:webHidden/>
              </w:rPr>
              <w:t>4</w:t>
            </w:r>
            <w:r w:rsidR="00D66C30" w:rsidRPr="00D66C30">
              <w:rPr>
                <w:noProof/>
                <w:webHidden/>
              </w:rPr>
              <w:fldChar w:fldCharType="end"/>
            </w:r>
          </w:hyperlink>
        </w:p>
        <w:p w14:paraId="61F8C4CA" w14:textId="4ABDDF70" w:rsidR="00D66C30" w:rsidRPr="00D66C30" w:rsidRDefault="00C42E60">
          <w:pPr>
            <w:pStyle w:val="TOC2"/>
            <w:tabs>
              <w:tab w:val="left" w:pos="880"/>
              <w:tab w:val="right" w:leader="dot" w:pos="9350"/>
            </w:tabs>
            <w:rPr>
              <w:rFonts w:eastAsiaTheme="minorEastAsia"/>
              <w:noProof/>
              <w:lang w:val="en-US"/>
            </w:rPr>
          </w:pPr>
          <w:hyperlink w:anchor="_Toc85617901" w:history="1">
            <w:r w:rsidR="00D66C30" w:rsidRPr="00D66C30">
              <w:rPr>
                <w:rStyle w:val="Hyperlink"/>
                <w:noProof/>
              </w:rPr>
              <w:t>1.3.</w:t>
            </w:r>
            <w:r w:rsidR="00D66C30" w:rsidRPr="00D66C30">
              <w:rPr>
                <w:rFonts w:eastAsiaTheme="minorEastAsia"/>
                <w:noProof/>
                <w:lang w:val="en-US"/>
              </w:rPr>
              <w:tab/>
            </w:r>
            <w:r w:rsidR="00D66C30" w:rsidRPr="00D66C30">
              <w:rPr>
                <w:rStyle w:val="Hyperlink"/>
                <w:noProof/>
              </w:rPr>
              <w:t>Процес на транспониране</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_Toc85617901 \h </w:instrText>
            </w:r>
            <w:r w:rsidR="00D66C30" w:rsidRPr="00D66C30">
              <w:rPr>
                <w:noProof/>
                <w:webHidden/>
              </w:rPr>
            </w:r>
            <w:r w:rsidR="00D66C30" w:rsidRPr="00D66C30">
              <w:rPr>
                <w:noProof/>
                <w:webHidden/>
              </w:rPr>
              <w:fldChar w:fldCharType="separate"/>
            </w:r>
            <w:r w:rsidR="00D66C30" w:rsidRPr="00D66C30">
              <w:rPr>
                <w:noProof/>
                <w:webHidden/>
              </w:rPr>
              <w:t>4</w:t>
            </w:r>
            <w:r w:rsidR="00D66C30" w:rsidRPr="00D66C30">
              <w:rPr>
                <w:noProof/>
                <w:webHidden/>
              </w:rPr>
              <w:fldChar w:fldCharType="end"/>
            </w:r>
          </w:hyperlink>
        </w:p>
        <w:p w14:paraId="1FA26582" w14:textId="79C8DB4B" w:rsidR="00D66C30" w:rsidRPr="00D66C30" w:rsidRDefault="00C42E60">
          <w:pPr>
            <w:pStyle w:val="TOC1"/>
            <w:tabs>
              <w:tab w:val="left" w:pos="440"/>
              <w:tab w:val="right" w:leader="dot" w:pos="9350"/>
            </w:tabs>
            <w:rPr>
              <w:rFonts w:eastAsiaTheme="minorEastAsia"/>
              <w:noProof/>
              <w:lang w:val="en-US"/>
            </w:rPr>
          </w:pPr>
          <w:hyperlink w:anchor="_Toc85617902" w:history="1">
            <w:r w:rsidR="00D66C30" w:rsidRPr="00D66C30">
              <w:rPr>
                <w:rStyle w:val="Hyperlink"/>
                <w:noProof/>
              </w:rPr>
              <w:t>2.</w:t>
            </w:r>
            <w:r w:rsidR="00D66C30" w:rsidRPr="00D66C30">
              <w:rPr>
                <w:rFonts w:eastAsiaTheme="minorEastAsia"/>
                <w:noProof/>
                <w:lang w:val="en-US"/>
              </w:rPr>
              <w:tab/>
            </w:r>
            <w:r w:rsidR="00D66C30" w:rsidRPr="00D66C30">
              <w:rPr>
                <w:rStyle w:val="Hyperlink"/>
                <w:noProof/>
              </w:rPr>
              <w:t>Общ преглед</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_Toc85617902 \h </w:instrText>
            </w:r>
            <w:r w:rsidR="00D66C30" w:rsidRPr="00D66C30">
              <w:rPr>
                <w:noProof/>
                <w:webHidden/>
              </w:rPr>
            </w:r>
            <w:r w:rsidR="00D66C30" w:rsidRPr="00D66C30">
              <w:rPr>
                <w:noProof/>
                <w:webHidden/>
              </w:rPr>
              <w:fldChar w:fldCharType="separate"/>
            </w:r>
            <w:r w:rsidR="00D66C30" w:rsidRPr="00D66C30">
              <w:rPr>
                <w:noProof/>
                <w:webHidden/>
              </w:rPr>
              <w:t>4</w:t>
            </w:r>
            <w:r w:rsidR="00D66C30" w:rsidRPr="00D66C30">
              <w:rPr>
                <w:noProof/>
                <w:webHidden/>
              </w:rPr>
              <w:fldChar w:fldCharType="end"/>
            </w:r>
          </w:hyperlink>
        </w:p>
        <w:p w14:paraId="341CE3D3" w14:textId="04F9E3ED" w:rsidR="00D66C30" w:rsidRPr="00D66C30" w:rsidRDefault="00C42E60">
          <w:pPr>
            <w:pStyle w:val="TOC1"/>
            <w:tabs>
              <w:tab w:val="left" w:pos="440"/>
              <w:tab w:val="right" w:leader="dot" w:pos="9350"/>
            </w:tabs>
            <w:rPr>
              <w:rFonts w:eastAsiaTheme="minorEastAsia"/>
              <w:noProof/>
              <w:lang w:val="en-US"/>
            </w:rPr>
          </w:pPr>
          <w:hyperlink w:anchor="_Toc85617903" w:history="1">
            <w:r w:rsidR="00D66C30" w:rsidRPr="00D66C30">
              <w:rPr>
                <w:rStyle w:val="Hyperlink"/>
                <w:noProof/>
              </w:rPr>
              <w:t>3.</w:t>
            </w:r>
            <w:r w:rsidR="00D66C30" w:rsidRPr="00D66C30">
              <w:rPr>
                <w:rFonts w:eastAsiaTheme="minorEastAsia"/>
                <w:noProof/>
                <w:lang w:val="en-US"/>
              </w:rPr>
              <w:tab/>
            </w:r>
            <w:r w:rsidR="00D66C30" w:rsidRPr="00D66C30">
              <w:rPr>
                <w:rStyle w:val="Hyperlink"/>
                <w:noProof/>
              </w:rPr>
              <w:t>Специфични въпроси при анализа</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_Toc85617903 \h </w:instrText>
            </w:r>
            <w:r w:rsidR="00D66C30" w:rsidRPr="00D66C30">
              <w:rPr>
                <w:noProof/>
                <w:webHidden/>
              </w:rPr>
            </w:r>
            <w:r w:rsidR="00D66C30" w:rsidRPr="00D66C30">
              <w:rPr>
                <w:noProof/>
                <w:webHidden/>
              </w:rPr>
              <w:fldChar w:fldCharType="separate"/>
            </w:r>
            <w:r w:rsidR="00D66C30" w:rsidRPr="00D66C30">
              <w:rPr>
                <w:noProof/>
                <w:webHidden/>
              </w:rPr>
              <w:t>5</w:t>
            </w:r>
            <w:r w:rsidR="00D66C30" w:rsidRPr="00D66C30">
              <w:rPr>
                <w:noProof/>
                <w:webHidden/>
              </w:rPr>
              <w:fldChar w:fldCharType="end"/>
            </w:r>
          </w:hyperlink>
        </w:p>
        <w:p w14:paraId="535CE6F3" w14:textId="4EE69D8A" w:rsidR="00D66C30" w:rsidRPr="00D66C30" w:rsidRDefault="00C42E60">
          <w:pPr>
            <w:pStyle w:val="TOC2"/>
            <w:tabs>
              <w:tab w:val="left" w:pos="880"/>
              <w:tab w:val="right" w:leader="dot" w:pos="9350"/>
            </w:tabs>
            <w:rPr>
              <w:rFonts w:eastAsiaTheme="minorEastAsia"/>
              <w:noProof/>
              <w:lang w:val="en-US"/>
            </w:rPr>
          </w:pPr>
          <w:hyperlink w:anchor="_Toc85617904" w:history="1">
            <w:r w:rsidR="00D66C30" w:rsidRPr="00D66C30">
              <w:rPr>
                <w:rStyle w:val="Hyperlink"/>
                <w:noProof/>
              </w:rPr>
              <w:t>3.1.</w:t>
            </w:r>
            <w:r w:rsidR="00D66C30" w:rsidRPr="00D66C30">
              <w:rPr>
                <w:rFonts w:eastAsiaTheme="minorEastAsia"/>
                <w:noProof/>
                <w:lang w:val="en-US"/>
              </w:rPr>
              <w:tab/>
            </w:r>
            <w:r w:rsidR="00D66C30" w:rsidRPr="00D66C30">
              <w:rPr>
                <w:rStyle w:val="Hyperlink"/>
                <w:noProof/>
              </w:rPr>
              <w:t>Приложно поле и основни определения (членове 1 и 2)</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_Toc85617904 \h </w:instrText>
            </w:r>
            <w:r w:rsidR="00D66C30" w:rsidRPr="00D66C30">
              <w:rPr>
                <w:noProof/>
                <w:webHidden/>
              </w:rPr>
            </w:r>
            <w:r w:rsidR="00D66C30" w:rsidRPr="00D66C30">
              <w:rPr>
                <w:noProof/>
                <w:webHidden/>
              </w:rPr>
              <w:fldChar w:fldCharType="separate"/>
            </w:r>
            <w:r w:rsidR="00D66C30" w:rsidRPr="00D66C30">
              <w:rPr>
                <w:noProof/>
                <w:webHidden/>
              </w:rPr>
              <w:t>5</w:t>
            </w:r>
            <w:r w:rsidR="00D66C30" w:rsidRPr="00D66C30">
              <w:rPr>
                <w:noProof/>
                <w:webHidden/>
              </w:rPr>
              <w:fldChar w:fldCharType="end"/>
            </w:r>
          </w:hyperlink>
        </w:p>
        <w:p w14:paraId="2E14D531" w14:textId="6FB2B7AE" w:rsidR="00D66C30" w:rsidRPr="00D66C30" w:rsidRDefault="00C42E60">
          <w:pPr>
            <w:pStyle w:val="TOC3"/>
            <w:tabs>
              <w:tab w:val="left" w:pos="1320"/>
              <w:tab w:val="right" w:leader="dot" w:pos="9350"/>
            </w:tabs>
            <w:rPr>
              <w:rFonts w:eastAsiaTheme="minorEastAsia"/>
              <w:noProof/>
              <w:lang w:val="en-US"/>
            </w:rPr>
          </w:pPr>
          <w:hyperlink w:anchor="_Toc85617905" w:history="1">
            <w:r w:rsidR="00D66C30" w:rsidRPr="00D66C30">
              <w:rPr>
                <w:rStyle w:val="Hyperlink"/>
                <w:noProof/>
              </w:rPr>
              <w:t>3.1.1.</w:t>
            </w:r>
            <w:r w:rsidR="00D66C30" w:rsidRPr="00D66C30">
              <w:rPr>
                <w:rFonts w:eastAsiaTheme="minorEastAsia"/>
                <w:noProof/>
                <w:lang w:val="en-US"/>
              </w:rPr>
              <w:tab/>
            </w:r>
            <w:r w:rsidR="00D66C30" w:rsidRPr="00D66C30">
              <w:rPr>
                <w:rStyle w:val="Hyperlink"/>
                <w:noProof/>
              </w:rPr>
              <w:t>Оператори по веригата и отношения във връзка с доставките</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_Toc85617905 \h </w:instrText>
            </w:r>
            <w:r w:rsidR="00D66C30" w:rsidRPr="00D66C30">
              <w:rPr>
                <w:noProof/>
                <w:webHidden/>
              </w:rPr>
            </w:r>
            <w:r w:rsidR="00D66C30" w:rsidRPr="00D66C30">
              <w:rPr>
                <w:noProof/>
                <w:webHidden/>
              </w:rPr>
              <w:fldChar w:fldCharType="separate"/>
            </w:r>
            <w:r w:rsidR="00D66C30" w:rsidRPr="00D66C30">
              <w:rPr>
                <w:noProof/>
                <w:webHidden/>
              </w:rPr>
              <w:t>6</w:t>
            </w:r>
            <w:r w:rsidR="00D66C30" w:rsidRPr="00D66C30">
              <w:rPr>
                <w:noProof/>
                <w:webHidden/>
              </w:rPr>
              <w:fldChar w:fldCharType="end"/>
            </w:r>
          </w:hyperlink>
        </w:p>
        <w:p w14:paraId="70437544" w14:textId="1B3EB165" w:rsidR="00D66C30" w:rsidRPr="00D66C30" w:rsidRDefault="00C42E60">
          <w:pPr>
            <w:pStyle w:val="TOC3"/>
            <w:tabs>
              <w:tab w:val="left" w:pos="1320"/>
              <w:tab w:val="right" w:leader="dot" w:pos="9350"/>
            </w:tabs>
            <w:rPr>
              <w:rFonts w:eastAsiaTheme="minorEastAsia"/>
              <w:noProof/>
              <w:lang w:val="en-US"/>
            </w:rPr>
          </w:pPr>
          <w:hyperlink w:anchor="_Toc85617906" w:history="1">
            <w:r w:rsidR="00D66C30" w:rsidRPr="00D66C30">
              <w:rPr>
                <w:rStyle w:val="Hyperlink"/>
                <w:noProof/>
              </w:rPr>
              <w:t>3.1.2.</w:t>
            </w:r>
            <w:r w:rsidR="00D66C30" w:rsidRPr="00D66C30">
              <w:rPr>
                <w:rFonts w:eastAsiaTheme="minorEastAsia"/>
                <w:noProof/>
                <w:lang w:val="en-US"/>
              </w:rPr>
              <w:tab/>
            </w:r>
            <w:r w:rsidR="00D66C30" w:rsidRPr="00D66C30">
              <w:rPr>
                <w:rStyle w:val="Hyperlink"/>
                <w:noProof/>
              </w:rPr>
              <w:t>Приложно поле и размер на предприятието</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_Toc85617906 \h </w:instrText>
            </w:r>
            <w:r w:rsidR="00D66C30" w:rsidRPr="00D66C30">
              <w:rPr>
                <w:noProof/>
                <w:webHidden/>
              </w:rPr>
            </w:r>
            <w:r w:rsidR="00D66C30" w:rsidRPr="00D66C30">
              <w:rPr>
                <w:noProof/>
                <w:webHidden/>
              </w:rPr>
              <w:fldChar w:fldCharType="separate"/>
            </w:r>
            <w:r w:rsidR="00D66C30" w:rsidRPr="00D66C30">
              <w:rPr>
                <w:noProof/>
                <w:webHidden/>
              </w:rPr>
              <w:t>6</w:t>
            </w:r>
            <w:r w:rsidR="00D66C30" w:rsidRPr="00D66C30">
              <w:rPr>
                <w:noProof/>
                <w:webHidden/>
              </w:rPr>
              <w:fldChar w:fldCharType="end"/>
            </w:r>
          </w:hyperlink>
        </w:p>
        <w:p w14:paraId="66F6A1F2" w14:textId="415A4597" w:rsidR="00D66C30" w:rsidRPr="00D66C30" w:rsidRDefault="00C42E60">
          <w:pPr>
            <w:pStyle w:val="TOC3"/>
            <w:tabs>
              <w:tab w:val="left" w:pos="1320"/>
              <w:tab w:val="right" w:leader="dot" w:pos="9350"/>
            </w:tabs>
            <w:rPr>
              <w:rFonts w:eastAsiaTheme="minorEastAsia"/>
              <w:noProof/>
              <w:lang w:val="en-US"/>
            </w:rPr>
          </w:pPr>
          <w:hyperlink w:anchor="_Toc85617907" w:history="1">
            <w:r w:rsidR="00D66C30" w:rsidRPr="00D66C30">
              <w:rPr>
                <w:rStyle w:val="Hyperlink"/>
                <w:noProof/>
              </w:rPr>
              <w:t>3.1.3.</w:t>
            </w:r>
            <w:r w:rsidR="00D66C30" w:rsidRPr="00D66C30">
              <w:rPr>
                <w:rFonts w:eastAsiaTheme="minorEastAsia"/>
                <w:noProof/>
                <w:lang w:val="en-US"/>
              </w:rPr>
              <w:tab/>
            </w:r>
            <w:r w:rsidR="00D66C30" w:rsidRPr="00D66C30">
              <w:rPr>
                <w:rStyle w:val="Hyperlink"/>
                <w:noProof/>
              </w:rPr>
              <w:t>Териториален обхват на приложение</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_Toc85617907 \h </w:instrText>
            </w:r>
            <w:r w:rsidR="00D66C30" w:rsidRPr="00D66C30">
              <w:rPr>
                <w:noProof/>
                <w:webHidden/>
              </w:rPr>
            </w:r>
            <w:r w:rsidR="00D66C30" w:rsidRPr="00D66C30">
              <w:rPr>
                <w:noProof/>
                <w:webHidden/>
              </w:rPr>
              <w:fldChar w:fldCharType="separate"/>
            </w:r>
            <w:r w:rsidR="00D66C30" w:rsidRPr="00D66C30">
              <w:rPr>
                <w:noProof/>
                <w:webHidden/>
              </w:rPr>
              <w:t>7</w:t>
            </w:r>
            <w:r w:rsidR="00D66C30" w:rsidRPr="00D66C30">
              <w:rPr>
                <w:noProof/>
                <w:webHidden/>
              </w:rPr>
              <w:fldChar w:fldCharType="end"/>
            </w:r>
          </w:hyperlink>
        </w:p>
        <w:p w14:paraId="1EAF9EA7" w14:textId="488B3DE5" w:rsidR="00D66C30" w:rsidRPr="00D66C30" w:rsidRDefault="00C42E60">
          <w:pPr>
            <w:pStyle w:val="TOC2"/>
            <w:tabs>
              <w:tab w:val="left" w:pos="880"/>
              <w:tab w:val="right" w:leader="dot" w:pos="9350"/>
            </w:tabs>
            <w:rPr>
              <w:rFonts w:eastAsiaTheme="minorEastAsia"/>
              <w:noProof/>
              <w:lang w:val="en-US"/>
            </w:rPr>
          </w:pPr>
          <w:hyperlink w:anchor="_Toc85617908" w:history="1">
            <w:r w:rsidR="00D66C30" w:rsidRPr="00D66C30">
              <w:rPr>
                <w:rStyle w:val="Hyperlink"/>
                <w:noProof/>
              </w:rPr>
              <w:t>3.2.</w:t>
            </w:r>
            <w:r w:rsidR="00D66C30" w:rsidRPr="00D66C30">
              <w:rPr>
                <w:rFonts w:eastAsiaTheme="minorEastAsia"/>
                <w:noProof/>
                <w:lang w:val="en-US"/>
              </w:rPr>
              <w:tab/>
            </w:r>
            <w:r w:rsidR="00D66C30" w:rsidRPr="00D66C30">
              <w:rPr>
                <w:rStyle w:val="Hyperlink"/>
                <w:noProof/>
              </w:rPr>
              <w:t>Забрана на НТП (член 3)</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_Toc85617908 \h </w:instrText>
            </w:r>
            <w:r w:rsidR="00D66C30" w:rsidRPr="00D66C30">
              <w:rPr>
                <w:noProof/>
                <w:webHidden/>
              </w:rPr>
            </w:r>
            <w:r w:rsidR="00D66C30" w:rsidRPr="00D66C30">
              <w:rPr>
                <w:noProof/>
                <w:webHidden/>
              </w:rPr>
              <w:fldChar w:fldCharType="separate"/>
            </w:r>
            <w:r w:rsidR="00D66C30" w:rsidRPr="00D66C30">
              <w:rPr>
                <w:noProof/>
                <w:webHidden/>
              </w:rPr>
              <w:t>7</w:t>
            </w:r>
            <w:r w:rsidR="00D66C30" w:rsidRPr="00D66C30">
              <w:rPr>
                <w:noProof/>
                <w:webHidden/>
              </w:rPr>
              <w:fldChar w:fldCharType="end"/>
            </w:r>
          </w:hyperlink>
        </w:p>
        <w:p w14:paraId="5266290F" w14:textId="3F079F1D" w:rsidR="00D66C30" w:rsidRPr="00D66C30" w:rsidRDefault="00C42E60">
          <w:pPr>
            <w:pStyle w:val="TOC2"/>
            <w:tabs>
              <w:tab w:val="left" w:pos="880"/>
              <w:tab w:val="right" w:leader="dot" w:pos="9350"/>
            </w:tabs>
            <w:rPr>
              <w:rFonts w:eastAsiaTheme="minorEastAsia"/>
              <w:noProof/>
              <w:lang w:val="en-US"/>
            </w:rPr>
          </w:pPr>
          <w:hyperlink w:anchor="_Toc85617909" w:history="1">
            <w:r w:rsidR="00D66C30" w:rsidRPr="00D66C30">
              <w:rPr>
                <w:rStyle w:val="Hyperlink"/>
                <w:noProof/>
              </w:rPr>
              <w:t>3.3.</w:t>
            </w:r>
            <w:r w:rsidR="00D66C30" w:rsidRPr="00D66C30">
              <w:rPr>
                <w:rFonts w:eastAsiaTheme="minorEastAsia"/>
                <w:noProof/>
                <w:lang w:val="en-US"/>
              </w:rPr>
              <w:tab/>
            </w:r>
            <w:r w:rsidR="00D66C30" w:rsidRPr="00D66C30">
              <w:rPr>
                <w:rStyle w:val="Hyperlink"/>
                <w:noProof/>
              </w:rPr>
              <w:t>Механизми за правоприлагане (членове 4—8)</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_Toc85617909 \h </w:instrText>
            </w:r>
            <w:r w:rsidR="00D66C30" w:rsidRPr="00D66C30">
              <w:rPr>
                <w:noProof/>
                <w:webHidden/>
              </w:rPr>
            </w:r>
            <w:r w:rsidR="00D66C30" w:rsidRPr="00D66C30">
              <w:rPr>
                <w:noProof/>
                <w:webHidden/>
              </w:rPr>
              <w:fldChar w:fldCharType="separate"/>
            </w:r>
            <w:r w:rsidR="00D66C30" w:rsidRPr="00D66C30">
              <w:rPr>
                <w:noProof/>
                <w:webHidden/>
              </w:rPr>
              <w:t>10</w:t>
            </w:r>
            <w:r w:rsidR="00D66C30" w:rsidRPr="00D66C30">
              <w:rPr>
                <w:noProof/>
                <w:webHidden/>
              </w:rPr>
              <w:fldChar w:fldCharType="end"/>
            </w:r>
          </w:hyperlink>
        </w:p>
        <w:p w14:paraId="34420DB9" w14:textId="6C2A8A1F" w:rsidR="00D66C30" w:rsidRPr="00D66C30" w:rsidRDefault="00C42E60">
          <w:pPr>
            <w:pStyle w:val="TOC3"/>
            <w:tabs>
              <w:tab w:val="left" w:pos="1320"/>
              <w:tab w:val="right" w:leader="dot" w:pos="9350"/>
            </w:tabs>
            <w:rPr>
              <w:rFonts w:eastAsiaTheme="minorEastAsia"/>
              <w:noProof/>
              <w:lang w:val="en-US"/>
            </w:rPr>
          </w:pPr>
          <w:hyperlink w:anchor="_Toc85617910" w:history="1">
            <w:r w:rsidR="00D66C30" w:rsidRPr="00D66C30">
              <w:rPr>
                <w:rStyle w:val="Hyperlink"/>
                <w:noProof/>
              </w:rPr>
              <w:t>3.3.1.</w:t>
            </w:r>
            <w:r w:rsidR="00D66C30" w:rsidRPr="00D66C30">
              <w:rPr>
                <w:rFonts w:eastAsiaTheme="minorEastAsia"/>
                <w:noProof/>
                <w:lang w:val="en-US"/>
              </w:rPr>
              <w:tab/>
            </w:r>
            <w:r w:rsidR="00D66C30" w:rsidRPr="00D66C30">
              <w:rPr>
                <w:rStyle w:val="Hyperlink"/>
                <w:noProof/>
              </w:rPr>
              <w:t>Определяне на правоприлагащи органи (член 4)</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_Toc85617910 \h </w:instrText>
            </w:r>
            <w:r w:rsidR="00D66C30" w:rsidRPr="00D66C30">
              <w:rPr>
                <w:noProof/>
                <w:webHidden/>
              </w:rPr>
            </w:r>
            <w:r w:rsidR="00D66C30" w:rsidRPr="00D66C30">
              <w:rPr>
                <w:noProof/>
                <w:webHidden/>
              </w:rPr>
              <w:fldChar w:fldCharType="separate"/>
            </w:r>
            <w:r w:rsidR="00D66C30" w:rsidRPr="00D66C30">
              <w:rPr>
                <w:noProof/>
                <w:webHidden/>
              </w:rPr>
              <w:t>10</w:t>
            </w:r>
            <w:r w:rsidR="00D66C30" w:rsidRPr="00D66C30">
              <w:rPr>
                <w:noProof/>
                <w:webHidden/>
              </w:rPr>
              <w:fldChar w:fldCharType="end"/>
            </w:r>
          </w:hyperlink>
        </w:p>
        <w:p w14:paraId="651553E9" w14:textId="5A5A9C30" w:rsidR="00D66C30" w:rsidRPr="00D66C30" w:rsidRDefault="00C42E60">
          <w:pPr>
            <w:pStyle w:val="TOC3"/>
            <w:tabs>
              <w:tab w:val="left" w:pos="1320"/>
              <w:tab w:val="right" w:leader="dot" w:pos="9350"/>
            </w:tabs>
            <w:rPr>
              <w:rFonts w:eastAsiaTheme="minorEastAsia"/>
              <w:noProof/>
              <w:lang w:val="en-US"/>
            </w:rPr>
          </w:pPr>
          <w:hyperlink w:anchor="_Toc85617911" w:history="1">
            <w:r w:rsidR="00D66C30" w:rsidRPr="00D66C30">
              <w:rPr>
                <w:rStyle w:val="Hyperlink"/>
                <w:noProof/>
              </w:rPr>
              <w:t>3.3.2.</w:t>
            </w:r>
            <w:r w:rsidR="00D66C30" w:rsidRPr="00D66C30">
              <w:rPr>
                <w:rFonts w:eastAsiaTheme="minorEastAsia"/>
                <w:noProof/>
                <w:lang w:val="en-US"/>
              </w:rPr>
              <w:tab/>
            </w:r>
            <w:r w:rsidR="00D66C30" w:rsidRPr="00D66C30">
              <w:rPr>
                <w:rStyle w:val="Hyperlink"/>
                <w:noProof/>
              </w:rPr>
              <w:t>Подаване на жалби и поверителност (член 5)</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_Toc85617911 \h </w:instrText>
            </w:r>
            <w:r w:rsidR="00D66C30" w:rsidRPr="00D66C30">
              <w:rPr>
                <w:noProof/>
                <w:webHidden/>
              </w:rPr>
            </w:r>
            <w:r w:rsidR="00D66C30" w:rsidRPr="00D66C30">
              <w:rPr>
                <w:noProof/>
                <w:webHidden/>
              </w:rPr>
              <w:fldChar w:fldCharType="separate"/>
            </w:r>
            <w:r w:rsidR="00D66C30" w:rsidRPr="00D66C30">
              <w:rPr>
                <w:noProof/>
                <w:webHidden/>
              </w:rPr>
              <w:t>11</w:t>
            </w:r>
            <w:r w:rsidR="00D66C30" w:rsidRPr="00D66C30">
              <w:rPr>
                <w:noProof/>
                <w:webHidden/>
              </w:rPr>
              <w:fldChar w:fldCharType="end"/>
            </w:r>
          </w:hyperlink>
        </w:p>
        <w:p w14:paraId="7E410C73" w14:textId="384FDEF4" w:rsidR="00D66C30" w:rsidRPr="00D66C30" w:rsidRDefault="00C42E60">
          <w:pPr>
            <w:pStyle w:val="TOC3"/>
            <w:tabs>
              <w:tab w:val="left" w:pos="1320"/>
              <w:tab w:val="right" w:leader="dot" w:pos="9350"/>
            </w:tabs>
            <w:rPr>
              <w:rFonts w:eastAsiaTheme="minorEastAsia"/>
              <w:noProof/>
              <w:lang w:val="en-US"/>
            </w:rPr>
          </w:pPr>
          <w:hyperlink w:anchor="_Toc85617912" w:history="1">
            <w:r w:rsidR="00D66C30" w:rsidRPr="00D66C30">
              <w:rPr>
                <w:rStyle w:val="Hyperlink"/>
                <w:noProof/>
              </w:rPr>
              <w:t>3.3.3.</w:t>
            </w:r>
            <w:r w:rsidR="00D66C30" w:rsidRPr="00D66C30">
              <w:rPr>
                <w:rFonts w:eastAsiaTheme="minorEastAsia"/>
                <w:noProof/>
                <w:lang w:val="en-US"/>
              </w:rPr>
              <w:tab/>
            </w:r>
            <w:r w:rsidR="00D66C30" w:rsidRPr="00D66C30">
              <w:rPr>
                <w:rStyle w:val="Hyperlink"/>
                <w:noProof/>
              </w:rPr>
              <w:t>Правомощия на определените органи (член 6)</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_Toc85617912 \h </w:instrText>
            </w:r>
            <w:r w:rsidR="00D66C30" w:rsidRPr="00D66C30">
              <w:rPr>
                <w:noProof/>
                <w:webHidden/>
              </w:rPr>
            </w:r>
            <w:r w:rsidR="00D66C30" w:rsidRPr="00D66C30">
              <w:rPr>
                <w:noProof/>
                <w:webHidden/>
              </w:rPr>
              <w:fldChar w:fldCharType="separate"/>
            </w:r>
            <w:r w:rsidR="00D66C30" w:rsidRPr="00D66C30">
              <w:rPr>
                <w:noProof/>
                <w:webHidden/>
              </w:rPr>
              <w:t>11</w:t>
            </w:r>
            <w:r w:rsidR="00D66C30" w:rsidRPr="00D66C30">
              <w:rPr>
                <w:noProof/>
                <w:webHidden/>
              </w:rPr>
              <w:fldChar w:fldCharType="end"/>
            </w:r>
          </w:hyperlink>
        </w:p>
        <w:p w14:paraId="20878CD1" w14:textId="7E86CEE4" w:rsidR="00D66C30" w:rsidRPr="00D66C30" w:rsidRDefault="00C42E60">
          <w:pPr>
            <w:pStyle w:val="TOC3"/>
            <w:tabs>
              <w:tab w:val="left" w:pos="1320"/>
              <w:tab w:val="right" w:leader="dot" w:pos="9350"/>
            </w:tabs>
            <w:rPr>
              <w:rFonts w:eastAsiaTheme="minorEastAsia"/>
              <w:noProof/>
              <w:lang w:val="en-US"/>
            </w:rPr>
          </w:pPr>
          <w:hyperlink w:anchor="_Toc85617913" w:history="1">
            <w:r w:rsidR="00D66C30" w:rsidRPr="00D66C30">
              <w:rPr>
                <w:rStyle w:val="Hyperlink"/>
                <w:noProof/>
              </w:rPr>
              <w:t>3.3.4.</w:t>
            </w:r>
            <w:r w:rsidR="00D66C30" w:rsidRPr="00D66C30">
              <w:rPr>
                <w:rFonts w:eastAsiaTheme="minorEastAsia"/>
                <w:noProof/>
                <w:lang w:val="en-US"/>
              </w:rPr>
              <w:tab/>
            </w:r>
            <w:r w:rsidR="00D66C30" w:rsidRPr="00D66C30">
              <w:rPr>
                <w:rStyle w:val="Hyperlink"/>
                <w:noProof/>
              </w:rPr>
              <w:t>Мерки за правоприлагане и санкции (член 6)</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_Toc85617913 \h </w:instrText>
            </w:r>
            <w:r w:rsidR="00D66C30" w:rsidRPr="00D66C30">
              <w:rPr>
                <w:noProof/>
                <w:webHidden/>
              </w:rPr>
            </w:r>
            <w:r w:rsidR="00D66C30" w:rsidRPr="00D66C30">
              <w:rPr>
                <w:noProof/>
                <w:webHidden/>
              </w:rPr>
              <w:fldChar w:fldCharType="separate"/>
            </w:r>
            <w:r w:rsidR="00D66C30" w:rsidRPr="00D66C30">
              <w:rPr>
                <w:noProof/>
                <w:webHidden/>
              </w:rPr>
              <w:t>12</w:t>
            </w:r>
            <w:r w:rsidR="00D66C30" w:rsidRPr="00D66C30">
              <w:rPr>
                <w:noProof/>
                <w:webHidden/>
              </w:rPr>
              <w:fldChar w:fldCharType="end"/>
            </w:r>
          </w:hyperlink>
        </w:p>
        <w:p w14:paraId="0B31FD47" w14:textId="7B18C82A" w:rsidR="00D66C30" w:rsidRDefault="00C42E60">
          <w:pPr>
            <w:pStyle w:val="TOC3"/>
            <w:tabs>
              <w:tab w:val="left" w:pos="1320"/>
              <w:tab w:val="right" w:leader="dot" w:pos="9350"/>
            </w:tabs>
            <w:rPr>
              <w:rFonts w:eastAsiaTheme="minorEastAsia"/>
              <w:noProof/>
              <w:lang w:val="en-US"/>
            </w:rPr>
          </w:pPr>
          <w:hyperlink w:anchor="_Toc85617914" w:history="1">
            <w:r w:rsidR="00D66C30" w:rsidRPr="00D66C30">
              <w:rPr>
                <w:rStyle w:val="Hyperlink"/>
                <w:noProof/>
              </w:rPr>
              <w:t>3.3.5.</w:t>
            </w:r>
            <w:r w:rsidR="00D66C30" w:rsidRPr="00D66C30">
              <w:rPr>
                <w:rFonts w:eastAsiaTheme="minorEastAsia"/>
                <w:noProof/>
                <w:lang w:val="en-US"/>
              </w:rPr>
              <w:tab/>
            </w:r>
            <w:r w:rsidR="00D66C30" w:rsidRPr="00D66C30">
              <w:rPr>
                <w:rStyle w:val="Hyperlink"/>
                <w:noProof/>
              </w:rPr>
              <w:t>Административно или съдебно правоприлагане и алтернативно разрешаване на спорове</w:t>
            </w:r>
            <w:r w:rsidR="00D66C30" w:rsidRPr="00D66C30">
              <w:rPr>
                <w:noProof/>
                <w:webHidden/>
              </w:rPr>
              <w:tab/>
            </w:r>
            <w:r w:rsidR="00D66C30" w:rsidRPr="00D66C30">
              <w:rPr>
                <w:noProof/>
                <w:webHidden/>
              </w:rPr>
              <w:fldChar w:fldCharType="begin"/>
            </w:r>
            <w:r w:rsidR="00D66C30" w:rsidRPr="00D66C30">
              <w:rPr>
                <w:noProof/>
                <w:webHidden/>
              </w:rPr>
              <w:instrText xml:space="preserve"> PAGEREF _Toc85617914 \h </w:instrText>
            </w:r>
            <w:r w:rsidR="00D66C30" w:rsidRPr="00D66C30">
              <w:rPr>
                <w:noProof/>
                <w:webHidden/>
              </w:rPr>
            </w:r>
            <w:r w:rsidR="00D66C30" w:rsidRPr="00D66C30">
              <w:rPr>
                <w:noProof/>
                <w:webHidden/>
              </w:rPr>
              <w:fldChar w:fldCharType="separate"/>
            </w:r>
            <w:r w:rsidR="00D66C30" w:rsidRPr="00D66C30">
              <w:rPr>
                <w:noProof/>
                <w:webHidden/>
              </w:rPr>
              <w:t>13</w:t>
            </w:r>
            <w:r w:rsidR="00D66C30" w:rsidRPr="00D66C30">
              <w:rPr>
                <w:noProof/>
                <w:webHidden/>
              </w:rPr>
              <w:fldChar w:fldCharType="end"/>
            </w:r>
          </w:hyperlink>
        </w:p>
        <w:p w14:paraId="17CE4DFC" w14:textId="4693E093" w:rsidR="00D66C30" w:rsidRDefault="00C42E60">
          <w:pPr>
            <w:pStyle w:val="TOC1"/>
            <w:tabs>
              <w:tab w:val="left" w:pos="440"/>
              <w:tab w:val="right" w:leader="dot" w:pos="9350"/>
            </w:tabs>
            <w:rPr>
              <w:rFonts w:eastAsiaTheme="minorEastAsia"/>
              <w:noProof/>
              <w:lang w:val="en-US"/>
            </w:rPr>
          </w:pPr>
          <w:hyperlink w:anchor="_Toc85617915" w:history="1">
            <w:r w:rsidR="00D66C30" w:rsidRPr="001E43DD">
              <w:rPr>
                <w:rStyle w:val="Hyperlink"/>
                <w:noProof/>
              </w:rPr>
              <w:t>4.</w:t>
            </w:r>
            <w:r w:rsidR="00D66C30">
              <w:rPr>
                <w:rFonts w:eastAsiaTheme="minorEastAsia"/>
                <w:noProof/>
                <w:lang w:val="en-US"/>
              </w:rPr>
              <w:tab/>
            </w:r>
            <w:r w:rsidR="00D66C30" w:rsidRPr="001E43DD">
              <w:rPr>
                <w:rStyle w:val="Hyperlink"/>
                <w:noProof/>
              </w:rPr>
              <w:t>Заключения</w:t>
            </w:r>
            <w:r w:rsidR="00D66C30">
              <w:rPr>
                <w:noProof/>
                <w:webHidden/>
              </w:rPr>
              <w:tab/>
            </w:r>
            <w:r w:rsidR="00D66C30">
              <w:rPr>
                <w:noProof/>
                <w:webHidden/>
              </w:rPr>
              <w:fldChar w:fldCharType="begin"/>
            </w:r>
            <w:r w:rsidR="00D66C30">
              <w:rPr>
                <w:noProof/>
                <w:webHidden/>
              </w:rPr>
              <w:instrText xml:space="preserve"> PAGEREF _Toc85617915 \h </w:instrText>
            </w:r>
            <w:r w:rsidR="00D66C30">
              <w:rPr>
                <w:noProof/>
                <w:webHidden/>
              </w:rPr>
            </w:r>
            <w:r w:rsidR="00D66C30">
              <w:rPr>
                <w:noProof/>
                <w:webHidden/>
              </w:rPr>
              <w:fldChar w:fldCharType="separate"/>
            </w:r>
            <w:r w:rsidR="00D66C30">
              <w:rPr>
                <w:noProof/>
                <w:webHidden/>
              </w:rPr>
              <w:t>14</w:t>
            </w:r>
            <w:r w:rsidR="00D66C30">
              <w:rPr>
                <w:noProof/>
                <w:webHidden/>
              </w:rPr>
              <w:fldChar w:fldCharType="end"/>
            </w:r>
          </w:hyperlink>
        </w:p>
        <w:p w14:paraId="02896165" w14:textId="667628EE" w:rsidR="00E83231" w:rsidRPr="00D66C30" w:rsidRDefault="00E83231">
          <w:pPr>
            <w:rPr>
              <w:noProof/>
            </w:rPr>
          </w:pPr>
          <w:r w:rsidRPr="00D66C30">
            <w:rPr>
              <w:bCs/>
              <w:noProof/>
            </w:rPr>
            <w:fldChar w:fldCharType="end"/>
          </w:r>
        </w:p>
      </w:sdtContent>
    </w:sdt>
    <w:p w14:paraId="6B6A0215" w14:textId="77777777" w:rsidR="00541177" w:rsidRDefault="00541177">
      <w:pPr>
        <w:rPr>
          <w:b/>
          <w:noProof/>
          <w:color w:val="444345"/>
          <w:szCs w:val="24"/>
        </w:rPr>
      </w:pPr>
      <w:r>
        <w:rPr>
          <w:noProof/>
        </w:rPr>
        <w:br w:type="page"/>
      </w:r>
    </w:p>
    <w:p w14:paraId="5CDEC7C8" w14:textId="3D65CD6E" w:rsidR="00541177" w:rsidRPr="00CF2E9C" w:rsidRDefault="00541177" w:rsidP="00541177">
      <w:pPr>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b/>
          <w:bCs/>
          <w:noProof/>
          <w:sz w:val="24"/>
          <w:szCs w:val="24"/>
        </w:rPr>
        <w:t>Съкращения на имената на държавите членки</w:t>
      </w:r>
      <w:r>
        <w:rPr>
          <w:rFonts w:ascii="Times New Roman" w:hAnsi="Times New Roman"/>
          <w:noProof/>
          <w:sz w:val="24"/>
          <w:szCs w:val="24"/>
        </w:rPr>
        <w:t xml:space="preserve">: </w:t>
      </w:r>
    </w:p>
    <w:tbl>
      <w:tblPr>
        <w:tblW w:w="634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8"/>
        <w:gridCol w:w="982"/>
        <w:gridCol w:w="2115"/>
      </w:tblGrid>
      <w:tr w:rsidR="00541177" w:rsidRPr="00541177" w14:paraId="239A2F9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9A320A4"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Белгия </w:t>
            </w:r>
          </w:p>
        </w:tc>
        <w:tc>
          <w:tcPr>
            <w:tcW w:w="982" w:type="dxa"/>
            <w:tcBorders>
              <w:top w:val="single" w:sz="6" w:space="0" w:color="auto"/>
              <w:left w:val="nil"/>
              <w:bottom w:val="single" w:sz="6" w:space="0" w:color="auto"/>
              <w:right w:val="nil"/>
            </w:tcBorders>
            <w:vAlign w:val="center"/>
          </w:tcPr>
          <w:p w14:paraId="32281D61"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BE </w:t>
            </w:r>
          </w:p>
        </w:tc>
        <w:tc>
          <w:tcPr>
            <w:tcW w:w="2115" w:type="dxa"/>
            <w:tcBorders>
              <w:top w:val="single" w:sz="6" w:space="0" w:color="auto"/>
              <w:left w:val="nil"/>
              <w:bottom w:val="single" w:sz="6" w:space="0" w:color="auto"/>
              <w:right w:val="single" w:sz="6" w:space="0" w:color="auto"/>
            </w:tcBorders>
          </w:tcPr>
          <w:p w14:paraId="47FBD7FF"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417E2898"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D20D1E0"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България </w:t>
            </w:r>
          </w:p>
        </w:tc>
        <w:tc>
          <w:tcPr>
            <w:tcW w:w="982" w:type="dxa"/>
            <w:tcBorders>
              <w:top w:val="nil"/>
              <w:left w:val="nil"/>
              <w:bottom w:val="single" w:sz="6" w:space="0" w:color="auto"/>
              <w:right w:val="nil"/>
            </w:tcBorders>
            <w:vAlign w:val="center"/>
          </w:tcPr>
          <w:p w14:paraId="1F2081A7"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BG </w:t>
            </w:r>
          </w:p>
        </w:tc>
        <w:tc>
          <w:tcPr>
            <w:tcW w:w="2115" w:type="dxa"/>
            <w:tcBorders>
              <w:top w:val="nil"/>
              <w:left w:val="nil"/>
              <w:bottom w:val="single" w:sz="6" w:space="0" w:color="auto"/>
              <w:right w:val="single" w:sz="6" w:space="0" w:color="auto"/>
            </w:tcBorders>
          </w:tcPr>
          <w:p w14:paraId="3D1AA023"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60E6B0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FE82CCE"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Чехия </w:t>
            </w:r>
          </w:p>
        </w:tc>
        <w:tc>
          <w:tcPr>
            <w:tcW w:w="982" w:type="dxa"/>
            <w:tcBorders>
              <w:top w:val="nil"/>
              <w:left w:val="nil"/>
              <w:bottom w:val="single" w:sz="6" w:space="0" w:color="auto"/>
              <w:right w:val="nil"/>
            </w:tcBorders>
            <w:vAlign w:val="center"/>
          </w:tcPr>
          <w:p w14:paraId="290BAFA8"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CZ </w:t>
            </w:r>
          </w:p>
        </w:tc>
        <w:tc>
          <w:tcPr>
            <w:tcW w:w="2115" w:type="dxa"/>
            <w:tcBorders>
              <w:top w:val="nil"/>
              <w:left w:val="nil"/>
              <w:bottom w:val="single" w:sz="6" w:space="0" w:color="auto"/>
              <w:right w:val="single" w:sz="6" w:space="0" w:color="auto"/>
            </w:tcBorders>
          </w:tcPr>
          <w:p w14:paraId="405E8B2F"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436F2CB"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22CED64"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Дания </w:t>
            </w:r>
          </w:p>
        </w:tc>
        <w:tc>
          <w:tcPr>
            <w:tcW w:w="982" w:type="dxa"/>
            <w:tcBorders>
              <w:top w:val="nil"/>
              <w:left w:val="nil"/>
              <w:bottom w:val="single" w:sz="6" w:space="0" w:color="auto"/>
              <w:right w:val="nil"/>
            </w:tcBorders>
            <w:vAlign w:val="center"/>
          </w:tcPr>
          <w:p w14:paraId="409C0D37"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DK </w:t>
            </w:r>
          </w:p>
        </w:tc>
        <w:tc>
          <w:tcPr>
            <w:tcW w:w="2115" w:type="dxa"/>
            <w:tcBorders>
              <w:top w:val="nil"/>
              <w:left w:val="nil"/>
              <w:bottom w:val="single" w:sz="6" w:space="0" w:color="auto"/>
              <w:right w:val="single" w:sz="6" w:space="0" w:color="auto"/>
            </w:tcBorders>
          </w:tcPr>
          <w:p w14:paraId="3DB3C26F"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E385162"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B0D20C0"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Германия </w:t>
            </w:r>
          </w:p>
        </w:tc>
        <w:tc>
          <w:tcPr>
            <w:tcW w:w="982" w:type="dxa"/>
            <w:tcBorders>
              <w:top w:val="nil"/>
              <w:left w:val="nil"/>
              <w:bottom w:val="single" w:sz="6" w:space="0" w:color="auto"/>
              <w:right w:val="nil"/>
            </w:tcBorders>
            <w:vAlign w:val="center"/>
          </w:tcPr>
          <w:p w14:paraId="01AE38C6"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DE </w:t>
            </w:r>
          </w:p>
        </w:tc>
        <w:tc>
          <w:tcPr>
            <w:tcW w:w="2115" w:type="dxa"/>
            <w:tcBorders>
              <w:top w:val="nil"/>
              <w:left w:val="nil"/>
              <w:bottom w:val="single" w:sz="6" w:space="0" w:color="auto"/>
              <w:right w:val="single" w:sz="6" w:space="0" w:color="auto"/>
            </w:tcBorders>
          </w:tcPr>
          <w:p w14:paraId="13C4C14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B18CE2F"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197061A"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Естония </w:t>
            </w:r>
          </w:p>
        </w:tc>
        <w:tc>
          <w:tcPr>
            <w:tcW w:w="982" w:type="dxa"/>
            <w:tcBorders>
              <w:top w:val="nil"/>
              <w:left w:val="nil"/>
              <w:bottom w:val="single" w:sz="6" w:space="0" w:color="auto"/>
              <w:right w:val="nil"/>
            </w:tcBorders>
            <w:vAlign w:val="center"/>
          </w:tcPr>
          <w:p w14:paraId="29D1E3B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EE </w:t>
            </w:r>
          </w:p>
        </w:tc>
        <w:tc>
          <w:tcPr>
            <w:tcW w:w="2115" w:type="dxa"/>
            <w:tcBorders>
              <w:top w:val="nil"/>
              <w:left w:val="nil"/>
              <w:bottom w:val="single" w:sz="6" w:space="0" w:color="auto"/>
              <w:right w:val="single" w:sz="6" w:space="0" w:color="auto"/>
            </w:tcBorders>
          </w:tcPr>
          <w:p w14:paraId="7418EBBE"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D26B12" w14:paraId="2C3E41B4"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1AACC27"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Ирландия </w:t>
            </w:r>
          </w:p>
        </w:tc>
        <w:tc>
          <w:tcPr>
            <w:tcW w:w="982" w:type="dxa"/>
            <w:tcBorders>
              <w:top w:val="nil"/>
              <w:left w:val="nil"/>
              <w:bottom w:val="single" w:sz="6" w:space="0" w:color="auto"/>
              <w:right w:val="nil"/>
            </w:tcBorders>
            <w:vAlign w:val="center"/>
          </w:tcPr>
          <w:p w14:paraId="10669703"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IE </w:t>
            </w:r>
          </w:p>
        </w:tc>
        <w:tc>
          <w:tcPr>
            <w:tcW w:w="2115" w:type="dxa"/>
            <w:tcBorders>
              <w:top w:val="nil"/>
              <w:left w:val="nil"/>
              <w:bottom w:val="single" w:sz="6" w:space="0" w:color="auto"/>
              <w:right w:val="single" w:sz="6" w:space="0" w:color="auto"/>
            </w:tcBorders>
          </w:tcPr>
          <w:p w14:paraId="4ABC1353"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9AC1B5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B6B551A"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Гърция </w:t>
            </w:r>
          </w:p>
        </w:tc>
        <w:tc>
          <w:tcPr>
            <w:tcW w:w="982" w:type="dxa"/>
            <w:tcBorders>
              <w:top w:val="nil"/>
              <w:left w:val="nil"/>
              <w:bottom w:val="single" w:sz="6" w:space="0" w:color="auto"/>
              <w:right w:val="nil"/>
            </w:tcBorders>
            <w:vAlign w:val="center"/>
          </w:tcPr>
          <w:p w14:paraId="0FACC7E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EL </w:t>
            </w:r>
          </w:p>
        </w:tc>
        <w:tc>
          <w:tcPr>
            <w:tcW w:w="2115" w:type="dxa"/>
            <w:tcBorders>
              <w:top w:val="nil"/>
              <w:left w:val="nil"/>
              <w:bottom w:val="single" w:sz="6" w:space="0" w:color="auto"/>
              <w:right w:val="single" w:sz="6" w:space="0" w:color="auto"/>
            </w:tcBorders>
          </w:tcPr>
          <w:p w14:paraId="727E7DC6"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2971B61"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AA22070"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Испания </w:t>
            </w:r>
          </w:p>
        </w:tc>
        <w:tc>
          <w:tcPr>
            <w:tcW w:w="982" w:type="dxa"/>
            <w:tcBorders>
              <w:top w:val="nil"/>
              <w:left w:val="nil"/>
              <w:bottom w:val="single" w:sz="6" w:space="0" w:color="auto"/>
              <w:right w:val="nil"/>
            </w:tcBorders>
            <w:vAlign w:val="center"/>
          </w:tcPr>
          <w:p w14:paraId="18C35350"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ES </w:t>
            </w:r>
          </w:p>
        </w:tc>
        <w:tc>
          <w:tcPr>
            <w:tcW w:w="2115" w:type="dxa"/>
            <w:tcBorders>
              <w:top w:val="nil"/>
              <w:left w:val="nil"/>
              <w:bottom w:val="single" w:sz="6" w:space="0" w:color="auto"/>
              <w:right w:val="single" w:sz="6" w:space="0" w:color="auto"/>
            </w:tcBorders>
          </w:tcPr>
          <w:p w14:paraId="185FE9C0"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133D5A2E"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A022DA7"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Франция </w:t>
            </w:r>
          </w:p>
        </w:tc>
        <w:tc>
          <w:tcPr>
            <w:tcW w:w="982" w:type="dxa"/>
            <w:tcBorders>
              <w:top w:val="nil"/>
              <w:left w:val="nil"/>
              <w:bottom w:val="single" w:sz="6" w:space="0" w:color="auto"/>
              <w:right w:val="nil"/>
            </w:tcBorders>
            <w:vAlign w:val="center"/>
          </w:tcPr>
          <w:p w14:paraId="709E6291"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FR </w:t>
            </w:r>
          </w:p>
        </w:tc>
        <w:tc>
          <w:tcPr>
            <w:tcW w:w="2115" w:type="dxa"/>
            <w:tcBorders>
              <w:top w:val="nil"/>
              <w:left w:val="nil"/>
              <w:bottom w:val="single" w:sz="6" w:space="0" w:color="auto"/>
              <w:right w:val="single" w:sz="6" w:space="0" w:color="auto"/>
            </w:tcBorders>
          </w:tcPr>
          <w:p w14:paraId="07383B08"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8374952"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3B959FF"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Хърватия </w:t>
            </w:r>
          </w:p>
        </w:tc>
        <w:tc>
          <w:tcPr>
            <w:tcW w:w="982" w:type="dxa"/>
            <w:tcBorders>
              <w:top w:val="nil"/>
              <w:left w:val="nil"/>
              <w:bottom w:val="single" w:sz="6" w:space="0" w:color="auto"/>
              <w:right w:val="nil"/>
            </w:tcBorders>
            <w:vAlign w:val="center"/>
          </w:tcPr>
          <w:p w14:paraId="68BE69D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HR </w:t>
            </w:r>
          </w:p>
        </w:tc>
        <w:tc>
          <w:tcPr>
            <w:tcW w:w="2115" w:type="dxa"/>
            <w:tcBorders>
              <w:top w:val="nil"/>
              <w:left w:val="nil"/>
              <w:bottom w:val="single" w:sz="6" w:space="0" w:color="auto"/>
              <w:right w:val="single" w:sz="6" w:space="0" w:color="auto"/>
            </w:tcBorders>
          </w:tcPr>
          <w:p w14:paraId="6BEE837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6F3FEA51"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C04B2D2"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Италия </w:t>
            </w:r>
          </w:p>
        </w:tc>
        <w:tc>
          <w:tcPr>
            <w:tcW w:w="982" w:type="dxa"/>
            <w:tcBorders>
              <w:top w:val="nil"/>
              <w:left w:val="nil"/>
              <w:bottom w:val="single" w:sz="6" w:space="0" w:color="auto"/>
              <w:right w:val="nil"/>
            </w:tcBorders>
            <w:vAlign w:val="center"/>
          </w:tcPr>
          <w:p w14:paraId="1B4CE893"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IT </w:t>
            </w:r>
          </w:p>
        </w:tc>
        <w:tc>
          <w:tcPr>
            <w:tcW w:w="2115" w:type="dxa"/>
            <w:tcBorders>
              <w:top w:val="nil"/>
              <w:left w:val="nil"/>
              <w:bottom w:val="single" w:sz="6" w:space="0" w:color="auto"/>
              <w:right w:val="single" w:sz="6" w:space="0" w:color="auto"/>
            </w:tcBorders>
          </w:tcPr>
          <w:p w14:paraId="70831169"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1E76100D"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20D2B54"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Кипър </w:t>
            </w:r>
          </w:p>
        </w:tc>
        <w:tc>
          <w:tcPr>
            <w:tcW w:w="982" w:type="dxa"/>
            <w:tcBorders>
              <w:top w:val="nil"/>
              <w:left w:val="nil"/>
              <w:bottom w:val="single" w:sz="6" w:space="0" w:color="auto"/>
              <w:right w:val="nil"/>
            </w:tcBorders>
            <w:vAlign w:val="center"/>
          </w:tcPr>
          <w:p w14:paraId="4E43D968"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CY </w:t>
            </w:r>
          </w:p>
        </w:tc>
        <w:tc>
          <w:tcPr>
            <w:tcW w:w="2115" w:type="dxa"/>
            <w:tcBorders>
              <w:top w:val="nil"/>
              <w:left w:val="nil"/>
              <w:bottom w:val="single" w:sz="6" w:space="0" w:color="auto"/>
              <w:right w:val="single" w:sz="6" w:space="0" w:color="auto"/>
            </w:tcBorders>
          </w:tcPr>
          <w:p w14:paraId="1BF844D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63BF4F34"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25286AF"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Латвия </w:t>
            </w:r>
          </w:p>
        </w:tc>
        <w:tc>
          <w:tcPr>
            <w:tcW w:w="982" w:type="dxa"/>
            <w:tcBorders>
              <w:top w:val="nil"/>
              <w:left w:val="nil"/>
              <w:bottom w:val="single" w:sz="6" w:space="0" w:color="auto"/>
              <w:right w:val="nil"/>
            </w:tcBorders>
            <w:vAlign w:val="center"/>
          </w:tcPr>
          <w:p w14:paraId="2305B7C0"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LV </w:t>
            </w:r>
          </w:p>
        </w:tc>
        <w:tc>
          <w:tcPr>
            <w:tcW w:w="2115" w:type="dxa"/>
            <w:tcBorders>
              <w:top w:val="nil"/>
              <w:left w:val="nil"/>
              <w:bottom w:val="single" w:sz="6" w:space="0" w:color="auto"/>
              <w:right w:val="single" w:sz="6" w:space="0" w:color="auto"/>
            </w:tcBorders>
          </w:tcPr>
          <w:p w14:paraId="2D6701D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32637AC"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3D4E6884"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Литва </w:t>
            </w:r>
          </w:p>
        </w:tc>
        <w:tc>
          <w:tcPr>
            <w:tcW w:w="982" w:type="dxa"/>
            <w:tcBorders>
              <w:top w:val="single" w:sz="6" w:space="0" w:color="auto"/>
              <w:left w:val="nil"/>
              <w:bottom w:val="single" w:sz="6" w:space="0" w:color="auto"/>
              <w:right w:val="nil"/>
            </w:tcBorders>
            <w:vAlign w:val="center"/>
          </w:tcPr>
          <w:p w14:paraId="040C55A4"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LT </w:t>
            </w:r>
          </w:p>
        </w:tc>
        <w:tc>
          <w:tcPr>
            <w:tcW w:w="2115" w:type="dxa"/>
            <w:tcBorders>
              <w:top w:val="single" w:sz="6" w:space="0" w:color="auto"/>
              <w:left w:val="nil"/>
              <w:bottom w:val="single" w:sz="6" w:space="0" w:color="auto"/>
              <w:right w:val="single" w:sz="6" w:space="0" w:color="auto"/>
            </w:tcBorders>
          </w:tcPr>
          <w:p w14:paraId="683E2534"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CA76386"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5C329E05"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Люксембург </w:t>
            </w:r>
          </w:p>
        </w:tc>
        <w:tc>
          <w:tcPr>
            <w:tcW w:w="982" w:type="dxa"/>
            <w:tcBorders>
              <w:top w:val="nil"/>
              <w:left w:val="nil"/>
              <w:bottom w:val="single" w:sz="6" w:space="0" w:color="auto"/>
              <w:right w:val="nil"/>
            </w:tcBorders>
            <w:vAlign w:val="center"/>
          </w:tcPr>
          <w:p w14:paraId="1CE50C2C"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LU </w:t>
            </w:r>
          </w:p>
        </w:tc>
        <w:tc>
          <w:tcPr>
            <w:tcW w:w="2115" w:type="dxa"/>
            <w:tcBorders>
              <w:top w:val="nil"/>
              <w:left w:val="nil"/>
              <w:bottom w:val="single" w:sz="6" w:space="0" w:color="auto"/>
              <w:right w:val="single" w:sz="6" w:space="0" w:color="auto"/>
            </w:tcBorders>
          </w:tcPr>
          <w:p w14:paraId="1A10AC1C"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AB9D973"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0CA1CBBF"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Унгария </w:t>
            </w:r>
          </w:p>
        </w:tc>
        <w:tc>
          <w:tcPr>
            <w:tcW w:w="982" w:type="dxa"/>
            <w:tcBorders>
              <w:top w:val="nil"/>
              <w:left w:val="nil"/>
              <w:bottom w:val="single" w:sz="6" w:space="0" w:color="auto"/>
              <w:right w:val="nil"/>
            </w:tcBorders>
            <w:vAlign w:val="center"/>
          </w:tcPr>
          <w:p w14:paraId="36121D7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HU </w:t>
            </w:r>
          </w:p>
        </w:tc>
        <w:tc>
          <w:tcPr>
            <w:tcW w:w="2115" w:type="dxa"/>
            <w:tcBorders>
              <w:top w:val="nil"/>
              <w:left w:val="nil"/>
              <w:bottom w:val="single" w:sz="6" w:space="0" w:color="auto"/>
              <w:right w:val="single" w:sz="6" w:space="0" w:color="auto"/>
            </w:tcBorders>
          </w:tcPr>
          <w:p w14:paraId="7001A8E9"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B7BAED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16D7CC59"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Малта </w:t>
            </w:r>
          </w:p>
        </w:tc>
        <w:tc>
          <w:tcPr>
            <w:tcW w:w="982" w:type="dxa"/>
            <w:tcBorders>
              <w:top w:val="nil"/>
              <w:left w:val="nil"/>
              <w:bottom w:val="single" w:sz="6" w:space="0" w:color="auto"/>
              <w:right w:val="nil"/>
            </w:tcBorders>
            <w:vAlign w:val="center"/>
          </w:tcPr>
          <w:p w14:paraId="6FC73551"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MT </w:t>
            </w:r>
          </w:p>
        </w:tc>
        <w:tc>
          <w:tcPr>
            <w:tcW w:w="2115" w:type="dxa"/>
            <w:tcBorders>
              <w:top w:val="nil"/>
              <w:left w:val="nil"/>
              <w:bottom w:val="single" w:sz="6" w:space="0" w:color="auto"/>
              <w:right w:val="single" w:sz="6" w:space="0" w:color="auto"/>
            </w:tcBorders>
          </w:tcPr>
          <w:p w14:paraId="48554D1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09F120CE"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22EF6A7D"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Нидерландия </w:t>
            </w:r>
          </w:p>
        </w:tc>
        <w:tc>
          <w:tcPr>
            <w:tcW w:w="982" w:type="dxa"/>
            <w:tcBorders>
              <w:top w:val="nil"/>
              <w:left w:val="nil"/>
              <w:bottom w:val="single" w:sz="6" w:space="0" w:color="auto"/>
              <w:right w:val="nil"/>
            </w:tcBorders>
            <w:vAlign w:val="center"/>
          </w:tcPr>
          <w:p w14:paraId="55D504F7"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NL </w:t>
            </w:r>
          </w:p>
        </w:tc>
        <w:tc>
          <w:tcPr>
            <w:tcW w:w="2115" w:type="dxa"/>
            <w:tcBorders>
              <w:top w:val="nil"/>
              <w:left w:val="nil"/>
              <w:bottom w:val="single" w:sz="6" w:space="0" w:color="auto"/>
              <w:right w:val="single" w:sz="6" w:space="0" w:color="auto"/>
            </w:tcBorders>
          </w:tcPr>
          <w:p w14:paraId="682C637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4FF3ECF"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02843E61"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Австрия </w:t>
            </w:r>
          </w:p>
        </w:tc>
        <w:tc>
          <w:tcPr>
            <w:tcW w:w="982" w:type="dxa"/>
            <w:tcBorders>
              <w:top w:val="nil"/>
              <w:left w:val="nil"/>
              <w:bottom w:val="single" w:sz="6" w:space="0" w:color="auto"/>
              <w:right w:val="nil"/>
            </w:tcBorders>
            <w:vAlign w:val="center"/>
          </w:tcPr>
          <w:p w14:paraId="2659C3E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AT </w:t>
            </w:r>
          </w:p>
        </w:tc>
        <w:tc>
          <w:tcPr>
            <w:tcW w:w="2115" w:type="dxa"/>
            <w:tcBorders>
              <w:top w:val="nil"/>
              <w:left w:val="nil"/>
              <w:bottom w:val="single" w:sz="6" w:space="0" w:color="auto"/>
              <w:right w:val="single" w:sz="6" w:space="0" w:color="auto"/>
            </w:tcBorders>
          </w:tcPr>
          <w:p w14:paraId="5CBDB616"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68564EA1"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7F197CB6"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Полша </w:t>
            </w:r>
          </w:p>
        </w:tc>
        <w:tc>
          <w:tcPr>
            <w:tcW w:w="982" w:type="dxa"/>
            <w:tcBorders>
              <w:top w:val="nil"/>
              <w:left w:val="nil"/>
              <w:bottom w:val="single" w:sz="6" w:space="0" w:color="auto"/>
              <w:right w:val="nil"/>
            </w:tcBorders>
            <w:vAlign w:val="center"/>
          </w:tcPr>
          <w:p w14:paraId="0FD25984"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PL </w:t>
            </w:r>
          </w:p>
        </w:tc>
        <w:tc>
          <w:tcPr>
            <w:tcW w:w="2115" w:type="dxa"/>
            <w:tcBorders>
              <w:top w:val="nil"/>
              <w:left w:val="nil"/>
              <w:bottom w:val="single" w:sz="6" w:space="0" w:color="auto"/>
              <w:right w:val="single" w:sz="6" w:space="0" w:color="auto"/>
            </w:tcBorders>
          </w:tcPr>
          <w:p w14:paraId="13C0D920"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270803FD"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5213648F"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Португалия </w:t>
            </w:r>
          </w:p>
        </w:tc>
        <w:tc>
          <w:tcPr>
            <w:tcW w:w="982" w:type="dxa"/>
            <w:tcBorders>
              <w:top w:val="nil"/>
              <w:left w:val="nil"/>
              <w:bottom w:val="single" w:sz="6" w:space="0" w:color="auto"/>
              <w:right w:val="nil"/>
            </w:tcBorders>
            <w:vAlign w:val="center"/>
          </w:tcPr>
          <w:p w14:paraId="4D059545"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PT </w:t>
            </w:r>
          </w:p>
        </w:tc>
        <w:tc>
          <w:tcPr>
            <w:tcW w:w="2115" w:type="dxa"/>
            <w:tcBorders>
              <w:top w:val="nil"/>
              <w:left w:val="nil"/>
              <w:bottom w:val="single" w:sz="6" w:space="0" w:color="auto"/>
              <w:right w:val="single" w:sz="6" w:space="0" w:color="auto"/>
            </w:tcBorders>
          </w:tcPr>
          <w:p w14:paraId="6A3C514E"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53D81189"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798DD4E7"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Румъния </w:t>
            </w:r>
          </w:p>
        </w:tc>
        <w:tc>
          <w:tcPr>
            <w:tcW w:w="982" w:type="dxa"/>
            <w:tcBorders>
              <w:top w:val="nil"/>
              <w:left w:val="nil"/>
              <w:bottom w:val="single" w:sz="6" w:space="0" w:color="auto"/>
              <w:right w:val="nil"/>
            </w:tcBorders>
            <w:vAlign w:val="center"/>
          </w:tcPr>
          <w:p w14:paraId="512D938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RO </w:t>
            </w:r>
          </w:p>
        </w:tc>
        <w:tc>
          <w:tcPr>
            <w:tcW w:w="2115" w:type="dxa"/>
            <w:tcBorders>
              <w:top w:val="nil"/>
              <w:left w:val="nil"/>
              <w:bottom w:val="single" w:sz="6" w:space="0" w:color="auto"/>
              <w:right w:val="single" w:sz="6" w:space="0" w:color="auto"/>
            </w:tcBorders>
          </w:tcPr>
          <w:p w14:paraId="5C80CA27"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5A4DAF3A"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232586AB"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Словения </w:t>
            </w:r>
          </w:p>
        </w:tc>
        <w:tc>
          <w:tcPr>
            <w:tcW w:w="982" w:type="dxa"/>
            <w:tcBorders>
              <w:top w:val="nil"/>
              <w:left w:val="nil"/>
              <w:bottom w:val="single" w:sz="6" w:space="0" w:color="auto"/>
              <w:right w:val="nil"/>
            </w:tcBorders>
            <w:vAlign w:val="center"/>
          </w:tcPr>
          <w:p w14:paraId="71AC160D"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SI </w:t>
            </w:r>
          </w:p>
        </w:tc>
        <w:tc>
          <w:tcPr>
            <w:tcW w:w="2115" w:type="dxa"/>
            <w:tcBorders>
              <w:top w:val="nil"/>
              <w:left w:val="nil"/>
              <w:bottom w:val="single" w:sz="6" w:space="0" w:color="auto"/>
              <w:right w:val="single" w:sz="6" w:space="0" w:color="auto"/>
            </w:tcBorders>
          </w:tcPr>
          <w:p w14:paraId="71D6D8F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127C51BF"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714832E3"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Словакия </w:t>
            </w:r>
          </w:p>
        </w:tc>
        <w:tc>
          <w:tcPr>
            <w:tcW w:w="982" w:type="dxa"/>
            <w:tcBorders>
              <w:top w:val="nil"/>
              <w:left w:val="nil"/>
              <w:bottom w:val="single" w:sz="6" w:space="0" w:color="auto"/>
              <w:right w:val="nil"/>
            </w:tcBorders>
            <w:vAlign w:val="center"/>
          </w:tcPr>
          <w:p w14:paraId="79D5211A"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SK </w:t>
            </w:r>
          </w:p>
        </w:tc>
        <w:tc>
          <w:tcPr>
            <w:tcW w:w="2115" w:type="dxa"/>
            <w:tcBorders>
              <w:top w:val="nil"/>
              <w:left w:val="nil"/>
              <w:bottom w:val="single" w:sz="6" w:space="0" w:color="auto"/>
              <w:right w:val="single" w:sz="6" w:space="0" w:color="auto"/>
            </w:tcBorders>
          </w:tcPr>
          <w:p w14:paraId="0063DF5B"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756690AB"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4658BBE5"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Финландия </w:t>
            </w:r>
          </w:p>
        </w:tc>
        <w:tc>
          <w:tcPr>
            <w:tcW w:w="982" w:type="dxa"/>
            <w:tcBorders>
              <w:top w:val="nil"/>
              <w:left w:val="nil"/>
              <w:bottom w:val="single" w:sz="6" w:space="0" w:color="auto"/>
              <w:right w:val="nil"/>
            </w:tcBorders>
            <w:vAlign w:val="center"/>
          </w:tcPr>
          <w:p w14:paraId="552D082E"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FI </w:t>
            </w:r>
          </w:p>
        </w:tc>
        <w:tc>
          <w:tcPr>
            <w:tcW w:w="2115" w:type="dxa"/>
            <w:tcBorders>
              <w:top w:val="nil"/>
              <w:left w:val="nil"/>
              <w:bottom w:val="single" w:sz="6" w:space="0" w:color="auto"/>
              <w:right w:val="single" w:sz="6" w:space="0" w:color="auto"/>
            </w:tcBorders>
          </w:tcPr>
          <w:p w14:paraId="3B9F9D69"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r w:rsidR="00541177" w:rsidRPr="00541177" w14:paraId="3CDC18B7" w14:textId="77777777" w:rsidTr="00CF2E9C">
        <w:trPr>
          <w:trHeight w:val="450"/>
        </w:trPr>
        <w:tc>
          <w:tcPr>
            <w:tcW w:w="3248" w:type="dxa"/>
            <w:tcBorders>
              <w:top w:val="single" w:sz="6" w:space="0" w:color="auto"/>
              <w:left w:val="single" w:sz="4" w:space="0" w:color="auto"/>
              <w:bottom w:val="single" w:sz="6" w:space="0" w:color="auto"/>
              <w:right w:val="single" w:sz="6" w:space="0" w:color="auto"/>
            </w:tcBorders>
            <w:shd w:val="clear" w:color="auto" w:fill="auto"/>
            <w:vAlign w:val="center"/>
          </w:tcPr>
          <w:p w14:paraId="7AC8F3EB" w14:textId="77777777" w:rsidR="00541177" w:rsidRPr="00541177"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Швеция </w:t>
            </w:r>
          </w:p>
        </w:tc>
        <w:tc>
          <w:tcPr>
            <w:tcW w:w="982" w:type="dxa"/>
            <w:tcBorders>
              <w:top w:val="nil"/>
              <w:left w:val="nil"/>
              <w:bottom w:val="single" w:sz="6" w:space="0" w:color="auto"/>
              <w:right w:val="nil"/>
            </w:tcBorders>
            <w:vAlign w:val="center"/>
          </w:tcPr>
          <w:p w14:paraId="0A426BB2"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rPr>
            </w:pPr>
            <w:r>
              <w:rPr>
                <w:rFonts w:ascii="Times New Roman" w:hAnsi="Times New Roman"/>
                <w:noProof/>
                <w:sz w:val="24"/>
                <w:szCs w:val="24"/>
              </w:rPr>
              <w:t>SE </w:t>
            </w:r>
          </w:p>
        </w:tc>
        <w:tc>
          <w:tcPr>
            <w:tcW w:w="2115" w:type="dxa"/>
            <w:tcBorders>
              <w:top w:val="nil"/>
              <w:left w:val="nil"/>
              <w:bottom w:val="single" w:sz="6" w:space="0" w:color="auto"/>
              <w:right w:val="single" w:sz="6" w:space="0" w:color="auto"/>
            </w:tcBorders>
          </w:tcPr>
          <w:p w14:paraId="312A3FBE" w14:textId="77777777" w:rsidR="00541177" w:rsidRPr="00CF2E9C" w:rsidRDefault="00541177" w:rsidP="00541177">
            <w:pPr>
              <w:spacing w:after="0" w:line="240" w:lineRule="auto"/>
              <w:ind w:left="165"/>
              <w:jc w:val="both"/>
              <w:textAlignment w:val="baseline"/>
              <w:rPr>
                <w:rFonts w:ascii="Times New Roman" w:eastAsia="Times New Roman" w:hAnsi="Times New Roman" w:cs="Times New Roman"/>
                <w:noProof/>
                <w:sz w:val="24"/>
                <w:szCs w:val="24"/>
                <w:lang w:val="en-GB" w:eastAsia="en-GB"/>
              </w:rPr>
            </w:pPr>
          </w:p>
        </w:tc>
      </w:tr>
    </w:tbl>
    <w:p w14:paraId="62AD0343" w14:textId="77777777" w:rsidR="00CA535F" w:rsidRPr="00E3367E" w:rsidRDefault="00345126" w:rsidP="00CF2E9C">
      <w:pPr>
        <w:pStyle w:val="Heading1"/>
        <w:spacing w:before="0" w:after="240"/>
        <w:ind w:left="0" w:firstLine="0"/>
        <w:rPr>
          <w:noProof/>
        </w:rPr>
      </w:pPr>
      <w:bookmarkStart w:id="3" w:name="_Toc78461423"/>
      <w:bookmarkStart w:id="4" w:name="_Toc85617898"/>
      <w:r>
        <w:rPr>
          <w:noProof/>
        </w:rPr>
        <w:t>Въведение</w:t>
      </w:r>
      <w:bookmarkEnd w:id="0"/>
      <w:bookmarkEnd w:id="3"/>
      <w:bookmarkEnd w:id="4"/>
    </w:p>
    <w:p w14:paraId="226318ED" w14:textId="77777777" w:rsidR="00CA535F" w:rsidRPr="00F34DFA" w:rsidRDefault="00345126" w:rsidP="00CF2E9C">
      <w:pPr>
        <w:pStyle w:val="Heading2"/>
        <w:spacing w:before="0" w:after="240"/>
        <w:ind w:left="0" w:firstLine="0"/>
        <w:rPr>
          <w:noProof/>
        </w:rPr>
      </w:pPr>
      <w:bookmarkStart w:id="5" w:name="_Toc78461424"/>
      <w:bookmarkStart w:id="6" w:name="_Toc85617899"/>
      <w:r>
        <w:rPr>
          <w:noProof/>
        </w:rPr>
        <w:t>Контекст и цели на директивата</w:t>
      </w:r>
      <w:bookmarkEnd w:id="5"/>
      <w:bookmarkEnd w:id="6"/>
    </w:p>
    <w:p w14:paraId="4EC0120A" w14:textId="0A0C5058" w:rsidR="00FC78F5" w:rsidRPr="00E3367E" w:rsidRDefault="003B0833" w:rsidP="00CF2E9C">
      <w:pPr>
        <w:pStyle w:val="Text1"/>
        <w:spacing w:before="0" w:after="240"/>
        <w:ind w:left="0"/>
        <w:rPr>
          <w:noProof/>
        </w:rPr>
      </w:pPr>
      <w:r>
        <w:rPr>
          <w:noProof/>
        </w:rPr>
        <w:t>След продължителни преговори</w:t>
      </w:r>
      <w:r>
        <w:rPr>
          <w:rStyle w:val="FootnoteReference"/>
          <w:noProof/>
          <w:lang w:val="en-US"/>
        </w:rPr>
        <w:footnoteReference w:id="2"/>
      </w:r>
      <w:r>
        <w:rPr>
          <w:noProof/>
        </w:rPr>
        <w:t xml:space="preserve"> на 17 април 2019 г. Европейският парламент и Съветът приеха Директива (ЕС) 2019/633 относно нелоялните търговски практики в отношенията между стопанските субекти във веригата за доставки на селскостопански и хранителни продукти (наричана по-нататък „Директивата“). Директивата беше въведена съгласно член 43 от Договора за функционирането на Европейския съюз, с цел да бъде забранен списък с нелоялни търговски практики (НТП) — свързани най-вече със значителни дисбаланси в преговорните позиции между доставчици и купувачи — които се отклоняват грубо от етичното търговско поведение</w:t>
      </w:r>
      <w:r>
        <w:rPr>
          <w:rStyle w:val="FootnoteReference"/>
          <w:noProof/>
          <w:lang w:val="en-US"/>
        </w:rPr>
        <w:footnoteReference w:id="3"/>
      </w:r>
      <w:r>
        <w:rPr>
          <w:noProof/>
        </w:rPr>
        <w:t>.</w:t>
      </w:r>
    </w:p>
    <w:p w14:paraId="3980F096" w14:textId="63CDBB32" w:rsidR="00800C81" w:rsidRPr="00E3367E" w:rsidRDefault="7B58F987" w:rsidP="00CF2E9C">
      <w:pPr>
        <w:pStyle w:val="Text1"/>
        <w:spacing w:before="0" w:after="240"/>
        <w:ind w:left="0"/>
        <w:rPr>
          <w:noProof/>
        </w:rPr>
      </w:pPr>
      <w:r>
        <w:rPr>
          <w:noProof/>
        </w:rPr>
        <w:t>В директивата се отчита отрицателното въздействие на НТП върху земеделските стопани — както като преки жертви на тези практики, така и като косвени жертви на каскадните им ефекти, когато те се проявяват на последващите етапи по веригата</w:t>
      </w:r>
      <w:r>
        <w:rPr>
          <w:rStyle w:val="FootnoteReference"/>
          <w:noProof/>
          <w:lang w:val="en-US"/>
        </w:rPr>
        <w:footnoteReference w:id="4"/>
      </w:r>
      <w:r>
        <w:rPr>
          <w:noProof/>
        </w:rPr>
        <w:t>. Въпреки че повечето държави членки (ДЧ) имаха прието национално законодателство или насърчаваха различни форми на правила за частния сектор много преди директивата, фрагментарността на тази правна рамка подчерта потенциалната полза от приемането на правила на равнището на ЕС</w:t>
      </w:r>
      <w:r>
        <w:rPr>
          <w:rStyle w:val="FootnoteReference"/>
          <w:noProof/>
          <w:lang w:val="en-US"/>
        </w:rPr>
        <w:footnoteReference w:id="5"/>
      </w:r>
      <w:r>
        <w:rPr>
          <w:noProof/>
        </w:rPr>
        <w:t xml:space="preserve">.  </w:t>
      </w:r>
    </w:p>
    <w:p w14:paraId="13E124A8" w14:textId="5C1DE041" w:rsidR="004D05D4" w:rsidRPr="00E3367E" w:rsidRDefault="00800C81" w:rsidP="00CF2E9C">
      <w:pPr>
        <w:pStyle w:val="Text1"/>
        <w:spacing w:before="0" w:after="240"/>
        <w:ind w:left="0"/>
        <w:rPr>
          <w:noProof/>
        </w:rPr>
      </w:pPr>
      <w:r>
        <w:rPr>
          <w:noProof/>
        </w:rPr>
        <w:t xml:space="preserve">Директивата е задължителна за всички 27 ДЧ. В нея се предвижда минимално равнище на хармонизация посредством определянето на списък на забранени НТП в отношенията между купувачите и доставчиците във веригата за доставки на селскостопански и хранителни продукти. В нея също така се определят минимални правила относно приложното ѝ поле и основните определения, както и прилагането на тези забрани и координацията между правоприлагащите органи на различните ДЧ. ДЧ могат да приемат или запазят национални правила, които обхващат и други НТП, освен посочените в директивата, при условие че тези национални правила са съвместими с правилата за функционирането на вътрешния пазар.    </w:t>
      </w:r>
    </w:p>
    <w:p w14:paraId="3F47EA2B" w14:textId="77777777" w:rsidR="00CA535F" w:rsidRPr="00F34DFA" w:rsidRDefault="00345126" w:rsidP="00CF2E9C">
      <w:pPr>
        <w:pStyle w:val="Heading2"/>
        <w:spacing w:before="0" w:after="240"/>
        <w:ind w:left="0" w:firstLine="0"/>
        <w:rPr>
          <w:noProof/>
        </w:rPr>
      </w:pPr>
      <w:bookmarkStart w:id="7" w:name="_Toc78461425"/>
      <w:bookmarkStart w:id="8" w:name="_Toc85617900"/>
      <w:r>
        <w:rPr>
          <w:noProof/>
        </w:rPr>
        <w:t>Цел и обхват на настоящия доклад</w:t>
      </w:r>
      <w:bookmarkEnd w:id="7"/>
      <w:bookmarkEnd w:id="8"/>
      <w:r>
        <w:rPr>
          <w:noProof/>
        </w:rPr>
        <w:t xml:space="preserve"> </w:t>
      </w:r>
    </w:p>
    <w:p w14:paraId="44EF42BF" w14:textId="7F9C1E9C" w:rsidR="00CA535F" w:rsidRPr="00E3367E" w:rsidRDefault="00DA72A6" w:rsidP="00CF2E9C">
      <w:pPr>
        <w:pStyle w:val="Text1"/>
        <w:spacing w:before="0" w:after="240"/>
        <w:ind w:left="0"/>
        <w:rPr>
          <w:noProof/>
        </w:rPr>
      </w:pPr>
      <w:r>
        <w:rPr>
          <w:noProof/>
        </w:rPr>
        <w:t xml:space="preserve">В член 13 от директивата се предвижда, че до 1 май 2021 г. ДЧ трябва да приемат и публикуват законовите, подзаконовите и административните разпоредби, необходими за спазването на тази директива. Те трябва незабавно да информират Комисията за тези мерки и да започнат да ги прилагат не по-късно от 1 ноември 2021 г. </w:t>
      </w:r>
    </w:p>
    <w:p w14:paraId="16DDF3A1" w14:textId="752BB568" w:rsidR="617C5C57" w:rsidRPr="00D72408" w:rsidRDefault="79A85945" w:rsidP="00CF2E9C">
      <w:pPr>
        <w:pStyle w:val="Text1"/>
        <w:spacing w:before="0" w:after="240"/>
        <w:ind w:left="0"/>
        <w:rPr>
          <w:noProof/>
        </w:rPr>
      </w:pPr>
      <w:r>
        <w:rPr>
          <w:noProof/>
        </w:rPr>
        <w:t xml:space="preserve">В настоящия доклад се отчита актуалното състояние на транспонирането на директивата от 27-те ДЧ (член 12, параграф 4), като се вземат предвид всички нотификации, получени от Комисията до 31 юли 2021 г. В доклада обаче не се дава оценка на мерките за транспониране. </w:t>
      </w:r>
    </w:p>
    <w:p w14:paraId="5BD822C1" w14:textId="77777777" w:rsidR="617C5C57" w:rsidRDefault="14A5B1E2" w:rsidP="00CF2E9C">
      <w:pPr>
        <w:pStyle w:val="Heading2"/>
        <w:spacing w:before="0" w:after="240"/>
        <w:ind w:left="0" w:firstLine="0"/>
        <w:rPr>
          <w:noProof/>
        </w:rPr>
      </w:pPr>
      <w:bookmarkStart w:id="9" w:name="_Toc78461426"/>
      <w:bookmarkStart w:id="10" w:name="_Toc85617901"/>
      <w:r>
        <w:rPr>
          <w:noProof/>
        </w:rPr>
        <w:t>Процес на транспониране</w:t>
      </w:r>
      <w:bookmarkEnd w:id="9"/>
      <w:bookmarkEnd w:id="10"/>
    </w:p>
    <w:p w14:paraId="0DBA39F5" w14:textId="7299E1FF" w:rsidR="617C5C57" w:rsidRPr="00250233" w:rsidRDefault="00D225F3" w:rsidP="00CF2E9C">
      <w:pPr>
        <w:pStyle w:val="Text1"/>
        <w:spacing w:before="0" w:after="240"/>
        <w:ind w:left="0"/>
        <w:rPr>
          <w:noProof/>
          <w:szCs w:val="24"/>
        </w:rPr>
      </w:pPr>
      <w:r>
        <w:rPr>
          <w:noProof/>
        </w:rPr>
        <w:t xml:space="preserve">През двете години от приемането на директивата през април 2019 г. до изтичането на крайния срок за транспониране през май 2021 г. Комисията съпровождаше плътно ДЧ в съответните техни действия в процеса на транспониране. Комисията организира четири специални срещи за обсъждане на запитвания от ДЧ относно изпълнението, отговори на около 50 отделни писмени запитвания относно изпълнението и ги сподели с другите ДЧ посредством създаден за целта уебсайт. Освен това бяха проведени редица двустранни срещи и обмен на информация, а малко след крайния срок за транспониране се състоя допълнителна среща с ДЧ за преглед на транспонирането и актуалното състояние. </w:t>
      </w:r>
    </w:p>
    <w:p w14:paraId="3C4E1870" w14:textId="0A89F004" w:rsidR="617C5C57" w:rsidRPr="00250233" w:rsidRDefault="00E10275" w:rsidP="00CF2E9C">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В съответствие с член 8, параграф 3 Комисията създаде публичен уебсайт</w:t>
      </w:r>
      <w:r>
        <w:rPr>
          <w:rFonts w:ascii="Times New Roman" w:eastAsia="Times New Roman" w:hAnsi="Times New Roman" w:cs="Times New Roman"/>
          <w:noProof/>
          <w:sz w:val="24"/>
          <w:szCs w:val="24"/>
          <w:vertAlign w:val="superscript"/>
          <w:lang w:val="en-GB"/>
        </w:rPr>
        <w:footnoteReference w:id="6"/>
      </w:r>
      <w:r>
        <w:rPr>
          <w:rFonts w:ascii="Times New Roman" w:hAnsi="Times New Roman"/>
          <w:noProof/>
          <w:sz w:val="24"/>
          <w:szCs w:val="24"/>
        </w:rPr>
        <w:t>, който съдържа данни за връзка с определените национални правоприлагащи органи и връзки към съответните им уебсайтове. Освен това Комисията създаде непубличен уебсайт, за да даде възможност за обмен на информация между правоприлагащите органи и Комисията.</w:t>
      </w:r>
    </w:p>
    <w:p w14:paraId="1B0C4F84" w14:textId="77777777" w:rsidR="00CA535F" w:rsidRPr="00E3367E" w:rsidRDefault="00104304" w:rsidP="00CF2E9C">
      <w:pPr>
        <w:pStyle w:val="Heading1"/>
        <w:spacing w:before="0" w:after="240"/>
        <w:ind w:left="0" w:firstLine="0"/>
        <w:rPr>
          <w:noProof/>
        </w:rPr>
      </w:pPr>
      <w:bookmarkStart w:id="11" w:name="_Toc379988874"/>
      <w:bookmarkStart w:id="12" w:name="_Toc78461427"/>
      <w:bookmarkStart w:id="13" w:name="_Toc85617902"/>
      <w:r>
        <w:rPr>
          <w:noProof/>
        </w:rPr>
        <w:t>Общ преглед</w:t>
      </w:r>
      <w:bookmarkEnd w:id="11"/>
      <w:bookmarkEnd w:id="12"/>
      <w:bookmarkEnd w:id="13"/>
    </w:p>
    <w:p w14:paraId="425331BA" w14:textId="35D90316" w:rsidR="00CA535F" w:rsidRPr="00E3367E" w:rsidRDefault="00747065" w:rsidP="00CF2E9C">
      <w:pPr>
        <w:pStyle w:val="Text1"/>
        <w:spacing w:before="0" w:after="240"/>
        <w:ind w:left="0"/>
        <w:rPr>
          <w:noProof/>
        </w:rPr>
      </w:pPr>
      <w:r>
        <w:rPr>
          <w:noProof/>
        </w:rPr>
        <w:t>Съгласно член 13 от директивата държавите членки трябваше да я транспонират в националното си законодателство до 1 май 2021 г.</w:t>
      </w:r>
    </w:p>
    <w:p w14:paraId="0CA77DF2" w14:textId="35604169" w:rsidR="00B8103F" w:rsidRPr="00E3367E" w:rsidRDefault="00747065" w:rsidP="00CF2E9C">
      <w:pPr>
        <w:pStyle w:val="Text1"/>
        <w:spacing w:before="0" w:after="240"/>
        <w:ind w:left="0"/>
        <w:rPr>
          <w:noProof/>
        </w:rPr>
      </w:pPr>
      <w:r>
        <w:rPr>
          <w:noProof/>
        </w:rPr>
        <w:t>До 31 юли 2021 г. 15 от 27-те ДЧ уведомиха Комисията за своите национални мерки за транспониране, с които директивата е била транспонирана напълно (BG, DK, EL, FI, IE, LV, NL, HR, HU, LU, DE, LT, MT, SE и SK)</w:t>
      </w:r>
      <w:r>
        <w:rPr>
          <w:rStyle w:val="FootnoteReference"/>
          <w:noProof/>
        </w:rPr>
        <w:footnoteReference w:id="7"/>
      </w:r>
      <w:r>
        <w:rPr>
          <w:noProof/>
        </w:rPr>
        <w:t>. Въпреки че FR уведоми Комисията, че към тази дата директивата е била транспонирана само частично, тя също е включена в анализа в настоящия доклад. Настоящият доклад е съсредоточен върху транспонирането от тези 16</w:t>
      </w:r>
      <w:r>
        <w:rPr>
          <w:b/>
          <w:noProof/>
        </w:rPr>
        <w:t xml:space="preserve"> </w:t>
      </w:r>
      <w:r>
        <w:rPr>
          <w:noProof/>
        </w:rPr>
        <w:t>ДЧ; поради това препратките към „ДЧ“ по-нататък се отнасят до тези 16 ДЧ.</w:t>
      </w:r>
    </w:p>
    <w:p w14:paraId="10976A6F" w14:textId="1AA90CA7" w:rsidR="005E25E8" w:rsidRPr="00E3367E" w:rsidRDefault="24392576" w:rsidP="00CF2E9C">
      <w:pPr>
        <w:pStyle w:val="Text1"/>
        <w:spacing w:before="0" w:after="240"/>
        <w:ind w:left="0"/>
        <w:rPr>
          <w:noProof/>
        </w:rPr>
      </w:pPr>
      <w:r>
        <w:rPr>
          <w:noProof/>
        </w:rPr>
        <w:t>На 23 юли 2021 г. с официални уведомителни писма Комисията започна производство за установяване на нарушение срещу 12 ДЧ</w:t>
      </w:r>
      <w:r>
        <w:rPr>
          <w:rStyle w:val="FootnoteReference"/>
          <w:noProof/>
        </w:rPr>
        <w:footnoteReference w:id="8"/>
      </w:r>
      <w:r>
        <w:rPr>
          <w:noProof/>
        </w:rPr>
        <w:t>, които не са уведомили за пълно транспониране</w:t>
      </w:r>
      <w:r>
        <w:rPr>
          <w:rStyle w:val="FootnoteReference"/>
          <w:noProof/>
          <w:szCs w:val="24"/>
        </w:rPr>
        <w:footnoteReference w:id="9"/>
      </w:r>
      <w:r>
        <w:rPr>
          <w:rStyle w:val="FootnoteReference"/>
          <w:noProof/>
          <w:vertAlign w:val="baseline"/>
        </w:rPr>
        <w:t>.</w:t>
      </w:r>
      <w:r>
        <w:rPr>
          <w:rStyle w:val="FootnoteReference"/>
          <w:noProof/>
        </w:rPr>
        <w:t xml:space="preserve"> </w:t>
      </w:r>
      <w:r>
        <w:rPr>
          <w:rStyle w:val="FootnoteReference"/>
          <w:noProof/>
          <w:vertAlign w:val="baseline"/>
        </w:rPr>
        <w:t>.</w:t>
      </w:r>
      <w:r>
        <w:rPr>
          <w:rStyle w:val="FootnoteReference"/>
          <w:noProof/>
        </w:rPr>
        <w:t xml:space="preserve"> </w:t>
      </w:r>
    </w:p>
    <w:p w14:paraId="48CE38B9" w14:textId="76E7804A" w:rsidR="00BA4170" w:rsidRPr="00E3367E" w:rsidRDefault="002F04DE" w:rsidP="00CF2E9C">
      <w:pPr>
        <w:pStyle w:val="Text1"/>
        <w:spacing w:before="0" w:after="240"/>
        <w:ind w:left="0"/>
        <w:rPr>
          <w:noProof/>
        </w:rPr>
      </w:pPr>
      <w:bookmarkStart w:id="14" w:name="_Toc379988876"/>
      <w:r>
        <w:rPr>
          <w:noProof/>
        </w:rPr>
        <w:t>Осем ДЧ са транспонирали директивата чрез въвеждане на ново и отделно законодателство</w:t>
      </w:r>
      <w:r>
        <w:rPr>
          <w:rStyle w:val="FootnoteReference"/>
          <w:noProof/>
        </w:rPr>
        <w:footnoteReference w:id="10"/>
      </w:r>
      <w:r>
        <w:rPr>
          <w:noProof/>
        </w:rPr>
        <w:t xml:space="preserve">. С изключение на IE, тези ДЧ преди това не са имали национални правила относно НТП. Останалите осем ДЧ са я транспонирали, като са използвали вече съществуващо законодателство, което са изменили или включили в по-обхватен нормативен акт. </w:t>
      </w:r>
    </w:p>
    <w:p w14:paraId="31C8A70C" w14:textId="7E7DED41" w:rsidR="00665C92" w:rsidRPr="00E3367E" w:rsidRDefault="008C4A75" w:rsidP="00CF2E9C">
      <w:pPr>
        <w:pStyle w:val="Text1"/>
        <w:spacing w:before="0" w:after="240"/>
        <w:ind w:left="0"/>
        <w:rPr>
          <w:noProof/>
        </w:rPr>
      </w:pPr>
      <w:r>
        <w:rPr>
          <w:noProof/>
        </w:rPr>
        <w:t>Дванадесет от шестнадесетте ДЧ официално са квалифицирали мярката за транспониране като законодателство относно НТП, без да се позовават (в рамките на тази официална квалификация) на пазарното или на конкурентното право</w:t>
      </w:r>
      <w:r>
        <w:rPr>
          <w:rStyle w:val="FootnoteReference"/>
          <w:noProof/>
        </w:rPr>
        <w:footnoteReference w:id="11"/>
      </w:r>
      <w:r>
        <w:rPr>
          <w:noProof/>
        </w:rPr>
        <w:t>. FI официално е квалифицирала нормативния акт като Закон за пазара (предвиждащ допълнителни правила за регулиране на пазара, като например такива за споразумения по реда на Регламент (ЕС) № 1308/2013</w:t>
      </w:r>
      <w:r>
        <w:rPr>
          <w:rStyle w:val="FootnoteReference"/>
          <w:noProof/>
        </w:rPr>
        <w:footnoteReference w:id="12"/>
      </w:r>
      <w:r>
        <w:rPr>
          <w:noProof/>
        </w:rPr>
        <w:t>). България е добавила нова глава (относно НТП във веригата за доставки на селскостопански и хранителни продукти) в своя Закон за защита на конкуренцията. FR е допълнила разпоредби на Търговския кодекс, а DE е добавила нов раздел в Закона за структурата на селскостопанския пазар (понастоящем известен като „Закон за укрепване на селскостопанските организации и веригите за доставки“). С изключение на LV, чиито разпоредби включват и забрани, приложими към търговците на дребно с нехранителни продукти, и FR, чието транспониране се основава отчасти на съществували преди това разпоредби с общо приложение (в противовес на хранително-вкусовия сектор), всички други ДЧ са приели секторно законодателство, което се прилага единствено към хранително-вкусовия сектор.</w:t>
      </w:r>
    </w:p>
    <w:p w14:paraId="6D4E754D" w14:textId="77777777" w:rsidR="00CA535F" w:rsidRPr="00E3367E" w:rsidRDefault="00104304" w:rsidP="00CF2E9C">
      <w:pPr>
        <w:pStyle w:val="Heading1"/>
        <w:spacing w:before="0" w:after="240"/>
        <w:ind w:left="0" w:firstLine="0"/>
        <w:rPr>
          <w:noProof/>
        </w:rPr>
      </w:pPr>
      <w:bookmarkStart w:id="15" w:name="_Toc78452816"/>
      <w:bookmarkStart w:id="16" w:name="_Toc78461428"/>
      <w:bookmarkStart w:id="17" w:name="_Toc85617903"/>
      <w:bookmarkEnd w:id="14"/>
      <w:bookmarkEnd w:id="15"/>
      <w:r>
        <w:rPr>
          <w:noProof/>
        </w:rPr>
        <w:t>Специфични въпроси при анализа</w:t>
      </w:r>
      <w:bookmarkStart w:id="18" w:name="_Toc379988879"/>
      <w:bookmarkEnd w:id="16"/>
      <w:bookmarkEnd w:id="17"/>
    </w:p>
    <w:p w14:paraId="75F70C5F" w14:textId="1DB9C1C5" w:rsidR="00CA535F" w:rsidRPr="00E3367E" w:rsidRDefault="00345126" w:rsidP="00CF2E9C">
      <w:pPr>
        <w:pStyle w:val="Heading2"/>
        <w:spacing w:before="0" w:after="240"/>
        <w:ind w:left="0" w:firstLine="0"/>
        <w:rPr>
          <w:noProof/>
        </w:rPr>
      </w:pPr>
      <w:bookmarkStart w:id="19" w:name="_Toc78461429"/>
      <w:bookmarkStart w:id="20" w:name="_Toc85617904"/>
      <w:r>
        <w:rPr>
          <w:noProof/>
        </w:rPr>
        <w:t>Приложно поле и основни определения (членове 1 и 2)</w:t>
      </w:r>
      <w:bookmarkEnd w:id="18"/>
      <w:bookmarkEnd w:id="19"/>
      <w:bookmarkEnd w:id="20"/>
    </w:p>
    <w:p w14:paraId="21A28D07" w14:textId="77777777" w:rsidR="000C327B" w:rsidRPr="00E3367E" w:rsidRDefault="000C327B" w:rsidP="00CF2E9C">
      <w:pPr>
        <w:pStyle w:val="Text1"/>
        <w:spacing w:before="0" w:after="240"/>
        <w:ind w:left="0"/>
        <w:rPr>
          <w:noProof/>
          <w:szCs w:val="24"/>
        </w:rPr>
      </w:pPr>
      <w:r>
        <w:rPr>
          <w:noProof/>
        </w:rPr>
        <w:t>Три аспекта са от особено значение при разглеждането на приложното поле:</w:t>
      </w:r>
    </w:p>
    <w:p w14:paraId="74090A66" w14:textId="77777777" w:rsidR="000C327B" w:rsidRPr="00E3367E" w:rsidRDefault="000C327B" w:rsidP="00CF2E9C">
      <w:pPr>
        <w:pStyle w:val="Text1"/>
        <w:numPr>
          <w:ilvl w:val="0"/>
          <w:numId w:val="11"/>
        </w:numPr>
        <w:spacing w:before="0" w:after="240"/>
        <w:rPr>
          <w:noProof/>
        </w:rPr>
      </w:pPr>
      <w:r>
        <w:rPr>
          <w:noProof/>
        </w:rPr>
        <w:t>видът на обхванатите оператори във веригата за доставки на селскостопански и хранителни продукти и видът на засегнатите от законодателните мерки отношения;</w:t>
      </w:r>
    </w:p>
    <w:p w14:paraId="19E0E87D" w14:textId="77777777" w:rsidR="000C327B" w:rsidRPr="00E3367E" w:rsidRDefault="000C327B" w:rsidP="0BC2E3BC">
      <w:pPr>
        <w:pStyle w:val="Text1"/>
        <w:numPr>
          <w:ilvl w:val="0"/>
          <w:numId w:val="11"/>
        </w:numPr>
        <w:spacing w:before="0" w:after="240"/>
        <w:rPr>
          <w:noProof/>
        </w:rPr>
      </w:pPr>
      <w:r>
        <w:rPr>
          <w:noProof/>
        </w:rPr>
        <w:t>приложимостта на размера на предприятието като основа на приложното поле;</w:t>
      </w:r>
    </w:p>
    <w:p w14:paraId="6443B995" w14:textId="4D49B664" w:rsidR="00CA535F" w:rsidRPr="00E3367E" w:rsidRDefault="000C327B" w:rsidP="0BC2E3BC">
      <w:pPr>
        <w:pStyle w:val="Text1"/>
        <w:numPr>
          <w:ilvl w:val="0"/>
          <w:numId w:val="11"/>
        </w:numPr>
        <w:spacing w:before="0" w:after="240"/>
        <w:rPr>
          <w:noProof/>
        </w:rPr>
      </w:pPr>
      <w:r>
        <w:rPr>
          <w:noProof/>
        </w:rPr>
        <w:t xml:space="preserve">териториалният обхват за прилагане на мерките за изпълнение.  </w:t>
      </w:r>
    </w:p>
    <w:p w14:paraId="15336F7C" w14:textId="77777777" w:rsidR="000C327B" w:rsidRPr="00CF2E9C" w:rsidRDefault="000C327B" w:rsidP="00CF2E9C">
      <w:pPr>
        <w:pStyle w:val="Heading3"/>
        <w:tabs>
          <w:tab w:val="clear" w:pos="1842"/>
          <w:tab w:val="num" w:pos="851"/>
        </w:tabs>
        <w:spacing w:before="0" w:after="240"/>
        <w:ind w:left="0" w:firstLine="0"/>
        <w:rPr>
          <w:b/>
          <w:i w:val="0"/>
          <w:noProof/>
        </w:rPr>
      </w:pPr>
      <w:bookmarkStart w:id="21" w:name="_Toc78461430"/>
      <w:bookmarkStart w:id="22" w:name="_Toc85617905"/>
      <w:r>
        <w:rPr>
          <w:b/>
          <w:i w:val="0"/>
          <w:noProof/>
        </w:rPr>
        <w:t>Оператори по веригата и отношения във връзка с доставките</w:t>
      </w:r>
      <w:bookmarkEnd w:id="21"/>
      <w:bookmarkEnd w:id="22"/>
    </w:p>
    <w:p w14:paraId="7148A02A" w14:textId="2CFE1294" w:rsidR="00F75667" w:rsidRPr="00E3367E" w:rsidRDefault="00B075D9" w:rsidP="00CF2E9C">
      <w:pPr>
        <w:pStyle w:val="Text1"/>
        <w:spacing w:before="0" w:after="240"/>
        <w:ind w:left="0"/>
        <w:rPr>
          <w:noProof/>
        </w:rPr>
      </w:pPr>
      <w:r>
        <w:rPr>
          <w:noProof/>
        </w:rPr>
        <w:t>14 ДЧ са определили приложното поле на мярката за изпълнение, като са взели предвид отношенията между доставчиците и купувачите на селскостопански и хранителни продукти, така както са дефинирани в директивата</w:t>
      </w:r>
      <w:r>
        <w:rPr>
          <w:rStyle w:val="FootnoteReference"/>
          <w:noProof/>
        </w:rPr>
        <w:footnoteReference w:id="13"/>
      </w:r>
      <w:r>
        <w:rPr>
          <w:noProof/>
        </w:rPr>
        <w:t xml:space="preserve">. Такива отношения могат да възникнат на всеки етап от веригата за доставки и да включват всякакъв вид купувачи на селскостопански и хранителни продукти, независимо дали са преработватели, или търговци на дребно. </w:t>
      </w:r>
    </w:p>
    <w:p w14:paraId="0A356D56" w14:textId="424EAB03" w:rsidR="00B063A3" w:rsidRPr="00E3367E" w:rsidRDefault="27954071" w:rsidP="00CF2E9C">
      <w:pPr>
        <w:pStyle w:val="Text1"/>
        <w:spacing w:before="0" w:after="240"/>
        <w:ind w:left="0"/>
        <w:rPr>
          <w:noProof/>
        </w:rPr>
      </w:pPr>
      <w:r>
        <w:rPr>
          <w:noProof/>
        </w:rPr>
        <w:t xml:space="preserve">В един случай (HU) приложното поле на законодателството, за което е получено уведомление, изглежда, е ограничено до търговци, които „действат като препродавачи на селскостопански и хранителни продукти, закупени от доставчици пряко или непряко в рамките на доходоносна стопанска дейност в непроменен вид и </w:t>
      </w:r>
      <w:r>
        <w:rPr>
          <w:i/>
          <w:iCs/>
          <w:noProof/>
        </w:rPr>
        <w:t>без преработка</w:t>
      </w:r>
      <w:r>
        <w:rPr>
          <w:noProof/>
        </w:rPr>
        <w:t xml:space="preserve">“ (курсивът е добавен). Поради това онези купувачи на селскостопански продукти, които преработват продуктите преди препродажбата им, са изключени от приложното поле. </w:t>
      </w:r>
    </w:p>
    <w:p w14:paraId="3EB03C4E" w14:textId="23AC3FE3" w:rsidR="000C327B" w:rsidRPr="00E3367E" w:rsidRDefault="00A36072" w:rsidP="00CF2E9C">
      <w:pPr>
        <w:pStyle w:val="Text1"/>
        <w:spacing w:before="0" w:after="240"/>
        <w:ind w:left="0"/>
        <w:rPr>
          <w:noProof/>
          <w:szCs w:val="24"/>
        </w:rPr>
      </w:pPr>
      <w:r>
        <w:rPr>
          <w:noProof/>
        </w:rPr>
        <w:t xml:space="preserve">LV е разширила обхвата, за да включи отношенията между доставчици и търговци на дребно (само) на нехранителни продукти; по отношение на търговците на дребно се прилага отделен списък с нелоялни практики.  </w:t>
      </w:r>
    </w:p>
    <w:p w14:paraId="0A0661CB" w14:textId="5F036BB4" w:rsidR="00F75667" w:rsidRPr="00E3367E" w:rsidRDefault="00405B5B" w:rsidP="00CF2E9C">
      <w:pPr>
        <w:pStyle w:val="Text1"/>
        <w:spacing w:before="0" w:after="240"/>
        <w:ind w:left="0"/>
        <w:rPr>
          <w:noProof/>
          <w:szCs w:val="24"/>
        </w:rPr>
      </w:pPr>
      <w:r>
        <w:rPr>
          <w:noProof/>
        </w:rPr>
        <w:t>Нито една ДЧ не е разширила изрично приложното поле до други видове отношения във връзка с доставките, като тези, които се отнасят предимно до доставката на физически суровини, които не са селскостопански и хранителни продукти съгласно директивата (например торове)</w:t>
      </w:r>
      <w:r>
        <w:rPr>
          <w:rStyle w:val="FootnoteReference"/>
          <w:noProof/>
        </w:rPr>
        <w:footnoteReference w:id="14"/>
      </w:r>
      <w:r>
        <w:rPr>
          <w:noProof/>
        </w:rPr>
        <w:t>, или услуги извън обхванатите от директивата (например цифрови услуги).</w:t>
      </w:r>
    </w:p>
    <w:p w14:paraId="31E259FA" w14:textId="77777777" w:rsidR="00344B84" w:rsidRPr="00CF2E9C" w:rsidRDefault="00344B84" w:rsidP="00CF2E9C">
      <w:pPr>
        <w:pStyle w:val="Heading3"/>
        <w:tabs>
          <w:tab w:val="clear" w:pos="1842"/>
          <w:tab w:val="num" w:pos="851"/>
        </w:tabs>
        <w:spacing w:before="0" w:after="240"/>
        <w:ind w:left="0" w:firstLine="0"/>
        <w:rPr>
          <w:b/>
          <w:i w:val="0"/>
          <w:noProof/>
        </w:rPr>
      </w:pPr>
      <w:bookmarkStart w:id="23" w:name="_Toc78461431"/>
      <w:bookmarkStart w:id="24" w:name="_Toc85617906"/>
      <w:r>
        <w:rPr>
          <w:b/>
          <w:i w:val="0"/>
          <w:noProof/>
        </w:rPr>
        <w:t>Приложно поле и размер на предприятието</w:t>
      </w:r>
      <w:bookmarkEnd w:id="23"/>
      <w:bookmarkEnd w:id="24"/>
    </w:p>
    <w:p w14:paraId="53A28C42" w14:textId="67577328" w:rsidR="00495766" w:rsidRPr="00E3367E" w:rsidRDefault="000779BB" w:rsidP="00CF2E9C">
      <w:pPr>
        <w:pStyle w:val="Text1"/>
        <w:spacing w:before="0" w:after="240"/>
        <w:ind w:left="0"/>
        <w:rPr>
          <w:noProof/>
        </w:rPr>
      </w:pPr>
      <w:r>
        <w:rPr>
          <w:noProof/>
        </w:rPr>
        <w:t>С изключение на FR и SK, всички ДЧ се позовават в някаква степен на размера на предприятието като критерий за ограничаване на приложното поле на приетото законодателство или на части от него. Пет от тях обаче (BG, IE, LU, MT и NL) са възприели подхода, заложен в директивата, при който се вземат предвид отношенията между доставчици, чийто годишен оборот е по-нисък от даден праг, и купувачи, чийто годишен оборот е по-висок от същия праг. Останалите девет ДЧ са разширили в различна степен приложното поле.</w:t>
      </w:r>
    </w:p>
    <w:p w14:paraId="73AF2AA1" w14:textId="7AF2FB30" w:rsidR="001119C4" w:rsidRDefault="00832D43" w:rsidP="007A4A0A">
      <w:pPr>
        <w:pStyle w:val="Text1"/>
        <w:spacing w:after="240"/>
        <w:ind w:left="0"/>
        <w:rPr>
          <w:noProof/>
        </w:rPr>
      </w:pPr>
      <w:r>
        <w:rPr>
          <w:noProof/>
        </w:rPr>
        <w:t>EL е намалила първия праг от 2 милиона евро на 500 000 евро. HR, LV и SE са взели предвид само размера на купувача, като прилагат законодателството за всички купувачи, чийто оборот надхвърля 2 милиона евро</w:t>
      </w:r>
      <w:r>
        <w:rPr>
          <w:rStyle w:val="FootnoteReference"/>
          <w:noProof/>
        </w:rPr>
        <w:footnoteReference w:id="15"/>
      </w:r>
      <w:r>
        <w:rPr>
          <w:noProof/>
        </w:rPr>
        <w:t>. FI е възприела същия подход; нейното законодателство обаче не се прилага, ако оборотът на доставчика надхвърля този на купувача, както и във всички случаи, ако надвишава 350 милиона евро. В DE се прилагат праговете на директивата, но временно е въведено по-широко приложение за продажбите на някои хранителни и селскостопански продукти</w:t>
      </w:r>
      <w:r>
        <w:rPr>
          <w:rStyle w:val="FootnoteReference"/>
          <w:noProof/>
        </w:rPr>
        <w:footnoteReference w:id="16"/>
      </w:r>
      <w:r>
        <w:rPr>
          <w:noProof/>
        </w:rPr>
        <w:t>, докато в LT по-широкият обхват се отнася само до разпоредбите за просрочените плащания, като се прилага за всички купувачи и е в полза за доставчиците, чийто оборот не надвишава 350 000 евро. И обратното, в </w:t>
      </w:r>
      <w:r>
        <w:rPr>
          <w:noProof/>
          <w:color w:val="20124D"/>
        </w:rPr>
        <w:t>DK и HU</w:t>
      </w:r>
      <w:r>
        <w:rPr>
          <w:noProof/>
        </w:rPr>
        <w:t xml:space="preserve"> размерът на предприятието влияе само върху някои забрани на НТП, докато всички останали правила се прилагат независимо от размера на предприятието.</w:t>
      </w:r>
    </w:p>
    <w:p w14:paraId="73675AA7" w14:textId="77777777" w:rsidR="00495766" w:rsidRPr="007A4A0A" w:rsidRDefault="00984426" w:rsidP="0073414B">
      <w:pPr>
        <w:pStyle w:val="Heading3"/>
        <w:tabs>
          <w:tab w:val="clear" w:pos="1842"/>
          <w:tab w:val="num" w:pos="851"/>
        </w:tabs>
        <w:spacing w:before="0" w:after="240"/>
        <w:ind w:left="0" w:firstLine="0"/>
        <w:rPr>
          <w:b/>
          <w:i w:val="0"/>
          <w:noProof/>
        </w:rPr>
      </w:pPr>
      <w:bookmarkStart w:id="25" w:name="_Toc78461432"/>
      <w:bookmarkStart w:id="26" w:name="_Toc85617907"/>
      <w:r>
        <w:rPr>
          <w:b/>
          <w:i w:val="0"/>
          <w:noProof/>
        </w:rPr>
        <w:t>Териториален обхват на приложение</w:t>
      </w:r>
      <w:bookmarkEnd w:id="25"/>
      <w:bookmarkEnd w:id="26"/>
    </w:p>
    <w:p w14:paraId="5F0DB50C" w14:textId="7D5571F5" w:rsidR="00AF61B4" w:rsidRDefault="0095390B" w:rsidP="00CF2E9C">
      <w:pPr>
        <w:pStyle w:val="Text1"/>
        <w:spacing w:before="0" w:after="240"/>
        <w:ind w:left="0"/>
        <w:rPr>
          <w:noProof/>
        </w:rPr>
      </w:pPr>
      <w:r>
        <w:rPr>
          <w:noProof/>
        </w:rPr>
        <w:t>Повечето ДЧ са следвали подхода, предвиден в член 1, параграф 2 от директивата, като са предвидили, че правилата се прилагат за сделки за продажба, при които доставчикът или купувачът (или и двамата) са установени в ЕС</w:t>
      </w:r>
      <w:r>
        <w:rPr>
          <w:rStyle w:val="FootnoteReference"/>
          <w:noProof/>
        </w:rPr>
        <w:footnoteReference w:id="17"/>
      </w:r>
      <w:r>
        <w:rPr>
          <w:noProof/>
        </w:rPr>
        <w:t xml:space="preserve">. Четири ДЧ изискват прилагане на правилата към сделки за продажба, при които доставчикът или купувачът (или и двамата) са установени в съответната ДЧ (LU, LV, MT и SE), а не в целия ЕС. </w:t>
      </w:r>
    </w:p>
    <w:p w14:paraId="6A713E8A" w14:textId="6FAEC7C4" w:rsidR="00391453" w:rsidRPr="00E3367E" w:rsidRDefault="002871F3" w:rsidP="00CF2E9C">
      <w:pPr>
        <w:pStyle w:val="Text1"/>
        <w:spacing w:before="0" w:after="240"/>
        <w:ind w:left="0"/>
        <w:rPr>
          <w:noProof/>
          <w:szCs w:val="24"/>
        </w:rPr>
      </w:pPr>
      <w:r>
        <w:rPr>
          <w:noProof/>
        </w:rPr>
        <w:t xml:space="preserve">С изключение на DE и HU, всички ДЧ са приели определения за доставчик и купувач, независимо от мястото им на установяване, както е предвидено в член 2, параграф 2 от директивата. В член 2, параграф 2 се предвижда също така мерките за транспониране на държавите членки да се прилагат за купувачи, които са публични органи, само доколкото те са установени в ЕС. Законодателството за транспониране на FR, HU и NL не съдържа никакви препратки към мястото на установяване на операторите. </w:t>
      </w:r>
    </w:p>
    <w:p w14:paraId="1579159E" w14:textId="42C57940" w:rsidR="00CA535F" w:rsidRPr="00E3367E" w:rsidRDefault="00E95F19" w:rsidP="00CF2E9C">
      <w:pPr>
        <w:pStyle w:val="Heading2"/>
        <w:spacing w:before="0" w:after="240"/>
        <w:ind w:left="0" w:firstLine="0"/>
        <w:rPr>
          <w:noProof/>
        </w:rPr>
      </w:pPr>
      <w:bookmarkStart w:id="27" w:name="_Toc78461433"/>
      <w:bookmarkStart w:id="28" w:name="_Toc85617908"/>
      <w:r>
        <w:rPr>
          <w:noProof/>
        </w:rPr>
        <w:t>Забрана на НТП (член 3)</w:t>
      </w:r>
      <w:bookmarkEnd w:id="27"/>
      <w:bookmarkEnd w:id="28"/>
    </w:p>
    <w:p w14:paraId="613F0DF0" w14:textId="4B1EEE73" w:rsidR="008257AC" w:rsidRPr="00E3367E" w:rsidRDefault="735508DF" w:rsidP="00CF2E9C">
      <w:pPr>
        <w:pStyle w:val="Text1"/>
        <w:spacing w:before="0" w:after="240"/>
        <w:ind w:left="0"/>
        <w:rPr>
          <w:noProof/>
        </w:rPr>
      </w:pPr>
      <w:r>
        <w:rPr>
          <w:noProof/>
        </w:rPr>
        <w:t>С директивата се изисква ДЧ да забранят определен набор от нелоялни практики, които са разпределени в две групи: (i) забрани сами по себе си (per se) или безусловни забрани („черен списък“) и (ii) условни забрани („сив списък“), като последният списък включва практики, които са забранени, освен ако не са предварително договорени с ясни и недвусмислени условия в договора за доставка или в последващо споразумение между доставчика и купувача (член 3, параграф 2). Всяка практика е конкретно определена в директивата. В конкретни случаи могат да бъдат включени изключения или дерогации. Спазвайки определените изисквания, ДЧ могат да:</w:t>
      </w:r>
    </w:p>
    <w:p w14:paraId="4B068B3A" w14:textId="77777777" w:rsidR="008257AC" w:rsidRPr="00E3367E" w:rsidRDefault="00EC2E7D" w:rsidP="00CF2E9C">
      <w:pPr>
        <w:pStyle w:val="Text1"/>
        <w:numPr>
          <w:ilvl w:val="0"/>
          <w:numId w:val="12"/>
        </w:numPr>
        <w:spacing w:before="0" w:after="240"/>
        <w:rPr>
          <w:noProof/>
        </w:rPr>
      </w:pPr>
      <w:r>
        <w:rPr>
          <w:noProof/>
        </w:rPr>
        <w:t>използват общи формулировки за разширяване на обхвата на забраните върху практики, които не са изрично изброени;</w:t>
      </w:r>
    </w:p>
    <w:p w14:paraId="5517FE25" w14:textId="77777777" w:rsidR="008257AC" w:rsidRPr="00272000" w:rsidRDefault="008257AC" w:rsidP="00CF2E9C">
      <w:pPr>
        <w:pStyle w:val="Text1"/>
        <w:numPr>
          <w:ilvl w:val="0"/>
          <w:numId w:val="12"/>
        </w:numPr>
        <w:spacing w:before="0" w:after="240"/>
        <w:rPr>
          <w:noProof/>
        </w:rPr>
      </w:pPr>
      <w:r>
        <w:rPr>
          <w:noProof/>
        </w:rPr>
        <w:t>добавят други практики към списъците;</w:t>
      </w:r>
    </w:p>
    <w:p w14:paraId="147DB5A0" w14:textId="73108F9D" w:rsidR="008257AC" w:rsidRPr="00272000" w:rsidRDefault="008257AC" w:rsidP="00CF2E9C">
      <w:pPr>
        <w:pStyle w:val="Text1"/>
        <w:numPr>
          <w:ilvl w:val="0"/>
          <w:numId w:val="12"/>
        </w:numPr>
        <w:spacing w:before="0" w:after="240"/>
        <w:rPr>
          <w:noProof/>
        </w:rPr>
      </w:pPr>
      <w:r>
        <w:rPr>
          <w:noProof/>
        </w:rPr>
        <w:t>разширят обхвата на изброените забрани или да ги направят по-строги;</w:t>
      </w:r>
    </w:p>
    <w:p w14:paraId="35AD68FB" w14:textId="5D628001" w:rsidR="00CA535F" w:rsidRPr="00E3367E" w:rsidRDefault="008257AC" w:rsidP="00CF2E9C">
      <w:pPr>
        <w:pStyle w:val="Text1"/>
        <w:numPr>
          <w:ilvl w:val="0"/>
          <w:numId w:val="12"/>
        </w:numPr>
        <w:spacing w:before="0" w:after="240"/>
        <w:rPr>
          <w:noProof/>
        </w:rPr>
      </w:pPr>
      <w:r>
        <w:rPr>
          <w:noProof/>
        </w:rPr>
        <w:t xml:space="preserve">прехвърлят практики от „сивия списък“ в „черния списък“.   </w:t>
      </w:r>
    </w:p>
    <w:p w14:paraId="58A14551" w14:textId="42F069DD" w:rsidR="00EC2E7D" w:rsidRPr="00E3367E" w:rsidRDefault="002872F9" w:rsidP="00CF2E9C">
      <w:pPr>
        <w:pStyle w:val="Text1"/>
        <w:spacing w:before="0" w:after="240"/>
        <w:ind w:left="0"/>
        <w:rPr>
          <w:noProof/>
        </w:rPr>
      </w:pPr>
      <w:r>
        <w:rPr>
          <w:noProof/>
        </w:rPr>
        <w:t>Доколкото отговарят на правилата на вътрешния пазар, изключенията или дерогациите са възможни съгласно подхода на „минимална хармонизация“, следван от директивата, който въвежда минимално общо равнище на защита за всички ДЧ. От разгледаните тук 16 ДЧ пет са транспонирали директивата без да разширят обхвата по някой от горепосочените начини: както „черният“, така и „сивият списък“ са тези, предвидени в директивата, без никакви допълнения или съответни промени</w:t>
      </w:r>
      <w:r>
        <w:rPr>
          <w:rStyle w:val="FootnoteReference"/>
          <w:noProof/>
        </w:rPr>
        <w:footnoteReference w:id="18"/>
      </w:r>
      <w:r>
        <w:rPr>
          <w:noProof/>
        </w:rPr>
        <w:t xml:space="preserve">. В две други ДЧ (LT и SE) списъците в голяма степен съвпадат, но няколко забрани са по-строги от тези в директивата.  </w:t>
      </w:r>
    </w:p>
    <w:p w14:paraId="3DED0FFD" w14:textId="3D376354" w:rsidR="003E1F18" w:rsidRPr="00E3367E" w:rsidRDefault="00481043" w:rsidP="00CF2E9C">
      <w:pPr>
        <w:pStyle w:val="Text1"/>
        <w:spacing w:before="0" w:after="240"/>
        <w:ind w:left="0"/>
        <w:rPr>
          <w:noProof/>
        </w:rPr>
      </w:pPr>
      <w:r>
        <w:rPr>
          <w:noProof/>
        </w:rPr>
        <w:t xml:space="preserve">От останалите девет ДЧ HR и LV са включили обща разпоредба, забраняваща нелоялните практики с оглед на общите принципи. DE е предвидила обща забрана за използване на НТП за извличане на изгода от асиметрични икономически отношения, но е приложила тази забрана и към практиките, изброени в директивата. В някои държави са налице общи разпоредби в областта на нелоялните търговски практики или на конкурентното право. Такъв е случаят например с FR, чийто Търговски кодекс вече е съдържал общи разпоредби, приложими в съответната област.  </w:t>
      </w:r>
    </w:p>
    <w:p w14:paraId="4A8B3566" w14:textId="41D30D5A" w:rsidR="00EC2E7D" w:rsidRPr="00E3367E" w:rsidRDefault="003E1F18" w:rsidP="00CF2E9C">
      <w:pPr>
        <w:pStyle w:val="Text1"/>
        <w:spacing w:before="0" w:after="240"/>
        <w:ind w:left="0"/>
        <w:rPr>
          <w:noProof/>
        </w:rPr>
      </w:pPr>
      <w:r>
        <w:rPr>
          <w:noProof/>
        </w:rPr>
        <w:t xml:space="preserve">Всички ДЧ са използвали списъци със забранени практики, като повечето от тях са следвали разграничението между „черни“ и „сиви“ практики. Само HU предвижда единствен („черен“) списък и изрично забранява на доставчика да дава действително предварително съгласие за обхванатите търговски практики. При използването на „сиви списъци“ ДЧ налагат изисквания за прозрачност по отношение на вида информация, която трябва да се предостави на доставчика, за да се обоснове „сивата практика“. </w:t>
      </w:r>
    </w:p>
    <w:p w14:paraId="7CDAD797" w14:textId="295E84DC" w:rsidR="00841792" w:rsidRDefault="00841792" w:rsidP="00CF2E9C">
      <w:pPr>
        <w:pStyle w:val="Text1"/>
        <w:spacing w:before="0" w:after="240"/>
        <w:ind w:left="0"/>
        <w:rPr>
          <w:noProof/>
        </w:rPr>
      </w:pPr>
      <w:r>
        <w:rPr>
          <w:noProof/>
        </w:rPr>
        <w:t>Макар да разграничават „черния“ от „сивия“ списък, няколко ДЧ са прехвърлили една или повече практики от „сивия списък“ в „черния списък“</w:t>
      </w:r>
      <w:r>
        <w:rPr>
          <w:rStyle w:val="FootnoteReference"/>
          <w:noProof/>
        </w:rPr>
        <w:footnoteReference w:id="19"/>
      </w:r>
      <w:r>
        <w:rPr>
          <w:noProof/>
        </w:rPr>
        <w:t>. Сравнително по-често срещано е добавянето на практики към „черния“</w:t>
      </w:r>
      <w:r>
        <w:rPr>
          <w:rStyle w:val="FootnoteReference"/>
          <w:noProof/>
        </w:rPr>
        <w:footnoteReference w:id="20"/>
      </w:r>
      <w:r>
        <w:rPr>
          <w:noProof/>
        </w:rPr>
        <w:t xml:space="preserve"> и към „сивия“</w:t>
      </w:r>
      <w:r>
        <w:rPr>
          <w:rStyle w:val="FootnoteReference"/>
          <w:noProof/>
        </w:rPr>
        <w:footnoteReference w:id="21"/>
      </w:r>
      <w:r>
        <w:rPr>
          <w:noProof/>
        </w:rPr>
        <w:t xml:space="preserve"> списък. </w:t>
      </w:r>
    </w:p>
    <w:p w14:paraId="60C15BE5" w14:textId="19372BC9" w:rsidR="009D47D4" w:rsidRPr="00E3367E" w:rsidRDefault="00F9623B" w:rsidP="00CF2E9C">
      <w:pPr>
        <w:pStyle w:val="Text1"/>
        <w:spacing w:before="0" w:after="240"/>
        <w:ind w:left="0"/>
        <w:rPr>
          <w:noProof/>
        </w:rPr>
      </w:pPr>
      <w:r>
        <w:rPr>
          <w:noProof/>
        </w:rPr>
        <w:t>За разлика от общия принцип на директивата, който се прилага само за практики, упражнявани от купувачи спрямо доставчици, в SK някои от практиките са забранени и за двете страни по договора (напр. ответни търговски действия).</w:t>
      </w:r>
    </w:p>
    <w:p w14:paraId="728DA9B3" w14:textId="321B6DBD" w:rsidR="0034444E" w:rsidRPr="007A4A0A" w:rsidRDefault="00A542EF" w:rsidP="1D52F188">
      <w:pPr>
        <w:pStyle w:val="Text1"/>
        <w:spacing w:before="0" w:after="240"/>
        <w:ind w:left="0"/>
        <w:rPr>
          <w:i/>
          <w:iCs/>
          <w:noProof/>
        </w:rPr>
      </w:pPr>
      <w:r>
        <w:rPr>
          <w:noProof/>
        </w:rPr>
        <w:t>HU се позовава на приет в миналото нормативен акт, без да са направени каквито и да било конкретни промени в хода на транспонирането на директивата. Обхванати са повечето практики, включени в директивата, макар отчасти да са дефинирани по различен начин; някои от тях са обхванати от по-широки или по-строги забрани, но няколко, изглежда, не са ясно транспонирани в действащия нормативен акт. Това отчасти се отнася и за FR, където само някои практики са изрично регламентирани от транспониращото законодателство, докато други могат да бъдат обхванати от общи разпоредби с по-широко приложение; няколко практики, изглежда, не са конкретно разгледани в законодателството, за което е съобщено.</w:t>
      </w:r>
      <w:r>
        <w:rPr>
          <w:noProof/>
          <w:color w:val="2E74B5" w:themeColor="accent1" w:themeShade="BF"/>
        </w:rPr>
        <w:t xml:space="preserve"> </w:t>
      </w:r>
    </w:p>
    <w:p w14:paraId="3FB41CF5" w14:textId="7E84DDD8" w:rsidR="00DF5E3D" w:rsidRPr="00E3367E" w:rsidRDefault="00DF5E3D" w:rsidP="00CF2E9C">
      <w:pPr>
        <w:pStyle w:val="Text1"/>
        <w:spacing w:before="0" w:after="240"/>
        <w:ind w:left="0"/>
        <w:rPr>
          <w:noProof/>
        </w:rPr>
      </w:pPr>
      <w:r>
        <w:rPr>
          <w:noProof/>
        </w:rPr>
        <w:t>Две практики, включени в „черния списък“, заслужават специално внимание, тъй като ДЧ имат възможност да се отклоняват в рамките на определени граници: забавянето на плащанията и анулирането на поръчки.</w:t>
      </w:r>
    </w:p>
    <w:p w14:paraId="7BC7B040" w14:textId="7434E4A1" w:rsidR="00DF2AFD" w:rsidRPr="00E3367E" w:rsidRDefault="5D4FB6B5" w:rsidP="006D0096">
      <w:pPr>
        <w:pStyle w:val="Text1"/>
        <w:numPr>
          <w:ilvl w:val="0"/>
          <w:numId w:val="13"/>
        </w:numPr>
        <w:spacing w:before="0" w:after="240"/>
        <w:rPr>
          <w:noProof/>
        </w:rPr>
      </w:pPr>
      <w:r>
        <w:rPr>
          <w:b/>
          <w:bCs/>
          <w:noProof/>
        </w:rPr>
        <w:t>Забавяне на плащанията</w:t>
      </w:r>
      <w:r>
        <w:rPr>
          <w:noProof/>
        </w:rPr>
        <w:t>: Разграничение между продажби на нетрайни и на трайни продукти са направили 11 от 16 ДЧ, като те са определили 30-дневен срок за първите и 60-дневен срок за вторите, както е предвидено в директивата</w:t>
      </w:r>
      <w:r>
        <w:rPr>
          <w:rStyle w:val="FootnoteReference"/>
          <w:noProof/>
        </w:rPr>
        <w:footnoteReference w:id="22"/>
      </w:r>
      <w:r>
        <w:rPr>
          <w:noProof/>
        </w:rPr>
        <w:t>. За разлика от тях, BG и SE са въвели единен 30-дневен срок за продажбите както на нетрайни, така и на трайни продукти. FI е следвала същия подход, но е дала възможност за нетрайни продукти в договора да бъде уговорен по-дълъг 60-дневен срок (в противен случай по подразбиране се прилага правилото за 30-дневен срок). Нито HU, нито SK правят разграничение между нетрайни и трайни продукти; в тези случаи правилото обикновено е по-строго: прилага се 15-дневен срок, считано от датата на правилно издадената фактура. С изключение на HU и SK, всички ДЧ са включили в своето законодателство за транспониране определението за нетрайни продукти, дадено в директивата. FR има различни определения за „нетрайни“ и „много нетрайни“ продукти. HR е добавила в своето законодателство за транспониране списък с нетрайни продукти, докато LT е предоставила на институция, овластена от правителството, правото да одобрява списък с нетрайни продукти. Всички ДЧ, с изключение на HU, са включили дерогациите, предвидени в член 3, параграф 1, последно тире (или поне някои от тях</w:t>
      </w:r>
      <w:r>
        <w:rPr>
          <w:rStyle w:val="FootnoteReference"/>
          <w:noProof/>
        </w:rPr>
        <w:footnoteReference w:id="23"/>
      </w:r>
      <w:r>
        <w:rPr>
          <w:noProof/>
        </w:rPr>
        <w:t xml:space="preserve">), като не са въведени допълнителни дерогации. </w:t>
      </w:r>
    </w:p>
    <w:p w14:paraId="36C191DE" w14:textId="40DE5DD2" w:rsidR="00A025C7" w:rsidRPr="00E3367E" w:rsidRDefault="00F27FE3" w:rsidP="00CF2E9C">
      <w:pPr>
        <w:pStyle w:val="Text1"/>
        <w:numPr>
          <w:ilvl w:val="0"/>
          <w:numId w:val="13"/>
        </w:numPr>
        <w:spacing w:before="0" w:after="240"/>
        <w:rPr>
          <w:noProof/>
        </w:rPr>
      </w:pPr>
      <w:r>
        <w:rPr>
          <w:b/>
          <w:bCs/>
          <w:noProof/>
        </w:rPr>
        <w:t>Анулиране на поръчки с кратко предизвестие:</w:t>
      </w:r>
      <w:r>
        <w:rPr>
          <w:noProof/>
        </w:rPr>
        <w:t xml:space="preserve"> Всички ДЧ, с изключение на HU и SK, включват 30-дневния срок като минимален стандарт за анулиране. В съответствие с член 3, параграф 1, буква б) четири от тях (DK, FR, IE и SE) оправомощават отговорното министерство (или правителството, в случая на SE) в надлежно обосновани случаи за конкретни сектори да определя срокове, които са по-кратки от 30 дни. FR е въвела два по-кратки срока за търговците на едро (24 часа) и за пресните плодове и зеленчуци (3 дни, освен ако продуктите се продават под собствена марка, в който случай срокът е 6 дни). Унгарската разпоредба има различна структура, като буквално се отнася за промени, а не за анулиране; не се посочва конкретен срок на предизвестие. В SK на всички купувачи се забранява да не изпълняват договорни задължения без правна обосновка.  </w:t>
      </w:r>
    </w:p>
    <w:p w14:paraId="3B05CCFD" w14:textId="3D53CF2E" w:rsidR="00104304" w:rsidRPr="00E3367E" w:rsidRDefault="00E95F19" w:rsidP="00CF2E9C">
      <w:pPr>
        <w:pStyle w:val="Heading2"/>
        <w:spacing w:before="0" w:after="240"/>
        <w:ind w:left="0" w:firstLine="0"/>
        <w:rPr>
          <w:noProof/>
        </w:rPr>
      </w:pPr>
      <w:bookmarkStart w:id="29" w:name="_Toc78461434"/>
      <w:bookmarkStart w:id="30" w:name="_Toc85617909"/>
      <w:r>
        <w:rPr>
          <w:noProof/>
        </w:rPr>
        <w:t>Механизми за правоприлагане (членове 4—8)</w:t>
      </w:r>
      <w:bookmarkEnd w:id="29"/>
      <w:bookmarkEnd w:id="30"/>
    </w:p>
    <w:p w14:paraId="6895C97E" w14:textId="083737BC" w:rsidR="00975D33" w:rsidRPr="00CF2E9C" w:rsidRDefault="00975D33" w:rsidP="00CF2E9C">
      <w:pPr>
        <w:pStyle w:val="Heading3"/>
        <w:tabs>
          <w:tab w:val="clear" w:pos="1842"/>
          <w:tab w:val="num" w:pos="851"/>
        </w:tabs>
        <w:spacing w:before="0" w:after="240"/>
        <w:ind w:left="0" w:firstLine="0"/>
        <w:rPr>
          <w:b/>
          <w:i w:val="0"/>
          <w:noProof/>
        </w:rPr>
      </w:pPr>
      <w:bookmarkStart w:id="31" w:name="_Toc78461435"/>
      <w:bookmarkStart w:id="32" w:name="_Toc85617910"/>
      <w:r>
        <w:rPr>
          <w:b/>
          <w:i w:val="0"/>
          <w:noProof/>
        </w:rPr>
        <w:t>Определяне на правоприлагащи органи (член 4)</w:t>
      </w:r>
      <w:bookmarkEnd w:id="31"/>
      <w:bookmarkEnd w:id="32"/>
    </w:p>
    <w:p w14:paraId="555FE0D5" w14:textId="635CD7FE" w:rsidR="00104304" w:rsidRPr="00E3367E" w:rsidRDefault="4500B4DE" w:rsidP="00CF2E9C">
      <w:pPr>
        <w:pStyle w:val="Text1"/>
        <w:spacing w:before="0" w:after="240"/>
        <w:ind w:left="0"/>
        <w:rPr>
          <w:noProof/>
        </w:rPr>
      </w:pPr>
      <w:r>
        <w:rPr>
          <w:noProof/>
        </w:rPr>
        <w:t>Всички 16 ДЧ информираха Комисията, че са определили един или повече органи на национално равнище за прилагане на забраните, предвидени в член 3 („правоприлагащ орган“). Данните за връзка и уебсайтовете на тези органи са достъпни на специалния уебсайт на Комисията</w:t>
      </w:r>
      <w:r>
        <w:rPr>
          <w:noProof/>
          <w:vertAlign w:val="superscript"/>
        </w:rPr>
        <w:footnoteReference w:id="24"/>
      </w:r>
      <w:r>
        <w:rPr>
          <w:noProof/>
        </w:rPr>
        <w:t>.</w:t>
      </w:r>
    </w:p>
    <w:p w14:paraId="5A412118" w14:textId="556508D4" w:rsidR="003B4FDD" w:rsidRPr="00E3367E" w:rsidRDefault="00F619DE" w:rsidP="00CF2E9C">
      <w:pPr>
        <w:pStyle w:val="Text1"/>
        <w:spacing w:before="0" w:after="240"/>
        <w:ind w:left="0"/>
        <w:rPr>
          <w:noProof/>
        </w:rPr>
      </w:pPr>
      <w:r>
        <w:rPr>
          <w:noProof/>
        </w:rPr>
        <w:t>Макар че повечето ДЧ са избрали един орган, четири ДЧ (DE</w:t>
      </w:r>
      <w:r>
        <w:rPr>
          <w:rStyle w:val="FootnoteReference"/>
          <w:noProof/>
        </w:rPr>
        <w:footnoteReference w:id="25"/>
      </w:r>
      <w:r>
        <w:rPr>
          <w:noProof/>
        </w:rPr>
        <w:t>, EL, FI и LT</w:t>
      </w:r>
      <w:r>
        <w:rPr>
          <w:rStyle w:val="FootnoteReference"/>
          <w:noProof/>
        </w:rPr>
        <w:footnoteReference w:id="26"/>
      </w:r>
      <w:r>
        <w:rPr>
          <w:noProof/>
        </w:rPr>
        <w:t xml:space="preserve">) са определили два органа. </w:t>
      </w:r>
    </w:p>
    <w:p w14:paraId="0F9F8E22" w14:textId="1659C42A" w:rsidR="00407543" w:rsidRPr="00E3367E" w:rsidRDefault="003B4FDD" w:rsidP="00CF2E9C">
      <w:pPr>
        <w:pStyle w:val="Text1"/>
        <w:spacing w:before="0" w:after="240"/>
        <w:ind w:left="0"/>
        <w:rPr>
          <w:noProof/>
        </w:rPr>
      </w:pPr>
      <w:r>
        <w:rPr>
          <w:noProof/>
        </w:rPr>
        <w:t>Най-общо изборът е между административни и съдебни органи, а в рамките на административните органи — между независими административни органи и такива, които са част от изпълнителната власт (т.е. министерства). Сред независимите административни органи има възможност за избор между пазарни органи, органи за защита на конкуренцията и секторни органи.</w:t>
      </w:r>
    </w:p>
    <w:p w14:paraId="546D2488" w14:textId="687CCCAF" w:rsidR="00722BB5" w:rsidRDefault="00407543" w:rsidP="000462BF">
      <w:pPr>
        <w:pStyle w:val="Text1"/>
        <w:spacing w:before="0" w:after="240"/>
        <w:ind w:left="0"/>
        <w:rPr>
          <w:noProof/>
        </w:rPr>
      </w:pPr>
      <w:r>
        <w:rPr>
          <w:noProof/>
        </w:rPr>
        <w:t>Всички ДЧ са избрали административни органи. Повечето от тях са избрали да възложат основните правомощия за правоприлагане на независим административен орган: шест — на орган за защита на конкуренцията</w:t>
      </w:r>
      <w:r>
        <w:rPr>
          <w:rStyle w:val="FootnoteReference"/>
          <w:noProof/>
        </w:rPr>
        <w:footnoteReference w:id="27"/>
      </w:r>
      <w:r>
        <w:rPr>
          <w:noProof/>
        </w:rPr>
        <w:t>; четири — на орган по въпросите на пазара на хранителни продукти</w:t>
      </w:r>
      <w:r>
        <w:rPr>
          <w:rStyle w:val="FootnoteReference"/>
          <w:noProof/>
        </w:rPr>
        <w:footnoteReference w:id="28"/>
      </w:r>
      <w:r>
        <w:rPr>
          <w:noProof/>
        </w:rPr>
        <w:t>; две — на своето Министерство на земеделието</w:t>
      </w:r>
      <w:r>
        <w:rPr>
          <w:rStyle w:val="FootnoteReference"/>
          <w:noProof/>
        </w:rPr>
        <w:footnoteReference w:id="29"/>
      </w:r>
      <w:r>
        <w:rPr>
          <w:noProof/>
        </w:rPr>
        <w:t>; две — на орган, отговарящ за борбата с нелоялните търговски практики в хранително-вкусовия сектор</w:t>
      </w:r>
      <w:r>
        <w:rPr>
          <w:rStyle w:val="FootnoteReference"/>
          <w:noProof/>
        </w:rPr>
        <w:footnoteReference w:id="30"/>
      </w:r>
      <w:r>
        <w:rPr>
          <w:noProof/>
        </w:rPr>
        <w:t>; една — на правителствен орган в рамките на Министерството на икономиката и финансите</w:t>
      </w:r>
      <w:r>
        <w:rPr>
          <w:rStyle w:val="FootnoteReference"/>
          <w:noProof/>
        </w:rPr>
        <w:footnoteReference w:id="31"/>
      </w:r>
      <w:r>
        <w:rPr>
          <w:noProof/>
        </w:rPr>
        <w:t>; и една — на орган за защита на потребителите и пазарите</w:t>
      </w:r>
      <w:r>
        <w:rPr>
          <w:rStyle w:val="FootnoteReference"/>
          <w:noProof/>
        </w:rPr>
        <w:footnoteReference w:id="32"/>
      </w:r>
      <w:r>
        <w:rPr>
          <w:noProof/>
        </w:rPr>
        <w:t xml:space="preserve">. </w:t>
      </w:r>
    </w:p>
    <w:p w14:paraId="16497A8B" w14:textId="2164B6C1" w:rsidR="007E52E3" w:rsidRPr="00E3367E" w:rsidRDefault="00722BB5" w:rsidP="00722BB5">
      <w:pPr>
        <w:pStyle w:val="Text1"/>
        <w:spacing w:after="240"/>
        <w:ind w:left="0"/>
        <w:rPr>
          <w:noProof/>
        </w:rPr>
      </w:pPr>
      <w:r>
        <w:rPr>
          <w:noProof/>
        </w:rPr>
        <w:t>В ДЧ, в които е определен втори орган, това е органът по защита на конкуренцията (за DE, EL и LT) или органът по въпросите на пазара на хранителни продукти (за FI). Някои ДЧ предвиждат задължение за сътрудничество между националните органи и органи, които могат да помогнат за прилагането на съответното законодателство</w:t>
      </w:r>
      <w:r>
        <w:rPr>
          <w:rStyle w:val="FootnoteReference"/>
          <w:noProof/>
        </w:rPr>
        <w:footnoteReference w:id="33"/>
      </w:r>
      <w:r>
        <w:rPr>
          <w:noProof/>
        </w:rPr>
        <w:t>. Допълнителни задължения за сътрудничество с чуждестранни правоприлагащи органи и с Европейската комисия са изрично предвидени в някои национални мерки за транспониране в съответствие с член 8</w:t>
      </w:r>
      <w:r>
        <w:rPr>
          <w:rStyle w:val="FootnoteReference"/>
          <w:noProof/>
        </w:rPr>
        <w:footnoteReference w:id="34"/>
      </w:r>
      <w:r>
        <w:rPr>
          <w:noProof/>
        </w:rPr>
        <w:t xml:space="preserve">. </w:t>
      </w:r>
    </w:p>
    <w:p w14:paraId="1BEEF433" w14:textId="77777777" w:rsidR="00975D33" w:rsidRPr="00CF2E9C" w:rsidRDefault="00975D33" w:rsidP="00CF2E9C">
      <w:pPr>
        <w:pStyle w:val="Heading3"/>
        <w:tabs>
          <w:tab w:val="clear" w:pos="1842"/>
          <w:tab w:val="num" w:pos="851"/>
        </w:tabs>
        <w:spacing w:before="0" w:after="240"/>
        <w:ind w:left="0" w:firstLine="0"/>
        <w:rPr>
          <w:b/>
          <w:i w:val="0"/>
          <w:noProof/>
        </w:rPr>
      </w:pPr>
      <w:bookmarkStart w:id="33" w:name="_Toc78461436"/>
      <w:bookmarkStart w:id="34" w:name="_Toc85617911"/>
      <w:r>
        <w:rPr>
          <w:b/>
          <w:i w:val="0"/>
          <w:noProof/>
        </w:rPr>
        <w:t>Подаване на жалби и поверителност (член 5)</w:t>
      </w:r>
      <w:bookmarkEnd w:id="33"/>
      <w:bookmarkEnd w:id="34"/>
    </w:p>
    <w:p w14:paraId="391B09DE" w14:textId="03A63786" w:rsidR="00975D33" w:rsidRPr="00E3367E" w:rsidRDefault="004817E4" w:rsidP="00CF2E9C">
      <w:pPr>
        <w:pStyle w:val="Text1"/>
        <w:spacing w:before="0" w:after="240"/>
        <w:ind w:left="0"/>
        <w:rPr>
          <w:noProof/>
        </w:rPr>
      </w:pPr>
      <w:r>
        <w:rPr>
          <w:noProof/>
        </w:rPr>
        <w:t xml:space="preserve">Съгласно всички инструменти за транспониране, за които е съобщено на Комисията, не само отделните доставчици, но и организациите на производители или други организации на доставчици и асоциации на такива организации имат право да подадат жалба до определения правоприлагащ орган. </w:t>
      </w:r>
    </w:p>
    <w:p w14:paraId="5D564C1C" w14:textId="0C83D005" w:rsidR="00975D33" w:rsidRPr="00E3367E" w:rsidRDefault="00E87156" w:rsidP="00CF2E9C">
      <w:pPr>
        <w:pStyle w:val="Text1"/>
        <w:spacing w:before="0" w:after="240"/>
        <w:ind w:left="0"/>
        <w:rPr>
          <w:noProof/>
        </w:rPr>
      </w:pPr>
      <w:r>
        <w:rPr>
          <w:noProof/>
        </w:rPr>
        <w:t>В мнозинството от актовете за транспониране на държавите членки се предвиждат предпазни мерки за запазване на поверителност относно самоличността на жалбоподателя, чието разкриване би могло да навреди на неговите интереси или на интересите на неговите членове или доставчици. Обикновено тези предпазни мерки следва да се предприемат по искане на доставчика</w:t>
      </w:r>
      <w:r>
        <w:rPr>
          <w:rStyle w:val="FootnoteReference"/>
          <w:noProof/>
        </w:rPr>
        <w:footnoteReference w:id="35"/>
      </w:r>
      <w:r>
        <w:rPr>
          <w:noProof/>
        </w:rPr>
        <w:t>; в някои национални мерки за транспониране обаче в това отношение се допуска и инициатива на органа</w:t>
      </w:r>
      <w:r>
        <w:rPr>
          <w:rStyle w:val="FootnoteReference"/>
          <w:noProof/>
        </w:rPr>
        <w:footnoteReference w:id="36"/>
      </w:r>
      <w:r>
        <w:rPr>
          <w:noProof/>
        </w:rPr>
        <w:t>. В повечето случаи от жалбоподателя се изисква да посочи всяка информация, за която изисква поверителност</w:t>
      </w:r>
      <w:r>
        <w:rPr>
          <w:rStyle w:val="FootnoteReference"/>
          <w:noProof/>
        </w:rPr>
        <w:footnoteReference w:id="37"/>
      </w:r>
      <w:r>
        <w:rPr>
          <w:noProof/>
        </w:rPr>
        <w:t>. В някои ДЧ актовете за транспониране включват възможност за прекратяване на производството, ако то би довело до разкриване на поверителна информация</w:t>
      </w:r>
      <w:r>
        <w:rPr>
          <w:rStyle w:val="FootnoteReference"/>
          <w:noProof/>
        </w:rPr>
        <w:footnoteReference w:id="38"/>
      </w:r>
      <w:r>
        <w:rPr>
          <w:noProof/>
        </w:rPr>
        <w:t>. В LT правоприлагащият орган може да отхвърли искане за поверителност, ако конкретната информация има доказателствена стойност за установяване на нарушението</w:t>
      </w:r>
      <w:r>
        <w:rPr>
          <w:rStyle w:val="FootnoteReference"/>
          <w:noProof/>
        </w:rPr>
        <w:footnoteReference w:id="39"/>
      </w:r>
      <w:r>
        <w:rPr>
          <w:noProof/>
        </w:rPr>
        <w:t>.</w:t>
      </w:r>
    </w:p>
    <w:p w14:paraId="52B2AC6E" w14:textId="77777777" w:rsidR="00975D33" w:rsidRPr="00DD5887" w:rsidRDefault="00975D33" w:rsidP="00DD5887">
      <w:pPr>
        <w:pStyle w:val="Heading3"/>
        <w:tabs>
          <w:tab w:val="clear" w:pos="1842"/>
          <w:tab w:val="num" w:pos="851"/>
        </w:tabs>
        <w:spacing w:before="0" w:after="240"/>
        <w:ind w:left="0" w:firstLine="0"/>
        <w:rPr>
          <w:b/>
          <w:i w:val="0"/>
          <w:noProof/>
        </w:rPr>
      </w:pPr>
      <w:bookmarkStart w:id="35" w:name="_Toc78461437"/>
      <w:bookmarkStart w:id="36" w:name="_Toc85617912"/>
      <w:r>
        <w:rPr>
          <w:b/>
          <w:i w:val="0"/>
          <w:noProof/>
        </w:rPr>
        <w:t>Правомощия на определените органи (член 6)</w:t>
      </w:r>
      <w:bookmarkEnd w:id="35"/>
      <w:bookmarkEnd w:id="36"/>
    </w:p>
    <w:p w14:paraId="047C1F15" w14:textId="289CCCFD" w:rsidR="00AD7EDC" w:rsidRDefault="1246B72A" w:rsidP="00DD5887">
      <w:pPr>
        <w:pStyle w:val="Text1"/>
        <w:spacing w:before="0" w:after="240"/>
        <w:ind w:left="0"/>
        <w:rPr>
          <w:noProof/>
        </w:rPr>
      </w:pPr>
      <w:r>
        <w:rPr>
          <w:noProof/>
        </w:rPr>
        <w:t xml:space="preserve">Повечето ДЧ предоставят на определените органи правомощията, предвидени в член 6, а именно: </w:t>
      </w:r>
    </w:p>
    <w:p w14:paraId="6B6702BD" w14:textId="77777777" w:rsidR="00AD7EDC" w:rsidRPr="000462BF" w:rsidRDefault="1246B72A" w:rsidP="1D52F188">
      <w:pPr>
        <w:pStyle w:val="Text1"/>
        <w:numPr>
          <w:ilvl w:val="0"/>
          <w:numId w:val="15"/>
        </w:numPr>
        <w:spacing w:before="0" w:after="240"/>
        <w:rPr>
          <w:i/>
          <w:iCs/>
          <w:noProof/>
        </w:rPr>
      </w:pPr>
      <w:r>
        <w:rPr>
          <w:noProof/>
        </w:rPr>
        <w:t>правомощия за разследване и наблюдение</w:t>
      </w:r>
      <w:r>
        <w:rPr>
          <w:rStyle w:val="FootnoteReference"/>
          <w:noProof/>
        </w:rPr>
        <w:footnoteReference w:id="40"/>
      </w:r>
      <w:r>
        <w:rPr>
          <w:noProof/>
        </w:rPr>
        <w:t>;</w:t>
      </w:r>
    </w:p>
    <w:p w14:paraId="5E3F05F4" w14:textId="2AD4BE51" w:rsidR="00AD7EDC" w:rsidRPr="000462BF" w:rsidRDefault="1246B72A" w:rsidP="1D52F188">
      <w:pPr>
        <w:pStyle w:val="Text1"/>
        <w:numPr>
          <w:ilvl w:val="0"/>
          <w:numId w:val="15"/>
        </w:numPr>
        <w:spacing w:before="0" w:after="240"/>
        <w:rPr>
          <w:i/>
          <w:iCs/>
          <w:noProof/>
        </w:rPr>
      </w:pPr>
      <w:r>
        <w:rPr>
          <w:noProof/>
        </w:rPr>
        <w:t>правомощието да вземат решения, когато е извършено нарушение на забраните, установени в член 3</w:t>
      </w:r>
      <w:r>
        <w:rPr>
          <w:rStyle w:val="FootnoteReference"/>
          <w:noProof/>
        </w:rPr>
        <w:t xml:space="preserve"> </w:t>
      </w:r>
      <w:r>
        <w:rPr>
          <w:rStyle w:val="FootnoteReference"/>
          <w:noProof/>
        </w:rPr>
        <w:footnoteReference w:id="41"/>
      </w:r>
      <w:r>
        <w:rPr>
          <w:noProof/>
        </w:rPr>
        <w:t>;</w:t>
      </w:r>
    </w:p>
    <w:p w14:paraId="31A56B28" w14:textId="388A2D88" w:rsidR="00AD7EDC" w:rsidRPr="000462BF" w:rsidRDefault="2263EEA9" w:rsidP="1D52F188">
      <w:pPr>
        <w:pStyle w:val="Text1"/>
        <w:numPr>
          <w:ilvl w:val="0"/>
          <w:numId w:val="15"/>
        </w:numPr>
        <w:spacing w:before="0" w:after="240"/>
        <w:rPr>
          <w:i/>
          <w:iCs/>
          <w:noProof/>
        </w:rPr>
      </w:pPr>
      <w:r>
        <w:rPr>
          <w:noProof/>
        </w:rPr>
        <w:t>правомощието да изискат от купувача да прекрати забранената търговска практика</w:t>
      </w:r>
      <w:r>
        <w:rPr>
          <w:rStyle w:val="FootnoteReference"/>
          <w:noProof/>
        </w:rPr>
        <w:footnoteReference w:id="42"/>
      </w:r>
      <w:r>
        <w:rPr>
          <w:noProof/>
        </w:rPr>
        <w:t xml:space="preserve">; </w:t>
      </w:r>
    </w:p>
    <w:p w14:paraId="40477425" w14:textId="18449721" w:rsidR="00AD7EDC" w:rsidRPr="000462BF" w:rsidRDefault="1246B72A" w:rsidP="1D52F188">
      <w:pPr>
        <w:pStyle w:val="Text1"/>
        <w:numPr>
          <w:ilvl w:val="0"/>
          <w:numId w:val="15"/>
        </w:numPr>
        <w:spacing w:before="0" w:after="240"/>
        <w:rPr>
          <w:i/>
          <w:iCs/>
          <w:noProof/>
        </w:rPr>
      </w:pPr>
      <w:r>
        <w:rPr>
          <w:noProof/>
        </w:rPr>
        <w:t>правомощието да налагат или да образуват производства за налагане на глоби и други равностойни по ефективност санкции</w:t>
      </w:r>
      <w:r>
        <w:rPr>
          <w:rStyle w:val="FootnoteReference"/>
          <w:noProof/>
        </w:rPr>
        <w:footnoteReference w:id="43"/>
      </w:r>
      <w:r>
        <w:rPr>
          <w:noProof/>
        </w:rPr>
        <w:t>, както и временни мерки спрямо извършителя на нарушението в съответствие с националните правила и процедури</w:t>
      </w:r>
      <w:r>
        <w:rPr>
          <w:rStyle w:val="FootnoteReference"/>
          <w:noProof/>
        </w:rPr>
        <w:footnoteReference w:id="44"/>
      </w:r>
      <w:r>
        <w:rPr>
          <w:noProof/>
        </w:rPr>
        <w:t xml:space="preserve"> и</w:t>
      </w:r>
    </w:p>
    <w:p w14:paraId="2B8DE522" w14:textId="1A667E5E" w:rsidR="00407543" w:rsidRPr="007A4A0A" w:rsidRDefault="1246B72A" w:rsidP="1D52F188">
      <w:pPr>
        <w:pStyle w:val="Text1"/>
        <w:numPr>
          <w:ilvl w:val="0"/>
          <w:numId w:val="15"/>
        </w:numPr>
        <w:spacing w:before="0" w:after="240"/>
        <w:rPr>
          <w:i/>
          <w:iCs/>
          <w:noProof/>
        </w:rPr>
      </w:pPr>
      <w:r>
        <w:rPr>
          <w:noProof/>
        </w:rPr>
        <w:t>правомощието да публикуват взетите решения</w:t>
      </w:r>
      <w:r>
        <w:rPr>
          <w:rStyle w:val="FootnoteReference"/>
          <w:noProof/>
        </w:rPr>
        <w:footnoteReference w:id="45"/>
      </w:r>
      <w:r>
        <w:rPr>
          <w:noProof/>
        </w:rPr>
        <w:t xml:space="preserve">. </w:t>
      </w:r>
    </w:p>
    <w:p w14:paraId="7D9C15C6" w14:textId="690AAA85" w:rsidR="00BA6E1E" w:rsidRPr="00E3367E" w:rsidRDefault="26542BF5" w:rsidP="00DD5887">
      <w:pPr>
        <w:pStyle w:val="Text1"/>
        <w:spacing w:before="0" w:after="240"/>
        <w:ind w:left="0"/>
        <w:rPr>
          <w:noProof/>
        </w:rPr>
      </w:pPr>
      <w:r>
        <w:rPr>
          <w:noProof/>
        </w:rPr>
        <w:t>В шест ДЧ правоприлагащият орган има също така правомощието да одобрява поети от нарушителя задължения</w:t>
      </w:r>
      <w:r>
        <w:rPr>
          <w:rStyle w:val="FootnoteReference"/>
          <w:noProof/>
        </w:rPr>
        <w:footnoteReference w:id="46"/>
      </w:r>
      <w:r>
        <w:rPr>
          <w:noProof/>
        </w:rPr>
        <w:t xml:space="preserve"> или да отправя предупреждения</w:t>
      </w:r>
      <w:r>
        <w:rPr>
          <w:rStyle w:val="FootnoteReference"/>
          <w:noProof/>
        </w:rPr>
        <w:footnoteReference w:id="47"/>
      </w:r>
      <w:r>
        <w:rPr>
          <w:noProof/>
        </w:rPr>
        <w:t xml:space="preserve"> или препоръки, ако е извършено нарушение</w:t>
      </w:r>
      <w:r>
        <w:rPr>
          <w:rStyle w:val="FootnoteReference"/>
          <w:noProof/>
        </w:rPr>
        <w:footnoteReference w:id="48"/>
      </w:r>
      <w:r>
        <w:rPr>
          <w:noProof/>
        </w:rPr>
        <w:t>.</w:t>
      </w:r>
    </w:p>
    <w:p w14:paraId="67FC579F" w14:textId="77777777" w:rsidR="00975D33" w:rsidRPr="00DD5887" w:rsidRDefault="00975D33" w:rsidP="00DD5887">
      <w:pPr>
        <w:pStyle w:val="Heading3"/>
        <w:tabs>
          <w:tab w:val="clear" w:pos="1842"/>
          <w:tab w:val="num" w:pos="851"/>
        </w:tabs>
        <w:spacing w:before="0" w:after="240"/>
        <w:ind w:left="0" w:firstLine="0"/>
        <w:rPr>
          <w:b/>
          <w:i w:val="0"/>
          <w:noProof/>
        </w:rPr>
      </w:pPr>
      <w:bookmarkStart w:id="37" w:name="_Toc78461438"/>
      <w:bookmarkStart w:id="38" w:name="_Toc85617913"/>
      <w:r>
        <w:rPr>
          <w:b/>
          <w:i w:val="0"/>
          <w:noProof/>
        </w:rPr>
        <w:t>Мерки за правоприлагане и санкции (член 6)</w:t>
      </w:r>
      <w:bookmarkEnd w:id="37"/>
      <w:bookmarkEnd w:id="38"/>
    </w:p>
    <w:p w14:paraId="44C1FF22" w14:textId="0846F040" w:rsidR="005657A6" w:rsidRPr="00E3367E" w:rsidRDefault="6CF22445" w:rsidP="005D108F">
      <w:pPr>
        <w:pStyle w:val="Text1"/>
        <w:spacing w:before="0" w:after="240"/>
        <w:ind w:left="0"/>
        <w:rPr>
          <w:noProof/>
        </w:rPr>
      </w:pPr>
      <w:r>
        <w:rPr>
          <w:noProof/>
        </w:rPr>
        <w:t>Мерките за правоприлагане обхващат голям набор от инструменти, включващи санкции, средства за правна защита и поемане на задължения.</w:t>
      </w:r>
    </w:p>
    <w:p w14:paraId="6165938A" w14:textId="3944ED2E" w:rsidR="000F6308" w:rsidRPr="00E3367E" w:rsidRDefault="1A4037B1" w:rsidP="00DD5887">
      <w:pPr>
        <w:pStyle w:val="Text1"/>
        <w:spacing w:before="0" w:after="240"/>
        <w:ind w:left="0"/>
        <w:rPr>
          <w:noProof/>
        </w:rPr>
      </w:pPr>
      <w:r>
        <w:rPr>
          <w:noProof/>
        </w:rPr>
        <w:t>Най-често срещаните мерки, с които националните правоприлагащи органи разполагат, са финансовите санкции, каквито са предвидени във всички 16 ДЧ. Макар в директивата да не се предвиждат минимални и максимални прагове за финансовите санкции, някои ДЧ определят такива. Когато такива са предвидени, минималните и максималните стойности се различават в отделните ДЧ</w:t>
      </w:r>
      <w:r>
        <w:rPr>
          <w:rStyle w:val="FootnoteReference"/>
          <w:noProof/>
        </w:rPr>
        <w:footnoteReference w:id="49"/>
      </w:r>
      <w:r>
        <w:rPr>
          <w:noProof/>
        </w:rPr>
        <w:t>. В някои случаи максималната стойност се определя въз основа на оборота на извършилото нарушението лице</w:t>
      </w:r>
      <w:r>
        <w:rPr>
          <w:rStyle w:val="FootnoteReference"/>
          <w:noProof/>
        </w:rPr>
        <w:footnoteReference w:id="50"/>
      </w:r>
      <w:r>
        <w:rPr>
          <w:noProof/>
        </w:rPr>
        <w:t>; в други случаи тя се изчислява като процент от едно от следните: (i) покупната цена</w:t>
      </w:r>
      <w:r>
        <w:rPr>
          <w:rStyle w:val="FootnoteReference"/>
          <w:noProof/>
        </w:rPr>
        <w:footnoteReference w:id="51"/>
      </w:r>
      <w:r>
        <w:rPr>
          <w:noProof/>
        </w:rPr>
        <w:t>; (ii) таксите, наложени на доставчика</w:t>
      </w:r>
      <w:r>
        <w:rPr>
          <w:rStyle w:val="FootnoteReference"/>
          <w:noProof/>
        </w:rPr>
        <w:footnoteReference w:id="52"/>
      </w:r>
      <w:r>
        <w:rPr>
          <w:noProof/>
        </w:rPr>
        <w:t>; или (iii) печалбата на извършилото нарушението лице, реализирана от сделката, засегната от нелоялната практика</w:t>
      </w:r>
      <w:r>
        <w:rPr>
          <w:rStyle w:val="FootnoteReference"/>
          <w:noProof/>
        </w:rPr>
        <w:footnoteReference w:id="53"/>
      </w:r>
      <w:r>
        <w:rPr>
          <w:noProof/>
        </w:rPr>
        <w:t>. 10 ДЧ не определят минимални прагове</w:t>
      </w:r>
      <w:r>
        <w:rPr>
          <w:rStyle w:val="FootnoteReference"/>
          <w:noProof/>
        </w:rPr>
        <w:footnoteReference w:id="54"/>
      </w:r>
      <w:r>
        <w:rPr>
          <w:noProof/>
        </w:rPr>
        <w:t>, а 3 не определят максимален таван</w:t>
      </w:r>
      <w:r>
        <w:rPr>
          <w:rStyle w:val="FootnoteReference"/>
          <w:noProof/>
        </w:rPr>
        <w:footnoteReference w:id="55"/>
      </w:r>
      <w:r>
        <w:rPr>
          <w:noProof/>
        </w:rPr>
        <w:t>. Шест ДЧ посочват критериите и факторите, участващи при определянето на размера на санкцията при конкретни обстоятелства, включително естеството на нарушението, неговата продължителност и степента, в която последиците са причинили вреди</w:t>
      </w:r>
      <w:r>
        <w:rPr>
          <w:rStyle w:val="FootnoteReference"/>
          <w:noProof/>
        </w:rPr>
        <w:footnoteReference w:id="56"/>
      </w:r>
      <w:r>
        <w:rPr>
          <w:noProof/>
        </w:rPr>
        <w:t xml:space="preserve">. </w:t>
      </w:r>
    </w:p>
    <w:p w14:paraId="10DA0D52" w14:textId="5CB7FAD5" w:rsidR="00645071" w:rsidRPr="00E3367E" w:rsidRDefault="00221620" w:rsidP="00DD5887">
      <w:pPr>
        <w:pStyle w:val="Text1"/>
        <w:spacing w:before="0" w:after="240"/>
        <w:ind w:left="0"/>
        <w:rPr>
          <w:noProof/>
        </w:rPr>
      </w:pPr>
      <w:r>
        <w:rPr>
          <w:noProof/>
        </w:rPr>
        <w:t xml:space="preserve">Само LU и LT са включили изрично принципа, съгласно който санкциите трябва да бъдат ефективни, пропорционални и възпиращи. </w:t>
      </w:r>
    </w:p>
    <w:p w14:paraId="183DC3C1" w14:textId="54F4B961" w:rsidR="000F6308" w:rsidRPr="00E3367E" w:rsidRDefault="000F6308" w:rsidP="00DD5887">
      <w:pPr>
        <w:pStyle w:val="Text1"/>
        <w:spacing w:before="0" w:after="240"/>
        <w:ind w:left="0"/>
        <w:rPr>
          <w:noProof/>
        </w:rPr>
      </w:pPr>
      <w:r>
        <w:rPr>
          <w:noProof/>
        </w:rPr>
        <w:t>В уредбата на правомощията на административния орган да определя приложимите мерки гръцкото законодателство се позовава на пропорционалността и възпиращия ефект, но не и на ефективността, докато финландското законодателство се позовава на необходимостта от разумност при определянето на финансовите санкции, но не и на другите принципи. FI също така прилага принципа на пропорционалност по отношение на мерките за преустановяване на нарушения, но само при нарушения на търговската тайна</w:t>
      </w:r>
      <w:r>
        <w:rPr>
          <w:rStyle w:val="FootnoteReference"/>
          <w:noProof/>
        </w:rPr>
        <w:footnoteReference w:id="57"/>
      </w:r>
      <w:r>
        <w:rPr>
          <w:noProof/>
        </w:rPr>
        <w:t xml:space="preserve">. </w:t>
      </w:r>
    </w:p>
    <w:p w14:paraId="148B8919" w14:textId="3A19825D" w:rsidR="001B7E86" w:rsidRPr="00E3367E" w:rsidRDefault="001B7E86" w:rsidP="00DD5887">
      <w:pPr>
        <w:pStyle w:val="Text1"/>
        <w:spacing w:before="0" w:after="240"/>
        <w:ind w:left="0"/>
        <w:rPr>
          <w:noProof/>
        </w:rPr>
      </w:pPr>
      <w:r>
        <w:rPr>
          <w:noProof/>
        </w:rPr>
        <w:t>В допълнение към финансовите санкции съществуват и средства за правна защита.</w:t>
      </w:r>
    </w:p>
    <w:p w14:paraId="48175095" w14:textId="0F3CD4E0" w:rsidR="001B7E86" w:rsidRPr="00E3367E" w:rsidRDefault="00FB0B99" w:rsidP="00DD5887">
      <w:pPr>
        <w:pStyle w:val="Text1"/>
        <w:spacing w:before="0" w:after="240"/>
        <w:ind w:left="0"/>
        <w:rPr>
          <w:noProof/>
        </w:rPr>
      </w:pPr>
      <w:r>
        <w:rPr>
          <w:noProof/>
        </w:rPr>
        <w:t>По отношение на мерките за преустановяване на нарушения, използвани за прекратяване на нелоялна практика, ДЧ често прилагат някакъв вид санкция за възпиране на неспазването на разпоредбите</w:t>
      </w:r>
      <w:r>
        <w:rPr>
          <w:rStyle w:val="FootnoteReference"/>
          <w:noProof/>
        </w:rPr>
        <w:footnoteReference w:id="58"/>
      </w:r>
      <w:r>
        <w:rPr>
          <w:noProof/>
        </w:rPr>
        <w:t xml:space="preserve">. </w:t>
      </w:r>
    </w:p>
    <w:p w14:paraId="017587C5" w14:textId="76A452F5" w:rsidR="00F269FD" w:rsidRDefault="000A2951" w:rsidP="00DD5887">
      <w:pPr>
        <w:pStyle w:val="Text1"/>
        <w:spacing w:before="0" w:after="240"/>
        <w:ind w:left="0"/>
        <w:rPr>
          <w:noProof/>
        </w:rPr>
      </w:pPr>
      <w:r>
        <w:rPr>
          <w:noProof/>
        </w:rPr>
        <w:t>Подобно на мерките за преустановяване на нарушения, в националните законодателства за транспониране на директивата са въведени и други мерки:</w:t>
      </w:r>
    </w:p>
    <w:p w14:paraId="24335286" w14:textId="03977786" w:rsidR="00F269FD" w:rsidRDefault="001B7E86" w:rsidP="000462BF">
      <w:pPr>
        <w:pStyle w:val="Text1"/>
        <w:numPr>
          <w:ilvl w:val="0"/>
          <w:numId w:val="16"/>
        </w:numPr>
        <w:spacing w:before="0" w:after="240"/>
        <w:rPr>
          <w:noProof/>
        </w:rPr>
      </w:pPr>
      <w:r>
        <w:rPr>
          <w:noProof/>
        </w:rPr>
        <w:t>„известия във връзка със спазването на изискванията“ съгласно ирландското законодателство;</w:t>
      </w:r>
    </w:p>
    <w:p w14:paraId="092BEC77" w14:textId="417B86D1" w:rsidR="00F269FD" w:rsidRDefault="001B7E86" w:rsidP="000462BF">
      <w:pPr>
        <w:pStyle w:val="Text1"/>
        <w:numPr>
          <w:ilvl w:val="0"/>
          <w:numId w:val="16"/>
        </w:numPr>
        <w:spacing w:before="0" w:after="240"/>
        <w:rPr>
          <w:noProof/>
        </w:rPr>
      </w:pPr>
      <w:r>
        <w:rPr>
          <w:noProof/>
        </w:rPr>
        <w:t>„охранителни мерки“ съгласно люксембургското законодателство;</w:t>
      </w:r>
    </w:p>
    <w:p w14:paraId="417B4F6D" w14:textId="541F8076" w:rsidR="001B7E86" w:rsidRPr="00E3367E" w:rsidRDefault="001B7E86" w:rsidP="000462BF">
      <w:pPr>
        <w:pStyle w:val="Text1"/>
        <w:numPr>
          <w:ilvl w:val="0"/>
          <w:numId w:val="16"/>
        </w:numPr>
        <w:spacing w:before="0" w:after="240"/>
        <w:rPr>
          <w:noProof/>
        </w:rPr>
      </w:pPr>
      <w:r>
        <w:rPr>
          <w:noProof/>
        </w:rPr>
        <w:t xml:space="preserve">унгарските мерки, които позволяват на административния орган да забрани на търговеца да прилага разпоредбите на стандартното споразумение за услуги, ако i) то не е ясно формулирано, ii) услугата или възнаграждението не са определени или iii) начислената такса не е пропорционална на разходите.  </w:t>
      </w:r>
    </w:p>
    <w:p w14:paraId="32A2E6A2" w14:textId="6A2631F9" w:rsidR="00290332" w:rsidRPr="00E3367E" w:rsidRDefault="00F269FD" w:rsidP="00DD5887">
      <w:pPr>
        <w:pStyle w:val="Text1"/>
        <w:spacing w:before="0" w:after="240"/>
        <w:ind w:left="0"/>
        <w:rPr>
          <w:noProof/>
        </w:rPr>
      </w:pPr>
      <w:r>
        <w:rPr>
          <w:noProof/>
        </w:rPr>
        <w:t>Макар че в актовете за транспониране рядко се споменават гражданскоправни средства за защита, налице са някои изключения. В някои ДЧ е предвидено, че условия на договора могат да бъдат обявени за нищожни</w:t>
      </w:r>
      <w:r>
        <w:rPr>
          <w:rStyle w:val="FootnoteReference"/>
          <w:noProof/>
        </w:rPr>
        <w:footnoteReference w:id="59"/>
      </w:r>
      <w:r>
        <w:rPr>
          <w:noProof/>
        </w:rPr>
        <w:t>; други предвиждат мерки за обезщетяване при неоснователно обогатяване</w:t>
      </w:r>
      <w:r>
        <w:rPr>
          <w:rStyle w:val="FootnoteReference"/>
          <w:noProof/>
        </w:rPr>
        <w:footnoteReference w:id="60"/>
      </w:r>
      <w:r>
        <w:rPr>
          <w:noProof/>
        </w:rPr>
        <w:t xml:space="preserve"> или претърпени вреди</w:t>
      </w:r>
      <w:r>
        <w:rPr>
          <w:rStyle w:val="FootnoteReference"/>
          <w:noProof/>
        </w:rPr>
        <w:footnoteReference w:id="61"/>
      </w:r>
      <w:r>
        <w:rPr>
          <w:noProof/>
        </w:rPr>
        <w:t xml:space="preserve">. </w:t>
      </w:r>
    </w:p>
    <w:p w14:paraId="2E76AD1E" w14:textId="7464D494" w:rsidR="001B7E86" w:rsidRPr="00E3367E" w:rsidRDefault="006F7949" w:rsidP="00DD5887">
      <w:pPr>
        <w:pStyle w:val="Text1"/>
        <w:spacing w:before="0" w:after="240"/>
        <w:ind w:left="0"/>
        <w:rPr>
          <w:noProof/>
        </w:rPr>
      </w:pPr>
      <w:r>
        <w:rPr>
          <w:noProof/>
        </w:rPr>
        <w:t xml:space="preserve">Поемането на задължения е ясно регламентирано в HR и HU. Одобряването им от правоприлагащия орган обичайно изключва установяването на нарушение и налагането на санкция, освен ако поетото задължение не е изпълнено. </w:t>
      </w:r>
    </w:p>
    <w:p w14:paraId="19DC30B1" w14:textId="286DEA58" w:rsidR="00AC3876" w:rsidRPr="00CF2E9C" w:rsidRDefault="00472A34" w:rsidP="00CF2E9C">
      <w:pPr>
        <w:pStyle w:val="Heading3"/>
        <w:tabs>
          <w:tab w:val="clear" w:pos="1842"/>
          <w:tab w:val="num" w:pos="851"/>
        </w:tabs>
        <w:spacing w:before="0" w:after="240"/>
        <w:ind w:left="0" w:firstLine="0"/>
        <w:rPr>
          <w:rFonts w:eastAsiaTheme="minorEastAsia"/>
          <w:b/>
          <w:i w:val="0"/>
          <w:noProof/>
        </w:rPr>
      </w:pPr>
      <w:bookmarkStart w:id="39" w:name="_Toc85617914"/>
      <w:bookmarkStart w:id="40" w:name="_Toc78461439"/>
      <w:r>
        <w:rPr>
          <w:b/>
          <w:i w:val="0"/>
          <w:noProof/>
        </w:rPr>
        <w:t>Административно или съдебно правоприлагане и алтернативно разрешаване на спорове</w:t>
      </w:r>
      <w:bookmarkEnd w:id="39"/>
      <w:r>
        <w:rPr>
          <w:b/>
          <w:i w:val="0"/>
          <w:noProof/>
        </w:rPr>
        <w:t xml:space="preserve"> </w:t>
      </w:r>
      <w:bookmarkEnd w:id="40"/>
    </w:p>
    <w:p w14:paraId="2F44B325" w14:textId="2F8EEC91" w:rsidR="00472A34" w:rsidRPr="00B51048" w:rsidRDefault="00D24CC2" w:rsidP="00215304">
      <w:pPr>
        <w:pStyle w:val="Text1"/>
        <w:spacing w:before="0" w:after="240"/>
        <w:ind w:left="0"/>
        <w:rPr>
          <w:noProof/>
        </w:rPr>
      </w:pPr>
      <w:bookmarkStart w:id="41" w:name="_Toc78452829"/>
      <w:bookmarkStart w:id="42" w:name="_Toc78461440"/>
      <w:r>
        <w:rPr>
          <w:noProof/>
        </w:rPr>
        <w:t>Повечето горепосочени мерки и механизми за правоприлагане могат да се смятат за правоприлагане по административен ред.</w:t>
      </w:r>
      <w:bookmarkEnd w:id="41"/>
      <w:bookmarkEnd w:id="42"/>
    </w:p>
    <w:p w14:paraId="799958CC" w14:textId="1E8FA02A" w:rsidR="005A474F" w:rsidRPr="00B51048" w:rsidRDefault="27BA9EC7" w:rsidP="00215304">
      <w:pPr>
        <w:pStyle w:val="Text1"/>
        <w:spacing w:before="0" w:after="240"/>
        <w:ind w:left="0"/>
        <w:rPr>
          <w:noProof/>
        </w:rPr>
      </w:pPr>
      <w:bookmarkStart w:id="43" w:name="_Toc78452830"/>
      <w:bookmarkStart w:id="44" w:name="_Toc78461441"/>
      <w:r>
        <w:rPr>
          <w:noProof/>
        </w:rPr>
        <w:t>В актовете за транспониране на някои държави членки изрично се разглежда правоприлагането както по административен, така по съдебен ред. По-конкретно осем държави членки предвиждат възможност решенията на административните органи да бъдат обжалвани пред съд</w:t>
      </w:r>
      <w:r>
        <w:rPr>
          <w:rStyle w:val="FootnoteReference"/>
          <w:noProof/>
        </w:rPr>
        <w:footnoteReference w:id="62"/>
      </w:r>
      <w:r>
        <w:rPr>
          <w:noProof/>
        </w:rPr>
        <w:t>. Освен това във финландското законодателство се предвижда, че някои правомощия (например налагането на санкции) се предоставят само на съда, докато други мерки (като мерките за преустановяване на нарушения) могат да се приемат както от административния, така и от съдебния орган. В българското законодателство се предвижда, че наличието на институция, която отговаря за конкретни производства съгласно законодателството за транспониране, не трябва да бъде пречка страна по договор за доставка да защити правата си по друг установен ред, като косвено се признава ролята на други правоприлагащи органи, включително съдилищата. Латвийското законодателство предвижда, че паралелно със Съвета за защита на конкуренцията, по реда, предвиден в Закона за гражданския процес, съдът също може да установи дали е налице нарушение на закона за транспониране.</w:t>
      </w:r>
      <w:bookmarkEnd w:id="43"/>
      <w:bookmarkEnd w:id="44"/>
    </w:p>
    <w:p w14:paraId="0AF07975" w14:textId="202E6D41" w:rsidR="001B7E86" w:rsidRPr="008E0E7A" w:rsidRDefault="001B7E86" w:rsidP="00CF2E9C">
      <w:pPr>
        <w:pStyle w:val="Text1"/>
        <w:spacing w:before="0" w:after="240"/>
        <w:ind w:left="0"/>
        <w:rPr>
          <w:b/>
          <w:bCs/>
          <w:noProof/>
        </w:rPr>
      </w:pPr>
      <w:r>
        <w:rPr>
          <w:noProof/>
        </w:rPr>
        <w:t>Тези ДЧ явно използват система от паралелни средства за правна защита, без обаче да предвиждат конкретни правила за координация между административните и съдебните органи.</w:t>
      </w:r>
    </w:p>
    <w:p w14:paraId="46702DFC" w14:textId="347E5D98" w:rsidR="00CA535F" w:rsidRPr="00D66C30" w:rsidRDefault="00B51048" w:rsidP="00D66C30">
      <w:pPr>
        <w:pStyle w:val="Text1"/>
        <w:spacing w:before="0" w:after="240"/>
        <w:ind w:left="0"/>
        <w:rPr>
          <w:b/>
          <w:bCs/>
          <w:noProof/>
        </w:rPr>
      </w:pPr>
      <w:bookmarkStart w:id="45" w:name="_Toc78452831"/>
      <w:bookmarkStart w:id="46" w:name="_Toc78461442"/>
      <w:bookmarkStart w:id="47" w:name="_Toc82017611"/>
      <w:r w:rsidRPr="00D66C30">
        <w:rPr>
          <w:bCs/>
          <w:noProof/>
        </w:rPr>
        <w:t>По отношение на член 7 от директивата седем ДЧ предвиждат възможност да се прибегне до алтернативни механизми за разрешаване на спорове</w:t>
      </w:r>
      <w:r w:rsidRPr="00D66C30">
        <w:rPr>
          <w:bCs/>
          <w:noProof/>
        </w:rPr>
        <w:footnoteReference w:id="63"/>
      </w:r>
      <w:r w:rsidRPr="00D66C30">
        <w:rPr>
          <w:bCs/>
          <w:noProof/>
        </w:rPr>
        <w:t>. От тях в нидерландското законодателство на съответния министър се предоставя правото да определи комитет за разрешаване на спорове, а впоследствие да „присъедини“ купувач към</w:t>
      </w:r>
      <w:r w:rsidRPr="00D66C30">
        <w:rPr>
          <w:noProof/>
        </w:rPr>
        <w:t xml:space="preserve"> определения комитет. Решението на комитета е обвързващо за страните, освен ако някоя от тях не отнесе спора до гражданския съд в тримесечен срок от приемането му.</w:t>
      </w:r>
      <w:bookmarkEnd w:id="45"/>
      <w:bookmarkEnd w:id="46"/>
      <w:r w:rsidRPr="00D66C30">
        <w:rPr>
          <w:noProof/>
        </w:rPr>
        <w:t xml:space="preserve"> Съгласно малтийското законодателство правоприлагащият орган може да покани страните да участват в процедура по медиация, която да определи размера на вредите. Няма изрично регламентирани механизми за координация между правоприлагането по административен и по съдебен ред.</w:t>
      </w:r>
      <w:bookmarkEnd w:id="47"/>
    </w:p>
    <w:p w14:paraId="58A0E407" w14:textId="3FEC3FF4" w:rsidR="001B7E86" w:rsidRPr="00E3367E" w:rsidRDefault="001B7E86" w:rsidP="007A4A0A">
      <w:pPr>
        <w:pStyle w:val="Text1"/>
        <w:spacing w:after="240"/>
        <w:ind w:left="0"/>
        <w:rPr>
          <w:noProof/>
        </w:rPr>
      </w:pPr>
      <w:r>
        <w:rPr>
          <w:noProof/>
        </w:rPr>
        <w:t>В нито един от законодателните актове за транспониране не е разгледан въпросът за извънтериториалните правомощия на административните органи. Някои ДЧ посочват, че правоприлагащият орган е компетентен само по отношение на практики, възникващи при отношения, при които доставчикът, купувачът или и двамата са установени в ДЧ на органа</w:t>
      </w:r>
      <w:r>
        <w:rPr>
          <w:rStyle w:val="FootnoteReference"/>
          <w:noProof/>
        </w:rPr>
        <w:footnoteReference w:id="64"/>
      </w:r>
      <w:r>
        <w:rPr>
          <w:noProof/>
        </w:rPr>
        <w:t xml:space="preserve">. </w:t>
      </w:r>
    </w:p>
    <w:p w14:paraId="2F58C553" w14:textId="525B6367" w:rsidR="001B7E86" w:rsidRPr="00E3367E" w:rsidRDefault="00A04770" w:rsidP="00CF2E9C">
      <w:pPr>
        <w:pStyle w:val="Text1"/>
        <w:spacing w:before="0" w:after="240"/>
        <w:ind w:left="0"/>
        <w:rPr>
          <w:noProof/>
        </w:rPr>
      </w:pPr>
      <w:r>
        <w:rPr>
          <w:noProof/>
        </w:rPr>
        <w:t>В конкретния случай на презграничните нарушения понастоящем само Германското законодателство за транспониране урежда форми на сътрудничество с административните органи на други ДЧ.</w:t>
      </w:r>
    </w:p>
    <w:p w14:paraId="615FA1DB" w14:textId="77777777" w:rsidR="00CA535F" w:rsidRPr="00E3367E" w:rsidRDefault="00345126" w:rsidP="00CF2E9C">
      <w:pPr>
        <w:pStyle w:val="Heading1"/>
        <w:spacing w:before="0" w:after="240"/>
        <w:ind w:left="0" w:firstLine="0"/>
        <w:rPr>
          <w:noProof/>
        </w:rPr>
      </w:pPr>
      <w:bookmarkStart w:id="48" w:name="_Toc78452832"/>
      <w:bookmarkStart w:id="49" w:name="_Toc78461443"/>
      <w:bookmarkStart w:id="50" w:name="_Toc85617915"/>
      <w:bookmarkEnd w:id="48"/>
      <w:r>
        <w:rPr>
          <w:noProof/>
        </w:rPr>
        <w:t>Заключения</w:t>
      </w:r>
      <w:bookmarkEnd w:id="49"/>
      <w:bookmarkEnd w:id="50"/>
    </w:p>
    <w:p w14:paraId="6FBF9A72" w14:textId="10686143" w:rsidR="00670E8F" w:rsidRPr="00E3367E" w:rsidRDefault="00BA3ACA" w:rsidP="00152A36">
      <w:pPr>
        <w:pStyle w:val="Text1"/>
        <w:spacing w:before="0" w:after="240"/>
        <w:ind w:left="0"/>
        <w:rPr>
          <w:noProof/>
        </w:rPr>
      </w:pPr>
      <w:r>
        <w:rPr>
          <w:noProof/>
        </w:rPr>
        <w:t xml:space="preserve">Повечето от 16-те ДЧ, анализирани в контекста на настоящия доклад, са положили усилия да транспонират директивата своевременно. Голяма част от тези ДЧ са надхвърлили минималното ниво на защита, установено в директивата. По-строгите правила по принцип са съвместими с директивата, при условие че са съобразени с правилата на вътрешния пазар на ЕС. Като цяло ДЧ следват секторния подход в това законодателство и прилагат разпоредбите във веригата за доставки на селскостопански и хранителни продукти. Повече от половината от ДЧ, анализирани в настоящия доклад, или се отклоняват от категориите за оборот, така както са определени в директивата, или дори прилагат правилата независимо от оборота на съответните оператори. Повечето ДЧ са разширили списъка на НТП от директивата, като са добавили забрани или са направили забраните по директивата по-строги. За разлика от тях (няколкото) ДЧ, които не са имали такова законодателство преди транспонирането на директивата, като цяло са се съобразили с обхвата на директивата. Макар в повечето случаи избраните от държавите членки решения при транспонирането да изглеждат идентични с правилата, определени в директивата, или равностойни на тези правила, съществуват някои различия. Те ще бъдат анализирани допълнително. </w:t>
      </w:r>
    </w:p>
    <w:p w14:paraId="24950BF7" w14:textId="221AEB51" w:rsidR="00AA3545" w:rsidRPr="00E3367E" w:rsidRDefault="5FD0078A" w:rsidP="00CF2E9C">
      <w:pPr>
        <w:pStyle w:val="Text1"/>
        <w:spacing w:before="0" w:after="240"/>
        <w:ind w:left="0"/>
        <w:rPr>
          <w:noProof/>
        </w:rPr>
      </w:pPr>
      <w:r>
        <w:rPr>
          <w:noProof/>
        </w:rPr>
        <w:t xml:space="preserve">По отношение на органите, на които е възложено прилагането на правилата относно НТП, ДЧ са се съсредоточили върху ролята на административните органи, докато съдебното правоприлагане е предвидено само в ограничена степен. Като цяло координацията между административните и съдебните правоприлагащи органи е слаба или изобщо не е предвидена. Макар ДЧ да дават възможност организации на производителите да подават колективни жалби, другите механизми за колективна защита остават в голяма степен неизследвани. Понякога има препратки към алтернативни механизми за разрешаване на спорове. </w:t>
      </w:r>
    </w:p>
    <w:p w14:paraId="04F8C2A6" w14:textId="52D1E797" w:rsidR="009B10D5" w:rsidRPr="00E3367E" w:rsidRDefault="36A420EB" w:rsidP="00CF2E9C">
      <w:pPr>
        <w:pStyle w:val="Text1"/>
        <w:spacing w:before="0" w:after="240"/>
        <w:ind w:left="0"/>
        <w:rPr>
          <w:noProof/>
        </w:rPr>
      </w:pPr>
      <w:r>
        <w:rPr>
          <w:noProof/>
        </w:rPr>
        <w:t xml:space="preserve">По отношение на мерките, които се прилагат, основният акцент е поставен върху финансовите санкции и мерките за преустановяване на нарушения, като някои ДЧ въвеждат възможността страните да предлагат поемане на задължения. Няколко ДЧ възнамеряват да използват и гражданскоправни средства за защита. Насоките за постигане на ефективност, пропорционалност и възпиращ ефект на наказанията и другите санкции са твърде ограничени. </w:t>
      </w:r>
    </w:p>
    <w:p w14:paraId="57D46756" w14:textId="2CEE8509" w:rsidR="00D47E9F" w:rsidRDefault="26CB56C4" w:rsidP="00CF2E9C">
      <w:pPr>
        <w:pStyle w:val="Text1"/>
        <w:spacing w:before="0" w:after="240"/>
        <w:ind w:left="0"/>
        <w:rPr>
          <w:noProof/>
        </w:rPr>
      </w:pPr>
      <w:r>
        <w:rPr>
          <w:noProof/>
        </w:rPr>
        <w:t>По-цялостна картина ще бъде получена, когато всички ДЧ завършат процеса на транспониране</w:t>
      </w:r>
      <w:r>
        <w:rPr>
          <w:rStyle w:val="FootnoteReference"/>
          <w:noProof/>
        </w:rPr>
        <w:footnoteReference w:id="65"/>
      </w:r>
      <w:r>
        <w:rPr>
          <w:noProof/>
        </w:rPr>
        <w:t>. Първата оценка на директивата на равнището на ЕС и докладът за основните констатации от тази оценка ще бъдат представени до 1 ноември 2025 г.</w:t>
      </w:r>
    </w:p>
    <w:p w14:paraId="0A8D344C" w14:textId="77777777" w:rsidR="00CA535F" w:rsidRPr="00AA3545" w:rsidRDefault="00CA535F" w:rsidP="00CF2E9C">
      <w:pPr>
        <w:pStyle w:val="Text1"/>
        <w:spacing w:before="0" w:after="240"/>
        <w:ind w:left="0"/>
        <w:rPr>
          <w:noProof/>
        </w:rPr>
      </w:pPr>
    </w:p>
    <w:sectPr w:rsidR="00CA535F" w:rsidRPr="00AA3545" w:rsidSect="00672FC3">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08" w:footer="708"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292183D" w16cex:dateUtc="2021-09-24T14:23:17.941Z"/>
  <w16cex:commentExtensible w16cex:durableId="0E197A16" w16cex:dateUtc="2021-09-24T14:26:45.65Z"/>
  <w16cex:commentExtensible w16cex:durableId="2DC1C36D" w16cex:dateUtc="2021-09-24T14:30:04.355Z"/>
</w16cex:commentsExtensible>
</file>

<file path=word/commentsIds.xml><?xml version="1.0" encoding="utf-8"?>
<w16cid:commentsIds xmlns:mc="http://schemas.openxmlformats.org/markup-compatibility/2006" xmlns:w16cid="http://schemas.microsoft.com/office/word/2016/wordml/cid" mc:Ignorable="w16cid">
  <w16cid:commentId w16cid:paraId="775AA247" w16cid:durableId="24E2FD66"/>
  <w16cid:commentId w16cid:paraId="3B2F6E9E" w16cid:durableId="24E2FD67"/>
  <w16cid:commentId w16cid:paraId="65B3F8D0" w16cid:durableId="24E2FD68"/>
  <w16cid:commentId w16cid:paraId="3EAA11CA" w16cid:durableId="24E2FD69"/>
  <w16cid:commentId w16cid:paraId="21BD71D7" w16cid:durableId="24E2FD6A"/>
  <w16cid:commentId w16cid:paraId="5C842E72" w16cid:durableId="24E2FD6B"/>
  <w16cid:commentId w16cid:paraId="79B5EB31" w16cid:durableId="24E2FD6C"/>
  <w16cid:commentId w16cid:paraId="13AD9703" w16cid:durableId="24E2FD6D"/>
  <w16cid:commentId w16cid:paraId="1F0C7E9B" w16cid:durableId="24E2FD6E"/>
  <w16cid:commentId w16cid:paraId="1EB6958C" w16cid:durableId="24E2FD6F"/>
  <w16cid:commentId w16cid:paraId="53833901" w16cid:durableId="24E2FD70"/>
  <w16cid:commentId w16cid:paraId="65B9160E" w16cid:durableId="24E2FD71"/>
  <w16cid:commentId w16cid:paraId="09A40B42" w16cid:durableId="24E2FD72"/>
  <w16cid:commentId w16cid:paraId="4C56250A" w16cid:durableId="24E2FD73"/>
  <w16cid:commentId w16cid:paraId="5ED3F588" w16cid:durableId="24E2FD74"/>
  <w16cid:commentId w16cid:paraId="31F00B1C" w16cid:durableId="24E2FD75"/>
  <w16cid:commentId w16cid:paraId="4B8EFA64" w16cid:durableId="24E2FD76"/>
  <w16cid:commentId w16cid:paraId="24BA9853" w16cid:durableId="24E2FD77"/>
  <w16cid:commentId w16cid:paraId="4BBFD954" w16cid:durableId="24E2FD78"/>
  <w16cid:commentId w16cid:paraId="2579764B" w16cid:durableId="24E2FD79"/>
  <w16cid:commentId w16cid:paraId="46F1AE9F" w16cid:durableId="24E2FD7A"/>
  <w16cid:commentId w16cid:paraId="438E697F" w16cid:durableId="24E2FD7B"/>
  <w16cid:commentId w16cid:paraId="5BCC0387" w16cid:durableId="24E2FD7C"/>
  <w16cid:commentId w16cid:paraId="0346391B" w16cid:durableId="24E2FD7D"/>
  <w16cid:commentId w16cid:paraId="26F12520" w16cid:durableId="24E2FD7E"/>
  <w16cid:commentId w16cid:paraId="7FC52D86" w16cid:durableId="7BBE2A45"/>
  <w16cid:commentId w16cid:paraId="723E90B4" w16cid:durableId="0EB1EF4C"/>
  <w16cid:commentId w16cid:paraId="0D41D50B" w16cid:durableId="7D94E12B"/>
  <w16cid:commentId w16cid:paraId="3FC79D54" w16cid:durableId="0FC04560"/>
  <w16cid:commentId w16cid:paraId="0085FFD1" w16cid:durableId="2AB25A4F"/>
  <w16cid:commentId w16cid:paraId="5893A9BD" w16cid:durableId="27645E8E"/>
  <w16cid:commentId w16cid:paraId="096E3E3D" w16cid:durableId="15DE7469"/>
  <w16cid:commentId w16cid:paraId="4D7C8E2A" w16cid:durableId="063273A0"/>
  <w16cid:commentId w16cid:paraId="375C2D95" w16cid:durableId="328BEED4"/>
  <w16cid:commentId w16cid:paraId="381B556F" w16cid:durableId="1064256B"/>
  <w16cid:commentId w16cid:paraId="704DE63C" w16cid:durableId="78ECDF03"/>
  <w16cid:commentId w16cid:paraId="4577FA0F" w16cid:durableId="6E21C37F"/>
  <w16cid:commentId w16cid:paraId="6DE7EFF9" w16cid:durableId="1D170A28"/>
  <w16cid:commentId w16cid:paraId="382AEE65" w16cid:durableId="5516C935"/>
  <w16cid:commentId w16cid:paraId="481F2809" w16cid:durableId="10220949"/>
  <w16cid:commentId w16cid:paraId="5039AA56" w16cid:durableId="3177C927"/>
  <w16cid:commentId w16cid:paraId="14E09D47" w16cid:durableId="6DDB9642"/>
  <w16cid:commentId w16cid:paraId="743F16B4" w16cid:durableId="6AECEF9D"/>
  <w16cid:commentId w16cid:paraId="10E86D40" w16cid:durableId="083F408E"/>
  <w16cid:commentId w16cid:paraId="782F43F3" w16cid:durableId="33C8E6A4"/>
  <w16cid:commentId w16cid:paraId="44637F24" w16cid:durableId="4CA6D160"/>
  <w16cid:commentId w16cid:paraId="7EB84060" w16cid:durableId="2934586D"/>
  <w16cid:commentId w16cid:paraId="2C571878" w16cid:durableId="2D901D16"/>
  <w16cid:commentId w16cid:paraId="1403236B" w16cid:durableId="0DEE0FF9"/>
  <w16cid:commentId w16cid:paraId="71A48B6D" w16cid:durableId="241F5FC4"/>
  <w16cid:commentId w16cid:paraId="735E6060" w16cid:durableId="2C109CD6"/>
  <w16cid:commentId w16cid:paraId="0AB372DD" w16cid:durableId="67ADF0F1"/>
  <w16cid:commentId w16cid:paraId="4E605818" w16cid:durableId="260A92BC"/>
  <w16cid:commentId w16cid:paraId="2048651F" w16cid:durableId="478A39B0"/>
  <w16cid:commentId w16cid:paraId="2FE3254F" w16cid:durableId="0ECB5DB6"/>
  <w16cid:commentId w16cid:paraId="0D6AD58A" w16cid:durableId="30310C3E"/>
  <w16cid:commentId w16cid:paraId="7ECA93A8" w16cid:durableId="54B572F4"/>
  <w16cid:commentId w16cid:paraId="7B97B636" w16cid:durableId="62FFC90E"/>
  <w16cid:commentId w16cid:paraId="314BFB1D" w16cid:durableId="4DE577A8"/>
  <w16cid:commentId w16cid:paraId="29942B21" w16cid:durableId="6394E09E"/>
  <w16cid:commentId w16cid:paraId="0036FECD" w16cid:durableId="4BDA63D0"/>
  <w16cid:commentId w16cid:paraId="3F98DED0" w16cid:durableId="58EFD30C"/>
  <w16cid:commentId w16cid:paraId="729677A9" w16cid:durableId="3A602000"/>
  <w16cid:commentId w16cid:paraId="7C03AA94" w16cid:durableId="3D39E96F"/>
  <w16cid:commentId w16cid:paraId="26D219A9" w16cid:durableId="73B46447"/>
  <w16cid:commentId w16cid:paraId="13504117" w16cid:durableId="0F5452BF"/>
  <w16cid:commentId w16cid:paraId="7A7C3375" w16cid:durableId="3588D809"/>
  <w16cid:commentId w16cid:paraId="2E02593A" w16cid:durableId="14A993C7"/>
  <w16cid:commentId w16cid:paraId="3A751E07" w16cid:durableId="509A8F41"/>
  <w16cid:commentId w16cid:paraId="6305120D" w16cid:durableId="444122F4"/>
  <w16cid:commentId w16cid:paraId="464E5464" w16cid:durableId="2CBE088A"/>
  <w16cid:commentId w16cid:paraId="232D23EA" w16cid:durableId="56851EBE"/>
  <w16cid:commentId w16cid:paraId="6B7E8907" w16cid:durableId="130F1D37"/>
  <w16cid:commentId w16cid:paraId="4B00B204" w16cid:durableId="4AFA8CB1"/>
  <w16cid:commentId w16cid:paraId="68E1C7E3" w16cid:durableId="21803C20"/>
  <w16cid:commentId w16cid:paraId="04E5771D" w16cid:durableId="222EDD5A"/>
  <w16cid:commentId w16cid:paraId="620A4415" w16cid:durableId="38454081"/>
  <w16cid:commentId w16cid:paraId="5DB573D9" w16cid:durableId="24E3A9CF"/>
  <w16cid:commentId w16cid:paraId="7A43AC26" w16cid:durableId="3292183D"/>
  <w16cid:commentId w16cid:paraId="18F418A5" w16cid:durableId="0E197A16"/>
  <w16cid:commentId w16cid:paraId="15815DA2" w16cid:durableId="2DC1C36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9D308" w14:textId="77777777" w:rsidR="00F85F6C" w:rsidRDefault="00F85F6C">
      <w:pPr>
        <w:spacing w:after="0" w:line="240" w:lineRule="auto"/>
      </w:pPr>
      <w:r>
        <w:separator/>
      </w:r>
    </w:p>
  </w:endnote>
  <w:endnote w:type="continuationSeparator" w:id="0">
    <w:p w14:paraId="115F1272" w14:textId="77777777" w:rsidR="00F85F6C" w:rsidRDefault="00F85F6C">
      <w:pPr>
        <w:spacing w:after="0" w:line="240" w:lineRule="auto"/>
      </w:pPr>
      <w:r>
        <w:continuationSeparator/>
      </w:r>
    </w:p>
  </w:endnote>
  <w:endnote w:type="continuationNotice" w:id="1">
    <w:p w14:paraId="2215CCB6" w14:textId="77777777" w:rsidR="00F85F6C" w:rsidRDefault="00F85F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Robot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CE76B" w14:textId="77777777" w:rsidR="00C42E60" w:rsidRPr="00C42E60" w:rsidRDefault="00C42E60" w:rsidP="00C42E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ADEE1" w14:textId="523C457F" w:rsidR="0096635C" w:rsidRPr="00C42E60" w:rsidRDefault="00C42E60" w:rsidP="00C42E60">
    <w:pPr>
      <w:pStyle w:val="FooterCoverPage"/>
      <w:rPr>
        <w:rFonts w:ascii="Arial" w:hAnsi="Arial" w:cs="Arial"/>
        <w:b/>
        <w:sz w:val="48"/>
      </w:rPr>
    </w:pPr>
    <w:r w:rsidRPr="00C42E60">
      <w:rPr>
        <w:rFonts w:ascii="Arial" w:hAnsi="Arial" w:cs="Arial"/>
        <w:b/>
        <w:sz w:val="48"/>
      </w:rPr>
      <w:t>BG</w:t>
    </w:r>
    <w:r w:rsidRPr="00C42E60">
      <w:rPr>
        <w:rFonts w:ascii="Arial" w:hAnsi="Arial" w:cs="Arial"/>
        <w:b/>
        <w:sz w:val="48"/>
      </w:rPr>
      <w:tab/>
    </w:r>
    <w:r w:rsidRPr="00C42E60">
      <w:rPr>
        <w:rFonts w:ascii="Arial" w:hAnsi="Arial" w:cs="Arial"/>
        <w:b/>
        <w:sz w:val="48"/>
      </w:rPr>
      <w:tab/>
    </w:r>
    <w:r w:rsidRPr="00C42E60">
      <w:tab/>
    </w:r>
    <w:r w:rsidRPr="00C42E60">
      <w:rPr>
        <w:rFonts w:ascii="Arial" w:hAnsi="Arial" w:cs="Arial"/>
        <w:b/>
        <w:sz w:val="48"/>
      </w:rPr>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79D6D" w14:textId="77777777" w:rsidR="00C42E60" w:rsidRPr="00C42E60" w:rsidRDefault="00C42E60" w:rsidP="00C42E6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4A9F0" w14:textId="77777777" w:rsidR="00F85F6C" w:rsidRDefault="00F85F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4334037"/>
      <w:docPartObj>
        <w:docPartGallery w:val="Page Numbers (Bottom of Page)"/>
        <w:docPartUnique/>
      </w:docPartObj>
    </w:sdtPr>
    <w:sdtEndPr>
      <w:rPr>
        <w:noProof/>
      </w:rPr>
    </w:sdtEndPr>
    <w:sdtContent>
      <w:p w14:paraId="61E5081C" w14:textId="619B91FA" w:rsidR="00F85F6C" w:rsidRDefault="00F85F6C">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C42E60">
          <w:rPr>
            <w:rFonts w:ascii="Times New Roman" w:hAnsi="Times New Roman" w:cs="Times New Roman"/>
            <w:noProof/>
          </w:rPr>
          <w:t>1</w:t>
        </w:r>
        <w:r>
          <w:rPr>
            <w:rFonts w:ascii="Times New Roman" w:hAnsi="Times New Roman" w:cs="Times New Roman"/>
          </w:rPr>
          <w:fldChar w:fldCharType="end"/>
        </w:r>
      </w:p>
    </w:sdtContent>
  </w:sdt>
  <w:p w14:paraId="2A75156E" w14:textId="77777777" w:rsidR="00F85F6C" w:rsidRDefault="00F85F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3F0B8" w14:textId="77777777" w:rsidR="00F85F6C" w:rsidRDefault="00F85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E85FEB" w14:textId="77777777" w:rsidR="00F85F6C" w:rsidRDefault="00F85F6C">
      <w:pPr>
        <w:spacing w:after="0" w:line="240" w:lineRule="auto"/>
      </w:pPr>
      <w:r>
        <w:separator/>
      </w:r>
    </w:p>
  </w:footnote>
  <w:footnote w:type="continuationSeparator" w:id="0">
    <w:p w14:paraId="516A7B84" w14:textId="77777777" w:rsidR="00F85F6C" w:rsidRDefault="00F85F6C">
      <w:pPr>
        <w:spacing w:after="0" w:line="240" w:lineRule="auto"/>
      </w:pPr>
      <w:r>
        <w:continuationSeparator/>
      </w:r>
    </w:p>
  </w:footnote>
  <w:footnote w:type="continuationNotice" w:id="1">
    <w:p w14:paraId="1B35DA5A" w14:textId="77777777" w:rsidR="00F85F6C" w:rsidRDefault="00F85F6C">
      <w:pPr>
        <w:spacing w:after="0" w:line="240" w:lineRule="auto"/>
      </w:pPr>
    </w:p>
  </w:footnote>
  <w:footnote w:id="2">
    <w:p w14:paraId="2EA4625B" w14:textId="11D31A96" w:rsidR="00F85F6C" w:rsidRPr="005D2423" w:rsidRDefault="00F85F6C" w:rsidP="00CF2E9C">
      <w:pPr>
        <w:pStyle w:val="FootnoteText"/>
        <w:ind w:left="113" w:hanging="113"/>
      </w:pPr>
      <w:r>
        <w:rPr>
          <w:rStyle w:val="FootnoteReference"/>
        </w:rPr>
        <w:footnoteRef/>
      </w:r>
      <w:r>
        <w:t xml:space="preserve"> Вж. Форум на високо равнище за подобряване на функционирането на веригата на доставки на храни (2011 г.), ръководен от Европейската комисия, който одобри набор от </w:t>
      </w:r>
      <w:hyperlink w:anchor=":~:text=Principles%20of%20Good%20Practice%20in%20vertical%20relationships%20in,business%20that%20respects%20contractual%20freedom%20and%20ensures%20competitiveness." w:history="1">
        <w:r>
          <w:rPr>
            <w:rStyle w:val="Hyperlink"/>
          </w:rPr>
          <w:t>принципи за добри практики във вертикалните отношения по веригата за доставки на храни</w:t>
        </w:r>
      </w:hyperlink>
      <w:r>
        <w:t xml:space="preserve">, приети от организации, представляващи мнозинството оператори във веригата за доставки на храни. Това доведе до стартирането през 2013 г. на Инициативата за веригата за доставки. По-долу са изброени някои скорошни интервенции: от страна на Европейския парламент: </w:t>
      </w:r>
      <w:hyperlink r:id="rId1" w:history="1">
        <w:r>
          <w:rPr>
            <w:rStyle w:val="Hyperlink"/>
          </w:rPr>
          <w:t>Резолюция от 7 юни 2016 г. относно нелоялните търговски практики във веригата за доставки на храни</w:t>
        </w:r>
      </w:hyperlink>
      <w:r>
        <w:t xml:space="preserve">; от страна на Съвета: </w:t>
      </w:r>
      <w:hyperlink r:id="rId2" w:history="1">
        <w:r>
          <w:rPr>
            <w:rStyle w:val="Hyperlink"/>
          </w:rPr>
          <w:t>Заключения от 12 декември 2016 г. относно утвърждаването на мястото на земеделските стопани във веригата за доставка на храни и борбата с нелоялните търговски практики</w:t>
        </w:r>
      </w:hyperlink>
      <w:r>
        <w:rPr>
          <w:rStyle w:val="Hyperlink"/>
          <w:color w:val="auto"/>
          <w:u w:val="none"/>
        </w:rPr>
        <w:t>; от страна на Комисията:</w:t>
      </w:r>
      <w:r>
        <w:rPr>
          <w:rStyle w:val="Hyperlink"/>
          <w:color w:val="auto"/>
        </w:rPr>
        <w:t xml:space="preserve"> </w:t>
      </w:r>
      <w:hyperlink r:id="rId3" w:history="1">
        <w:r>
          <w:rPr>
            <w:rStyle w:val="Hyperlink"/>
          </w:rPr>
          <w:t>Съобщение на Комисията от 28 октомври 2009 г. относно подобряване на функционирането на веригата на предлагането на храни в Европа</w:t>
        </w:r>
      </w:hyperlink>
      <w:r>
        <w:t xml:space="preserve">; </w:t>
      </w:r>
      <w:hyperlink r:id="rId4" w:history="1">
        <w:r>
          <w:rPr>
            <w:rStyle w:val="Hyperlink"/>
          </w:rPr>
          <w:t>Съобщение на Комисията от 15 юли 2014 г. относно борбата с нелоялните търговски практики във веригата за доставки на храни между предприятия</w:t>
        </w:r>
      </w:hyperlink>
      <w:r>
        <w:t xml:space="preserve">; и </w:t>
      </w:r>
      <w:hyperlink r:id="rId5" w:history="1">
        <w:r>
          <w:rPr>
            <w:rStyle w:val="Hyperlink"/>
          </w:rPr>
          <w:t>Доклад на Комисията от 29 януари 2016 г. относно нелоялните търговски практики във веригата за доставки на храни между предприятия</w:t>
        </w:r>
      </w:hyperlink>
      <w:r>
        <w:t xml:space="preserve">. </w:t>
      </w:r>
    </w:p>
  </w:footnote>
  <w:footnote w:id="3">
    <w:p w14:paraId="735E1C4A" w14:textId="6AAFAC8E" w:rsidR="00F85F6C" w:rsidRPr="005D2423" w:rsidRDefault="00F85F6C" w:rsidP="00A55BDC">
      <w:pPr>
        <w:pStyle w:val="FootnoteText"/>
        <w:ind w:left="125" w:hanging="125"/>
      </w:pPr>
      <w:r>
        <w:rPr>
          <w:rStyle w:val="FootnoteReference"/>
        </w:rPr>
        <w:footnoteRef/>
      </w:r>
      <w:r>
        <w:t xml:space="preserve"> Предложение за Директива относно нелоялните търговски практики в отношенията между стопански субекти по веригата за доставка на храни, Брюксел, 12.4.2018 г., COM(2018) 173 final, 2018/0082 (COD), параграф 2.</w:t>
      </w:r>
    </w:p>
  </w:footnote>
  <w:footnote w:id="4">
    <w:p w14:paraId="7C703DE9" w14:textId="707BA909" w:rsidR="00F85F6C" w:rsidRPr="005D2423" w:rsidRDefault="00F85F6C" w:rsidP="00CF2E9C">
      <w:pPr>
        <w:pStyle w:val="FootnoteText"/>
        <w:ind w:left="113" w:hanging="113"/>
      </w:pPr>
      <w:r>
        <w:rPr>
          <w:rStyle w:val="FootnoteReference"/>
        </w:rPr>
        <w:footnoteRef/>
      </w:r>
      <w:r>
        <w:t xml:space="preserve"> Вж. Директивата, съображение (7).</w:t>
      </w:r>
    </w:p>
  </w:footnote>
  <w:footnote w:id="5">
    <w:p w14:paraId="79041DBC" w14:textId="5310BC39" w:rsidR="00F85F6C" w:rsidRPr="005D2423" w:rsidRDefault="00F85F6C" w:rsidP="00CF2E9C">
      <w:pPr>
        <w:pStyle w:val="FootnoteText"/>
        <w:ind w:left="113" w:hanging="113"/>
      </w:pPr>
      <w:r>
        <w:rPr>
          <w:rStyle w:val="FootnoteReference"/>
        </w:rPr>
        <w:footnoteRef/>
      </w:r>
      <w:r>
        <w:t xml:space="preserve"> Вж. Директивата, съображение (8). Вж. също </w:t>
      </w:r>
      <w:hyperlink r:id="rId6" w:history="1">
        <w:r>
          <w:rPr>
            <w:rStyle w:val="Hyperlink"/>
          </w:rPr>
          <w:t>Cafaggi, F. и Iamiceli, P., Unfair trading practices in the business-to-business retail supply chain (JRC112654)</w:t>
        </w:r>
      </w:hyperlink>
      <w:r>
        <w:t>.</w:t>
      </w:r>
    </w:p>
  </w:footnote>
  <w:footnote w:id="6">
    <w:p w14:paraId="0C40CB5E" w14:textId="3B27E742" w:rsidR="00F85F6C" w:rsidRPr="005D2423" w:rsidRDefault="00F85F6C" w:rsidP="005D2423">
      <w:pPr>
        <w:spacing w:after="0" w:line="240" w:lineRule="auto"/>
        <w:ind w:left="113" w:hanging="113"/>
        <w:mirrorIndents/>
        <w:rPr>
          <w:rFonts w:ascii="Times New Roman" w:hAnsi="Times New Roman" w:cs="Times New Roman"/>
          <w:sz w:val="20"/>
          <w:szCs w:val="20"/>
        </w:rPr>
      </w:pPr>
      <w:r>
        <w:rPr>
          <w:rFonts w:ascii="Times New Roman" w:hAnsi="Times New Roman" w:cs="Times New Roman"/>
          <w:sz w:val="20"/>
          <w:szCs w:val="20"/>
          <w:vertAlign w:val="superscript"/>
        </w:rPr>
        <w:footnoteRef/>
      </w:r>
      <w:r>
        <w:rPr>
          <w:sz w:val="20"/>
          <w:szCs w:val="20"/>
        </w:rPr>
        <w:t xml:space="preserve"> </w:t>
      </w:r>
      <w:hyperlink r:id="rId7" w:history="1">
        <w:r>
          <w:rPr>
            <w:rStyle w:val="Hyperlink"/>
            <w:rFonts w:ascii="Times New Roman" w:hAnsi="Times New Roman"/>
            <w:sz w:val="20"/>
            <w:szCs w:val="20"/>
          </w:rPr>
          <w:t>https://ec.europa.eu/info/food-farming-fisheries/key-policies/common-agricultural-policy/market-measures/agri-food-supply-chain/unfair-trading-practices_bg</w:t>
        </w:r>
      </w:hyperlink>
      <w:r>
        <w:rPr>
          <w:rFonts w:ascii="Times New Roman" w:hAnsi="Times New Roman"/>
          <w:sz w:val="20"/>
          <w:szCs w:val="20"/>
        </w:rPr>
        <w:t>.</w:t>
      </w:r>
    </w:p>
  </w:footnote>
  <w:footnote w:id="7">
    <w:p w14:paraId="484D84DD" w14:textId="0E531A3B" w:rsidR="00F85F6C" w:rsidRPr="005D2423" w:rsidRDefault="00F85F6C" w:rsidP="00757232">
      <w:pPr>
        <w:pStyle w:val="FootnoteText"/>
        <w:ind w:left="142" w:hanging="142"/>
      </w:pPr>
      <w:r>
        <w:rPr>
          <w:rStyle w:val="FootnoteReference"/>
        </w:rPr>
        <w:footnoteRef/>
      </w:r>
      <w:r>
        <w:t xml:space="preserve"> До 1 май 2021 г. 4 от 27-те ДЧ заявиха, че са приключили транспонирането на директивата (BG, DK, EL и NL), а други 4 заявиха, че са я транспонирали частично (EE, FR, FI и LV). До 31 юли EE е предоставила само таблица на съответствието.</w:t>
      </w:r>
    </w:p>
  </w:footnote>
  <w:footnote w:id="8">
    <w:p w14:paraId="1331B634" w14:textId="2521F0FF" w:rsidR="00F85F6C" w:rsidRPr="005D2423" w:rsidRDefault="00F85F6C" w:rsidP="007A4A0A">
      <w:pPr>
        <w:pStyle w:val="FootnoteText"/>
        <w:rPr>
          <w:highlight w:val="yellow"/>
        </w:rPr>
      </w:pPr>
      <w:r>
        <w:rPr>
          <w:rStyle w:val="FootnoteReference"/>
        </w:rPr>
        <w:footnoteRef/>
      </w:r>
      <w:r>
        <w:t xml:space="preserve"> </w:t>
      </w:r>
      <w:hyperlink r:id="rId8" w:history="1">
        <w:r>
          <w:rPr>
            <w:rStyle w:val="Hyperlink"/>
            <w:color w:val="auto"/>
            <w:u w:val="none"/>
          </w:rPr>
          <w:t>BE, CZ, EE, ES, FR, IT, CY, AT, PO, PT, RO и SI</w:t>
        </w:r>
      </w:hyperlink>
      <w:r>
        <w:rPr>
          <w:rStyle w:val="Hyperlink"/>
          <w:color w:val="auto"/>
          <w:u w:val="none"/>
        </w:rPr>
        <w:t>.</w:t>
      </w:r>
    </w:p>
  </w:footnote>
  <w:footnote w:id="9">
    <w:p w14:paraId="69639307" w14:textId="50442930" w:rsidR="00F85F6C" w:rsidRPr="005D2423" w:rsidRDefault="00F85F6C" w:rsidP="00D17B32">
      <w:pPr>
        <w:pStyle w:val="FootnoteText"/>
        <w:rPr>
          <w:rStyle w:val="Hyperlink"/>
        </w:rPr>
      </w:pPr>
      <w:r>
        <w:rPr>
          <w:rStyle w:val="FootnoteTextChar"/>
          <w:rFonts w:eastAsiaTheme="minorHAnsi"/>
          <w:vertAlign w:val="superscript"/>
        </w:rPr>
        <w:footnoteRef/>
      </w:r>
      <w:r>
        <w:rPr>
          <w:rStyle w:val="Hyperlink"/>
        </w:rPr>
        <w:t xml:space="preserve"> </w:t>
      </w:r>
      <w:hyperlink r:id="rId9" w:history="1">
        <w:r>
          <w:rPr>
            <w:rStyle w:val="Hyperlink"/>
          </w:rPr>
          <w:t>https://ec.europa.eu/commission/presscorner/detail/bg/IP_21_3903</w:t>
        </w:r>
      </w:hyperlink>
      <w:r>
        <w:rPr>
          <w:rStyle w:val="Hyperlink"/>
          <w:u w:val="none"/>
        </w:rPr>
        <w:t>.</w:t>
      </w:r>
    </w:p>
  </w:footnote>
  <w:footnote w:id="10">
    <w:p w14:paraId="797D5012" w14:textId="5F554AD3" w:rsidR="00F85F6C" w:rsidRPr="005D2423" w:rsidRDefault="00F85F6C" w:rsidP="001510C6">
      <w:pPr>
        <w:pStyle w:val="FootnoteText"/>
        <w:ind w:left="100" w:hanging="100"/>
      </w:pPr>
      <w:r>
        <w:rPr>
          <w:rStyle w:val="FootnoteReference"/>
        </w:rPr>
        <w:footnoteRef/>
      </w:r>
      <w:r>
        <w:t xml:space="preserve"> DK, EL, IE, LT, LU, MT, NL и SE. Литовският акт обаче частично се припокрива със съществуващ нормативен акт, а именно със Закона за забрана на нелоялните практики на търговците на дребно от 22 декември 2009 г., № XI-626, който се прилага по отношение на търговци на дребно със значителна пазарна сила и който в случай на противоречие има предимство пред акта за транспониране. В Швеция, преди транспонирането, на НТП се е противодействало само чрез прилагане на нормите за защита на потребителите и към отношенията между предприятия.</w:t>
      </w:r>
    </w:p>
  </w:footnote>
  <w:footnote w:id="11">
    <w:p w14:paraId="0E514182" w14:textId="080DA061" w:rsidR="00F85F6C" w:rsidRPr="005D2423" w:rsidRDefault="00F85F6C" w:rsidP="00A55BDC">
      <w:pPr>
        <w:pStyle w:val="FootnoteText"/>
        <w:tabs>
          <w:tab w:val="left" w:pos="240"/>
        </w:tabs>
        <w:ind w:left="176" w:hanging="176"/>
        <w:jc w:val="left"/>
      </w:pPr>
      <w:r>
        <w:rPr>
          <w:rStyle w:val="FootnoteReference"/>
        </w:rPr>
        <w:footnoteRef/>
      </w:r>
      <w:r>
        <w:t xml:space="preserve"> DK, EL, IE, LV, NL, HR, HU, LU, LT, MT, SE и SK; SK официално е квалифицирала този законодателен акт като отнасящ се до неравноправните условия на договорите, като фактически понятието неравноправни условия включва или обхваща нелоялните практики.</w:t>
      </w:r>
    </w:p>
  </w:footnote>
  <w:footnote w:id="12">
    <w:p w14:paraId="5CCAF89D" w14:textId="01ECE7BD" w:rsidR="00F85F6C" w:rsidRPr="005D2423" w:rsidRDefault="00F85F6C" w:rsidP="00CF2E9C">
      <w:pPr>
        <w:spacing w:after="0" w:line="240" w:lineRule="auto"/>
        <w:ind w:left="170" w:hanging="170"/>
        <w:mirrorIndents/>
        <w:jc w:val="both"/>
        <w:rPr>
          <w:rFonts w:ascii="Times New Roman" w:eastAsia="Roboto"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szCs w:val="20"/>
        </w:rPr>
        <w:t xml:space="preserve"> </w:t>
      </w:r>
      <w:hyperlink r:id="rId10" w:history="1">
        <w:r>
          <w:rPr>
            <w:rStyle w:val="Hyperlink"/>
            <w:rFonts w:ascii="Times New Roman" w:hAnsi="Times New Roman"/>
            <w:sz w:val="20"/>
            <w:szCs w:val="20"/>
          </w:rPr>
          <w:t>ОВ L 347, 20.12.2013 г., стр. 671</w:t>
        </w:r>
      </w:hyperlink>
      <w:r>
        <w:rPr>
          <w:rFonts w:ascii="Times New Roman" w:hAnsi="Times New Roman"/>
          <w:sz w:val="20"/>
          <w:szCs w:val="20"/>
        </w:rPr>
        <w:t>.</w:t>
      </w:r>
    </w:p>
  </w:footnote>
  <w:footnote w:id="13">
    <w:p w14:paraId="4BA82374" w14:textId="77777777" w:rsidR="00EA7FD1" w:rsidRDefault="00F85F6C" w:rsidP="00EA7FD1">
      <w:pPr>
        <w:pStyle w:val="FootnoteText"/>
        <w:ind w:left="240" w:hanging="262"/>
        <w:jc w:val="left"/>
      </w:pPr>
      <w:r>
        <w:rPr>
          <w:rStyle w:val="FootnoteReference"/>
        </w:rPr>
        <w:footnoteRef/>
      </w:r>
      <w:r>
        <w:t xml:space="preserve"> От тях LT е изключила от определението за купувач кооперациите или малките общности и техните членове, </w:t>
      </w:r>
    </w:p>
    <w:p w14:paraId="4E2DD78B" w14:textId="53868060" w:rsidR="00F85F6C" w:rsidRPr="005D2423" w:rsidRDefault="00EA7FD1" w:rsidP="00EA7FD1">
      <w:pPr>
        <w:pStyle w:val="FootnoteText"/>
        <w:ind w:left="262" w:hanging="142"/>
        <w:jc w:val="left"/>
      </w:pPr>
      <w:r>
        <w:t xml:space="preserve"> докато SK е включила в определението за купувач и доставчик юридически лица, които не са предприемачи.</w:t>
      </w:r>
    </w:p>
  </w:footnote>
  <w:footnote w:id="14">
    <w:p w14:paraId="608A1C1F" w14:textId="58DA5DA7" w:rsidR="00F85F6C" w:rsidRPr="005D2423" w:rsidRDefault="00F85F6C" w:rsidP="00A55BDC">
      <w:pPr>
        <w:pStyle w:val="FootnoteText"/>
        <w:tabs>
          <w:tab w:val="left" w:pos="120"/>
        </w:tabs>
        <w:ind w:left="158" w:hanging="181"/>
      </w:pPr>
      <w:r>
        <w:rPr>
          <w:rStyle w:val="FootnoteReference"/>
        </w:rPr>
        <w:footnoteRef/>
      </w:r>
      <w:r>
        <w:t xml:space="preserve"> Едно изключение се отнася до френска мярка относно разпоредбите за просрочените плащания, като различните от предвидените за селскостопански и хранителни продукти условия се прилагат също и за продажбата на оборудване и машини, използвани в селското стопанство.</w:t>
      </w:r>
    </w:p>
  </w:footnote>
  <w:footnote w:id="15">
    <w:p w14:paraId="1A845644" w14:textId="4A660DA6" w:rsidR="00F85F6C" w:rsidRPr="005D2423" w:rsidRDefault="00F85F6C" w:rsidP="00CF2E9C">
      <w:pPr>
        <w:pStyle w:val="FootnoteText"/>
        <w:ind w:left="170" w:hanging="170"/>
        <w:mirrorIndents/>
      </w:pPr>
      <w:r>
        <w:rPr>
          <w:rStyle w:val="FootnoteReference"/>
        </w:rPr>
        <w:footnoteRef/>
      </w:r>
      <w:r>
        <w:t xml:space="preserve"> В случая на LV това ограничение не се прилага за търговците на дребно с нехранителни стоки. </w:t>
      </w:r>
    </w:p>
  </w:footnote>
  <w:footnote w:id="16">
    <w:p w14:paraId="2E25ED83" w14:textId="7E378282" w:rsidR="00F85F6C" w:rsidRPr="005D2423" w:rsidRDefault="00F85F6C" w:rsidP="00A55BDC">
      <w:pPr>
        <w:pStyle w:val="FootnoteText"/>
        <w:tabs>
          <w:tab w:val="left" w:pos="240"/>
        </w:tabs>
        <w:ind w:left="198" w:hanging="198"/>
      </w:pPr>
      <w:r>
        <w:rPr>
          <w:rStyle w:val="FootnoteReference"/>
        </w:rPr>
        <w:footnoteRef/>
      </w:r>
      <w:r>
        <w:t xml:space="preserve"> До 1 май 2025 г. германските разпоредби за транспониране се прилагат и към продажбата на мляко и месни продукти и на плодове, зеленчуци и градинарски продукти, включително картофи, от доставчици, които имат годишен оборот до 4 милиарда евро в съответния сегмент на продажбите в DE, при условие че общият годишен оборот на доставчика не надвишава 20 % от общия годишен оборот на купувача.</w:t>
      </w:r>
    </w:p>
  </w:footnote>
  <w:footnote w:id="17">
    <w:p w14:paraId="3AD88DBA" w14:textId="3F4C20BD" w:rsidR="00F85F6C" w:rsidRPr="005D2423" w:rsidRDefault="00F85F6C" w:rsidP="00DA1A5A">
      <w:pPr>
        <w:pStyle w:val="FootnoteText"/>
      </w:pPr>
      <w:r>
        <w:rPr>
          <w:rStyle w:val="FootnoteReference"/>
        </w:rPr>
        <w:footnoteRef/>
      </w:r>
      <w:r>
        <w:t xml:space="preserve"> Изрично прието в BG, DE, DK, EL, FI, HR, IE, LT и SK.</w:t>
      </w:r>
    </w:p>
  </w:footnote>
  <w:footnote w:id="18">
    <w:p w14:paraId="45457334" w14:textId="6690C694" w:rsidR="00F85F6C" w:rsidRPr="005D2423" w:rsidRDefault="00F85F6C" w:rsidP="00CF2E9C">
      <w:pPr>
        <w:pStyle w:val="FootnoteText"/>
        <w:ind w:left="170" w:hanging="170"/>
        <w:mirrorIndents/>
      </w:pPr>
      <w:r>
        <w:rPr>
          <w:rStyle w:val="FootnoteReference"/>
        </w:rPr>
        <w:footnoteRef/>
      </w:r>
      <w:r>
        <w:t xml:space="preserve"> DK, IE, LU, MT и NL.</w:t>
      </w:r>
    </w:p>
  </w:footnote>
  <w:footnote w:id="19">
    <w:p w14:paraId="7A65BFF8" w14:textId="63304D0C" w:rsidR="00F85F6C" w:rsidRPr="005D2423" w:rsidRDefault="00F85F6C" w:rsidP="00187D2C">
      <w:pPr>
        <w:pStyle w:val="FootnoteText"/>
        <w:ind w:left="170" w:hanging="170"/>
        <w:mirrorIndents/>
        <w:jc w:val="left"/>
      </w:pPr>
      <w:r>
        <w:rPr>
          <w:rStyle w:val="FootnoteReference"/>
        </w:rPr>
        <w:footnoteRef/>
      </w:r>
      <w:r>
        <w:t xml:space="preserve"> DE, FR, HR, LV, SK: </w:t>
      </w:r>
      <w:r>
        <w:rPr>
          <w:rStyle w:val="gmaildefault"/>
          <w:color w:val="20124D"/>
        </w:rPr>
        <w:t>Връщане на непродадени продукти (DE, FR, LV и SK), такси за оборудване на помещения (FR, HR и LV) и такси за складиране, излагане и включване в продуктовата гама</w:t>
      </w:r>
      <w:r>
        <w:t> (FR и LV).</w:t>
      </w:r>
    </w:p>
  </w:footnote>
  <w:footnote w:id="20">
    <w:p w14:paraId="2C829491" w14:textId="4F08A1E5" w:rsidR="00F85F6C" w:rsidRPr="005D2423" w:rsidRDefault="00F85F6C" w:rsidP="00CF2E9C">
      <w:pPr>
        <w:pStyle w:val="FootnoteText"/>
        <w:ind w:left="170" w:hanging="170"/>
        <w:mirrorIndents/>
      </w:pPr>
      <w:r>
        <w:rPr>
          <w:rStyle w:val="FootnoteReference"/>
        </w:rPr>
        <w:footnoteRef/>
      </w:r>
      <w:r>
        <w:t xml:space="preserve"> BG, EL, FR, HR (до 18 добавени практики), HU, LV и SK. </w:t>
      </w:r>
    </w:p>
  </w:footnote>
  <w:footnote w:id="21">
    <w:p w14:paraId="288A41BD" w14:textId="1937B48C" w:rsidR="00F85F6C" w:rsidRPr="005D2423" w:rsidRDefault="00F85F6C" w:rsidP="00CF2E9C">
      <w:pPr>
        <w:pStyle w:val="FootnoteText"/>
        <w:ind w:left="170" w:hanging="170"/>
        <w:mirrorIndents/>
      </w:pPr>
      <w:r>
        <w:rPr>
          <w:rStyle w:val="FootnoteReference"/>
        </w:rPr>
        <w:footnoteRef/>
      </w:r>
      <w:r>
        <w:t xml:space="preserve"> BG, HR, LV и SK. </w:t>
      </w:r>
    </w:p>
  </w:footnote>
  <w:footnote w:id="22">
    <w:p w14:paraId="78ABC1C0" w14:textId="091616FC" w:rsidR="00F85F6C" w:rsidRPr="005D2423" w:rsidRDefault="00F85F6C" w:rsidP="00CF2E9C">
      <w:pPr>
        <w:pStyle w:val="FootnoteText"/>
        <w:ind w:left="170" w:hanging="170"/>
        <w:mirrorIndents/>
      </w:pPr>
      <w:r>
        <w:rPr>
          <w:rStyle w:val="FootnoteReference"/>
        </w:rPr>
        <w:footnoteRef/>
      </w:r>
      <w:r>
        <w:t xml:space="preserve"> DE, DK, EL, FR, HR, IE, LT, LU, LV, MT и NL.</w:t>
      </w:r>
    </w:p>
  </w:footnote>
  <w:footnote w:id="23">
    <w:p w14:paraId="34F53FD2" w14:textId="7C835095" w:rsidR="00F85F6C" w:rsidRPr="005D2423" w:rsidRDefault="00F85F6C">
      <w:pPr>
        <w:pStyle w:val="FootnoteText"/>
      </w:pPr>
      <w:r>
        <w:rPr>
          <w:rStyle w:val="FootnoteReference"/>
        </w:rPr>
        <w:footnoteRef/>
      </w:r>
      <w:r>
        <w:t xml:space="preserve"> DE, LT и SK.</w:t>
      </w:r>
    </w:p>
  </w:footnote>
  <w:footnote w:id="24">
    <w:p w14:paraId="0D339E0E" w14:textId="26F074F6" w:rsidR="00F85F6C" w:rsidRPr="005D2423" w:rsidRDefault="00F85F6C" w:rsidP="00FA7216">
      <w:pPr>
        <w:spacing w:after="0" w:line="240" w:lineRule="auto"/>
        <w:ind w:left="170" w:hanging="170"/>
        <w:rPr>
          <w:rFonts w:ascii="Times New Roman" w:hAnsi="Times New Roman"/>
          <w:sz w:val="20"/>
          <w:szCs w:val="20"/>
        </w:rPr>
      </w:pPr>
      <w:r>
        <w:rPr>
          <w:rFonts w:ascii="Times New Roman" w:hAnsi="Times New Roman" w:cs="Times New Roman"/>
          <w:sz w:val="20"/>
          <w:szCs w:val="20"/>
          <w:vertAlign w:val="superscript"/>
        </w:rPr>
        <w:footnoteRef/>
      </w:r>
      <w:r>
        <w:rPr>
          <w:sz w:val="20"/>
          <w:szCs w:val="20"/>
        </w:rPr>
        <w:t xml:space="preserve"> </w:t>
      </w:r>
      <w:hyperlink r:id="rId11" w:history="1">
        <w:r>
          <w:rPr>
            <w:rStyle w:val="Hyperlink"/>
            <w:rFonts w:ascii="Times New Roman" w:hAnsi="Times New Roman"/>
            <w:sz w:val="20"/>
            <w:szCs w:val="20"/>
          </w:rPr>
          <w:t>https://ec.europa.eu/info/food-farming-fisheries/key-policies/common-agricultural-policy/market-measures/agri-food-supply-chain/unfair-trading-practices_bg</w:t>
        </w:r>
      </w:hyperlink>
      <w:r>
        <w:rPr>
          <w:rFonts w:ascii="Times New Roman" w:hAnsi="Times New Roman"/>
          <w:sz w:val="20"/>
          <w:szCs w:val="20"/>
        </w:rPr>
        <w:t xml:space="preserve">. </w:t>
      </w:r>
    </w:p>
  </w:footnote>
  <w:footnote w:id="25">
    <w:p w14:paraId="1E8676ED" w14:textId="74CA83F9" w:rsidR="00F85F6C" w:rsidRPr="005D2423" w:rsidRDefault="00F85F6C" w:rsidP="005F3A5A">
      <w:pPr>
        <w:pStyle w:val="FootnoteText"/>
        <w:ind w:left="142" w:hanging="142"/>
      </w:pPr>
      <w:r>
        <w:rPr>
          <w:rStyle w:val="FootnoteReference"/>
        </w:rPr>
        <w:footnoteRef/>
      </w:r>
      <w:r>
        <w:t xml:space="preserve"> Определен е един правоприлагащ орган, но някои от решенията му ще бъдат споделени с органа за защита на конкуренцията.</w:t>
      </w:r>
    </w:p>
  </w:footnote>
  <w:footnote w:id="26">
    <w:p w14:paraId="3239A8EA" w14:textId="2E4228F2" w:rsidR="00F85F6C" w:rsidRPr="005D2423" w:rsidRDefault="00F85F6C" w:rsidP="00F5298E">
      <w:pPr>
        <w:pStyle w:val="FootnoteText"/>
        <w:ind w:left="200" w:hanging="200"/>
        <w:jc w:val="left"/>
      </w:pPr>
      <w:r>
        <w:rPr>
          <w:rStyle w:val="FootnoteReference"/>
        </w:rPr>
        <w:footnoteRef/>
      </w:r>
      <w:r>
        <w:t xml:space="preserve"> Вторият правоприлагащ орган е компетентен само по отношение на практики, в които участват търговци на дребно със значителна пазарна сила.</w:t>
      </w:r>
    </w:p>
  </w:footnote>
  <w:footnote w:id="27">
    <w:p w14:paraId="59A38625" w14:textId="1835DE25" w:rsidR="00F85F6C" w:rsidRPr="005D2423" w:rsidRDefault="00F85F6C" w:rsidP="006C544F">
      <w:pPr>
        <w:pStyle w:val="FootnoteText"/>
        <w:ind w:left="170" w:hanging="170"/>
        <w:mirrorIndents/>
      </w:pPr>
      <w:r>
        <w:rPr>
          <w:rStyle w:val="FootnoteReference"/>
        </w:rPr>
        <w:footnoteRef/>
      </w:r>
      <w:r>
        <w:t xml:space="preserve"> BG, DK, HR, LU, LV и SE.</w:t>
      </w:r>
    </w:p>
  </w:footnote>
  <w:footnote w:id="28">
    <w:p w14:paraId="15F20FE9" w14:textId="31D2C886" w:rsidR="00F85F6C" w:rsidRPr="005D2423" w:rsidRDefault="00F85F6C" w:rsidP="00FA7216">
      <w:pPr>
        <w:pStyle w:val="FootnoteText"/>
        <w:ind w:left="170" w:hanging="170"/>
        <w:mirrorIndents/>
        <w:jc w:val="left"/>
      </w:pPr>
      <w:r>
        <w:rPr>
          <w:rStyle w:val="FootnoteReference"/>
        </w:rPr>
        <w:footnoteRef/>
      </w:r>
      <w:r>
        <w:t xml:space="preserve"> DE (Федерална служба за земеделие и храни, определена от федералното министерство), FI (Омбудсман по въпросите на пазара на храни), HU (Служба за безопасност по веригата за доставки на храни, определена от правителството) и LT (Агенция за развитие на бизнеса и пазарите в селските райони).</w:t>
      </w:r>
    </w:p>
  </w:footnote>
  <w:footnote w:id="29">
    <w:p w14:paraId="10433D81" w14:textId="6598007D" w:rsidR="00F85F6C" w:rsidRPr="005D2423" w:rsidRDefault="00F85F6C" w:rsidP="00CF2E9C">
      <w:pPr>
        <w:pStyle w:val="FootnoteText"/>
        <w:ind w:left="170" w:hanging="170"/>
        <w:mirrorIndents/>
      </w:pPr>
      <w:r>
        <w:rPr>
          <w:rStyle w:val="FootnoteReference"/>
        </w:rPr>
        <w:footnoteRef/>
      </w:r>
      <w:r>
        <w:t xml:space="preserve"> IE и SK.</w:t>
      </w:r>
    </w:p>
  </w:footnote>
  <w:footnote w:id="30">
    <w:p w14:paraId="1B559302" w14:textId="1357AD74" w:rsidR="00F85F6C" w:rsidRPr="005D2423" w:rsidRDefault="00F85F6C" w:rsidP="002261AF">
      <w:pPr>
        <w:pStyle w:val="FootnoteText"/>
        <w:ind w:left="170" w:hanging="170"/>
        <w:mirrorIndents/>
      </w:pPr>
      <w:r>
        <w:rPr>
          <w:rStyle w:val="FootnoteReference"/>
        </w:rPr>
        <w:footnoteRef/>
      </w:r>
      <w:r>
        <w:t xml:space="preserve"> EL и MT. </w:t>
      </w:r>
    </w:p>
  </w:footnote>
  <w:footnote w:id="31">
    <w:p w14:paraId="549C3513" w14:textId="25A60027" w:rsidR="00F85F6C" w:rsidRPr="005D2423" w:rsidRDefault="00F85F6C">
      <w:pPr>
        <w:pStyle w:val="FootnoteText"/>
      </w:pPr>
      <w:r>
        <w:rPr>
          <w:rStyle w:val="FootnoteReference"/>
        </w:rPr>
        <w:footnoteRef/>
      </w:r>
      <w:r>
        <w:t xml:space="preserve"> FR и DGCCRF (Генерална дирекция по въпросите на конкуренцията, потреблението и борбата с измамите).</w:t>
      </w:r>
    </w:p>
  </w:footnote>
  <w:footnote w:id="32">
    <w:p w14:paraId="2483F3FA" w14:textId="77777777" w:rsidR="00F85F6C" w:rsidRPr="005D2423" w:rsidRDefault="00F85F6C" w:rsidP="00CF2E9C">
      <w:pPr>
        <w:pStyle w:val="FootnoteText"/>
        <w:ind w:left="170" w:hanging="170"/>
        <w:mirrorIndents/>
      </w:pPr>
      <w:r>
        <w:rPr>
          <w:rStyle w:val="FootnoteReference"/>
        </w:rPr>
        <w:footnoteRef/>
      </w:r>
      <w:r>
        <w:t xml:space="preserve"> NL.</w:t>
      </w:r>
    </w:p>
  </w:footnote>
  <w:footnote w:id="33">
    <w:p w14:paraId="762C0D4A" w14:textId="6C6096CE" w:rsidR="00F85F6C" w:rsidRPr="005D2423" w:rsidRDefault="00F85F6C" w:rsidP="00CF2E9C">
      <w:pPr>
        <w:pStyle w:val="FootnoteText"/>
        <w:ind w:left="170" w:hanging="170"/>
        <w:mirrorIndents/>
      </w:pPr>
      <w:r>
        <w:rPr>
          <w:rStyle w:val="FootnoteReference"/>
        </w:rPr>
        <w:footnoteRef/>
      </w:r>
      <w:r>
        <w:t xml:space="preserve"> BG, DE, EL, FI, LT и MT.</w:t>
      </w:r>
    </w:p>
  </w:footnote>
  <w:footnote w:id="34">
    <w:p w14:paraId="1306C287" w14:textId="50865758" w:rsidR="00F85F6C" w:rsidRPr="005D2423" w:rsidRDefault="00F85F6C" w:rsidP="00CF2E9C">
      <w:pPr>
        <w:pStyle w:val="FootnoteText"/>
        <w:ind w:left="170" w:hanging="170"/>
        <w:mirrorIndents/>
      </w:pPr>
      <w:r>
        <w:rPr>
          <w:rStyle w:val="FootnoteReference"/>
        </w:rPr>
        <w:footnoteRef/>
      </w:r>
      <w:r>
        <w:t xml:space="preserve"> BG, DE, DK, EL, FI, HR, IE, LT, LV, MT, NL, SE и SK.</w:t>
      </w:r>
    </w:p>
  </w:footnote>
  <w:footnote w:id="35">
    <w:p w14:paraId="04750DAF" w14:textId="0F41AA06" w:rsidR="00F85F6C" w:rsidRPr="005D2423" w:rsidRDefault="00F85F6C" w:rsidP="00FA7216">
      <w:pPr>
        <w:pStyle w:val="FootnoteText"/>
        <w:ind w:left="170" w:hanging="170"/>
        <w:mirrorIndents/>
        <w:jc w:val="left"/>
      </w:pPr>
      <w:r>
        <w:rPr>
          <w:rStyle w:val="FootnoteReference"/>
        </w:rPr>
        <w:footnoteRef/>
      </w:r>
      <w:r>
        <w:t xml:space="preserve"> BG, DE, DK, EL, HR, HU, IE, LT, LU, MT, NL и SK. От тях в законодателството на BG е посочено, че самоличността на жалбоподателя винаги трябва да остане поверителна.</w:t>
      </w:r>
    </w:p>
  </w:footnote>
  <w:footnote w:id="36">
    <w:p w14:paraId="199A9B1D" w14:textId="3CE4988B" w:rsidR="00F85F6C" w:rsidRPr="005D2423" w:rsidRDefault="00F85F6C" w:rsidP="00CF2E9C">
      <w:pPr>
        <w:pStyle w:val="FootnoteText"/>
        <w:ind w:left="170" w:hanging="170"/>
        <w:mirrorIndents/>
      </w:pPr>
      <w:r>
        <w:rPr>
          <w:rStyle w:val="FootnoteReference"/>
        </w:rPr>
        <w:footnoteRef/>
      </w:r>
      <w:r>
        <w:t xml:space="preserve"> напр. HU.</w:t>
      </w:r>
    </w:p>
  </w:footnote>
  <w:footnote w:id="37">
    <w:p w14:paraId="5B3D6546" w14:textId="652469BD" w:rsidR="00F85F6C" w:rsidRPr="005D2423" w:rsidRDefault="00F85F6C" w:rsidP="00CF2E9C">
      <w:pPr>
        <w:pStyle w:val="FootnoteText"/>
        <w:ind w:left="170" w:hanging="170"/>
        <w:mirrorIndents/>
      </w:pPr>
      <w:r>
        <w:rPr>
          <w:rStyle w:val="FootnoteReference"/>
        </w:rPr>
        <w:footnoteRef/>
      </w:r>
      <w:r>
        <w:t xml:space="preserve"> BG, DK, EL, IE, LU и NL.</w:t>
      </w:r>
    </w:p>
  </w:footnote>
  <w:footnote w:id="38">
    <w:p w14:paraId="5D63220B" w14:textId="40F97564" w:rsidR="00F85F6C" w:rsidRPr="005D2423" w:rsidRDefault="00F85F6C" w:rsidP="00CF2E9C">
      <w:pPr>
        <w:pStyle w:val="FootnoteText"/>
        <w:ind w:left="170" w:hanging="170"/>
        <w:mirrorIndents/>
      </w:pPr>
      <w:r>
        <w:rPr>
          <w:rStyle w:val="FootnoteReference"/>
        </w:rPr>
        <w:footnoteRef/>
      </w:r>
      <w:r>
        <w:t xml:space="preserve"> DE, DK, FI и MT. </w:t>
      </w:r>
    </w:p>
  </w:footnote>
  <w:footnote w:id="39">
    <w:p w14:paraId="4FBCCECA" w14:textId="0F012C01" w:rsidR="00F85F6C" w:rsidRPr="005D2423" w:rsidRDefault="00F85F6C" w:rsidP="00245B17">
      <w:pPr>
        <w:pStyle w:val="FootnoteText"/>
      </w:pPr>
      <w:r>
        <w:rPr>
          <w:rStyle w:val="FootnoteReference"/>
        </w:rPr>
        <w:footnoteRef/>
      </w:r>
      <w:r>
        <w:t xml:space="preserve"> Анонимните жалби обаче са изрично уредени в литовското законодателство.</w:t>
      </w:r>
    </w:p>
  </w:footnote>
  <w:footnote w:id="40">
    <w:p w14:paraId="3F1DE440" w14:textId="3B01E43A" w:rsidR="00F85F6C" w:rsidRPr="005D2423" w:rsidRDefault="00F85F6C" w:rsidP="00CF2E9C">
      <w:pPr>
        <w:pStyle w:val="FootnoteText"/>
        <w:ind w:left="170" w:hanging="170"/>
        <w:mirrorIndents/>
      </w:pPr>
      <w:r>
        <w:rPr>
          <w:rStyle w:val="FootnoteReference"/>
        </w:rPr>
        <w:footnoteRef/>
      </w:r>
      <w:r>
        <w:t xml:space="preserve"> BG, DE, DK, EL, FI, FR, HR, HU, IE, LT, LU, LV, MT, NL, SE и SK.</w:t>
      </w:r>
    </w:p>
  </w:footnote>
  <w:footnote w:id="41">
    <w:p w14:paraId="78CA466F" w14:textId="529D51F2" w:rsidR="00F85F6C" w:rsidRPr="005D2423" w:rsidRDefault="00F85F6C" w:rsidP="00CF2E9C">
      <w:pPr>
        <w:pStyle w:val="FootnoteText"/>
        <w:ind w:left="170" w:hanging="170"/>
        <w:mirrorIndents/>
      </w:pPr>
      <w:r>
        <w:rPr>
          <w:rStyle w:val="FootnoteReference"/>
        </w:rPr>
        <w:footnoteRef/>
      </w:r>
      <w:r>
        <w:t xml:space="preserve"> BG, DE, DK, EL, HR, HU, IE, LT, LU, LV, MT, NL и SE.</w:t>
      </w:r>
    </w:p>
  </w:footnote>
  <w:footnote w:id="42">
    <w:p w14:paraId="02FD12B4" w14:textId="785D98B0" w:rsidR="00F85F6C" w:rsidRPr="005D2423" w:rsidRDefault="00F85F6C" w:rsidP="00CF2E9C">
      <w:pPr>
        <w:pStyle w:val="FootnoteText"/>
        <w:ind w:left="170" w:hanging="170"/>
        <w:mirrorIndents/>
      </w:pPr>
      <w:r>
        <w:rPr>
          <w:rStyle w:val="FootnoteReference"/>
        </w:rPr>
        <w:footnoteRef/>
      </w:r>
      <w:r>
        <w:t xml:space="preserve"> BG, DE, DK, EL, FI, FR, HR, IE, LT, LU, LV, MT, NL, SE и SK.</w:t>
      </w:r>
    </w:p>
  </w:footnote>
  <w:footnote w:id="43">
    <w:p w14:paraId="41C338F7" w14:textId="39B787BB" w:rsidR="00F85F6C" w:rsidRPr="005D2423" w:rsidRDefault="00F85F6C" w:rsidP="00CF2E9C">
      <w:pPr>
        <w:pStyle w:val="FootnoteText"/>
        <w:ind w:left="170" w:hanging="170"/>
        <w:mirrorIndents/>
      </w:pPr>
      <w:r>
        <w:rPr>
          <w:rStyle w:val="FootnoteReference"/>
          <w:lang w:val="en-IE"/>
        </w:rPr>
        <w:footnoteRef/>
      </w:r>
      <w:r>
        <w:t xml:space="preserve"> BG, DE, DK, EL, FI, FR, HR, HU, IE, LT, LU, LV, MT, NL, SE и SK.</w:t>
      </w:r>
    </w:p>
  </w:footnote>
  <w:footnote w:id="44">
    <w:p w14:paraId="216E7E6F" w14:textId="50DEEB12" w:rsidR="00F85F6C" w:rsidRPr="005D2423" w:rsidRDefault="00F85F6C" w:rsidP="00CF2E9C">
      <w:pPr>
        <w:pStyle w:val="FootnoteText"/>
        <w:ind w:left="170" w:hanging="170"/>
        <w:mirrorIndents/>
      </w:pPr>
      <w:r>
        <w:rPr>
          <w:rStyle w:val="FootnoteReference"/>
          <w:lang w:val="en-IE"/>
        </w:rPr>
        <w:footnoteRef/>
      </w:r>
      <w:r>
        <w:t xml:space="preserve"> Специално предвидени в националните мерки за транспониране в: BG, DK, EL, FI, FR, IE, LT, LU, LV и NL.</w:t>
      </w:r>
    </w:p>
  </w:footnote>
  <w:footnote w:id="45">
    <w:p w14:paraId="6CF2331E" w14:textId="12ECFF16" w:rsidR="00F85F6C" w:rsidRPr="005D2423" w:rsidRDefault="00F85F6C" w:rsidP="00CF2E9C">
      <w:pPr>
        <w:pStyle w:val="FootnoteText"/>
        <w:ind w:left="170" w:hanging="170"/>
        <w:mirrorIndents/>
      </w:pPr>
      <w:r>
        <w:rPr>
          <w:rStyle w:val="FootnoteReference"/>
          <w:lang w:val="en-IE"/>
        </w:rPr>
        <w:footnoteRef/>
      </w:r>
      <w:r>
        <w:t xml:space="preserve"> BG, DE, DK, EL, FI, FR, HR, HU, IE, LT, LU, MT, SE и SK.</w:t>
      </w:r>
    </w:p>
  </w:footnote>
  <w:footnote w:id="46">
    <w:p w14:paraId="229FFBEA" w14:textId="2902B7E6" w:rsidR="00F85F6C" w:rsidRPr="005D2423" w:rsidRDefault="00F85F6C" w:rsidP="00CF2E9C">
      <w:pPr>
        <w:pStyle w:val="FootnoteText"/>
        <w:ind w:left="170" w:hanging="170"/>
        <w:mirrorIndents/>
      </w:pPr>
      <w:r>
        <w:rPr>
          <w:rStyle w:val="FootnoteReference"/>
          <w:lang w:val="en-IE"/>
        </w:rPr>
        <w:footnoteRef/>
      </w:r>
      <w:r>
        <w:t xml:space="preserve"> HR и HU.</w:t>
      </w:r>
    </w:p>
  </w:footnote>
  <w:footnote w:id="47">
    <w:p w14:paraId="6E8FF6C7" w14:textId="6855C247" w:rsidR="00F85F6C" w:rsidRPr="005D2423" w:rsidRDefault="00F85F6C" w:rsidP="00CF2E9C">
      <w:pPr>
        <w:pStyle w:val="FootnoteText"/>
        <w:ind w:left="170" w:hanging="170"/>
        <w:mirrorIndents/>
      </w:pPr>
      <w:r>
        <w:rPr>
          <w:rStyle w:val="FootnoteReference"/>
          <w:lang w:val="en-IE"/>
        </w:rPr>
        <w:footnoteRef/>
      </w:r>
      <w:r>
        <w:t xml:space="preserve"> FI и LV.</w:t>
      </w:r>
    </w:p>
  </w:footnote>
  <w:footnote w:id="48">
    <w:p w14:paraId="23FB2808" w14:textId="77777777" w:rsidR="00F85F6C" w:rsidRPr="005D2423" w:rsidRDefault="00F85F6C" w:rsidP="00CF2E9C">
      <w:pPr>
        <w:pStyle w:val="FootnoteText"/>
        <w:ind w:left="170" w:hanging="170"/>
        <w:mirrorIndents/>
      </w:pPr>
      <w:r>
        <w:rPr>
          <w:rStyle w:val="FootnoteReference"/>
          <w:lang w:val="en-IE"/>
        </w:rPr>
        <w:footnoteRef/>
      </w:r>
      <w:r>
        <w:t xml:space="preserve"> EL.</w:t>
      </w:r>
    </w:p>
  </w:footnote>
  <w:footnote w:id="49">
    <w:p w14:paraId="058D65B0" w14:textId="4BDE9152" w:rsidR="00F85F6C" w:rsidRPr="005D2423" w:rsidRDefault="00F85F6C" w:rsidP="00F5298E">
      <w:pPr>
        <w:pStyle w:val="FootnoteText"/>
        <w:tabs>
          <w:tab w:val="left" w:pos="240"/>
        </w:tabs>
        <w:ind w:left="170" w:hanging="170"/>
        <w:mirrorIndents/>
        <w:jc w:val="left"/>
      </w:pPr>
      <w:r>
        <w:rPr>
          <w:rStyle w:val="FootnoteReference"/>
          <w:lang w:val="en-IE"/>
        </w:rPr>
        <w:footnoteRef/>
      </w:r>
      <w:r>
        <w:t xml:space="preserve"> Минималните суми варират от 70 евро (LV) до равностойността на около 2550 евро (BG); максималните  </w:t>
      </w:r>
      <w:r>
        <w:tab/>
        <w:t>суми са в интервала от 2329,37 евро (MT) до 2 млн. евро (FR).</w:t>
      </w:r>
    </w:p>
  </w:footnote>
  <w:footnote w:id="50">
    <w:p w14:paraId="1C82D31A" w14:textId="5A9D1223" w:rsidR="00F85F6C" w:rsidRPr="005D2423" w:rsidRDefault="00F85F6C" w:rsidP="00CF2E9C">
      <w:pPr>
        <w:pStyle w:val="FootnoteText"/>
        <w:ind w:left="170" w:hanging="170"/>
        <w:mirrorIndents/>
      </w:pPr>
      <w:r>
        <w:rPr>
          <w:rStyle w:val="FootnoteReference"/>
          <w:lang w:val="en-IE"/>
        </w:rPr>
        <w:footnoteRef/>
      </w:r>
      <w:r>
        <w:t xml:space="preserve"> В тези случаи процентите също се различават, като варират от 0,2 % (LV) до 10 % (HU и NL).</w:t>
      </w:r>
    </w:p>
  </w:footnote>
  <w:footnote w:id="51">
    <w:p w14:paraId="75923EA9" w14:textId="46E6E406" w:rsidR="00F85F6C" w:rsidRPr="005D2423" w:rsidRDefault="00F85F6C">
      <w:pPr>
        <w:pStyle w:val="FootnoteText"/>
      </w:pPr>
      <w:r>
        <w:rPr>
          <w:rStyle w:val="FootnoteReference"/>
          <w:lang w:val="en-IE"/>
        </w:rPr>
        <w:footnoteRef/>
      </w:r>
      <w:r>
        <w:t xml:space="preserve"> SK.</w:t>
      </w:r>
    </w:p>
  </w:footnote>
  <w:footnote w:id="52">
    <w:p w14:paraId="63B7F412" w14:textId="1BF3171D" w:rsidR="00F85F6C" w:rsidRPr="005D2423" w:rsidRDefault="00F85F6C">
      <w:pPr>
        <w:pStyle w:val="FootnoteText"/>
      </w:pPr>
      <w:r>
        <w:rPr>
          <w:rStyle w:val="FootnoteReference"/>
          <w:lang w:val="en-IE"/>
        </w:rPr>
        <w:footnoteRef/>
      </w:r>
      <w:r>
        <w:t xml:space="preserve"> SK.</w:t>
      </w:r>
    </w:p>
  </w:footnote>
  <w:footnote w:id="53">
    <w:p w14:paraId="52007C32" w14:textId="1F45B61F" w:rsidR="00F85F6C" w:rsidRPr="005D2423" w:rsidRDefault="00F85F6C">
      <w:pPr>
        <w:pStyle w:val="FootnoteText"/>
      </w:pPr>
      <w:r>
        <w:rPr>
          <w:rStyle w:val="FootnoteReference"/>
          <w:lang w:val="en-IE"/>
        </w:rPr>
        <w:footnoteRef/>
      </w:r>
      <w:r>
        <w:t xml:space="preserve"> MT.</w:t>
      </w:r>
    </w:p>
  </w:footnote>
  <w:footnote w:id="54">
    <w:p w14:paraId="61E94ED4" w14:textId="56CDB942" w:rsidR="00F85F6C" w:rsidRPr="005D2423" w:rsidRDefault="00F85F6C" w:rsidP="00CF2E9C">
      <w:pPr>
        <w:pStyle w:val="FootnoteText"/>
        <w:ind w:left="170" w:hanging="170"/>
        <w:mirrorIndents/>
      </w:pPr>
      <w:r>
        <w:rPr>
          <w:rStyle w:val="FootnoteReference"/>
          <w:lang w:val="en-IE"/>
        </w:rPr>
        <w:footnoteRef/>
      </w:r>
      <w:r>
        <w:t xml:space="preserve"> DE, DK, EL, FI, FR, HR, IE, MT, NL и SE.</w:t>
      </w:r>
    </w:p>
  </w:footnote>
  <w:footnote w:id="55">
    <w:p w14:paraId="4E8218AB" w14:textId="2D48EC13" w:rsidR="00F85F6C" w:rsidRPr="005D2423" w:rsidRDefault="00F85F6C" w:rsidP="00CF2E9C">
      <w:pPr>
        <w:pStyle w:val="FootnoteText"/>
        <w:ind w:left="170" w:hanging="170"/>
        <w:mirrorIndents/>
      </w:pPr>
      <w:r>
        <w:rPr>
          <w:rStyle w:val="FootnoteReference"/>
          <w:lang w:val="en-IE"/>
        </w:rPr>
        <w:footnoteRef/>
      </w:r>
      <w:r>
        <w:t xml:space="preserve"> DK, FI и HR.</w:t>
      </w:r>
    </w:p>
  </w:footnote>
  <w:footnote w:id="56">
    <w:p w14:paraId="6FF94969" w14:textId="6195593C" w:rsidR="00F85F6C" w:rsidRPr="005D2423" w:rsidRDefault="00F85F6C" w:rsidP="00CF2E9C">
      <w:pPr>
        <w:pStyle w:val="FootnoteText"/>
        <w:ind w:left="170" w:hanging="170"/>
        <w:mirrorIndents/>
      </w:pPr>
      <w:r>
        <w:rPr>
          <w:rStyle w:val="FootnoteReference"/>
          <w:lang w:val="en-IE"/>
        </w:rPr>
        <w:footnoteRef/>
      </w:r>
      <w:r>
        <w:t xml:space="preserve"> Критериите са различни: EL, FI, HR, LV, SE и SK.</w:t>
      </w:r>
    </w:p>
  </w:footnote>
  <w:footnote w:id="57">
    <w:p w14:paraId="5A134C56" w14:textId="398D45D0" w:rsidR="00F85F6C" w:rsidRPr="005D2423" w:rsidRDefault="00F85F6C">
      <w:pPr>
        <w:pStyle w:val="FootnoteText"/>
      </w:pPr>
      <w:r>
        <w:rPr>
          <w:rStyle w:val="FootnoteReference"/>
        </w:rPr>
        <w:footnoteRef/>
      </w:r>
      <w:r>
        <w:t xml:space="preserve"> Понастоящем няма информация за френското законодателство.</w:t>
      </w:r>
    </w:p>
  </w:footnote>
  <w:footnote w:id="58">
    <w:p w14:paraId="4982338F" w14:textId="7BBC0F6E" w:rsidR="00F85F6C" w:rsidRPr="005D2423" w:rsidRDefault="00F85F6C" w:rsidP="00CF2E9C">
      <w:pPr>
        <w:pStyle w:val="FootnoteText"/>
        <w:ind w:left="170" w:hanging="170"/>
        <w:mirrorIndents/>
      </w:pPr>
      <w:r>
        <w:rPr>
          <w:rStyle w:val="FootnoteReference"/>
        </w:rPr>
        <w:footnoteRef/>
      </w:r>
      <w:r>
        <w:t xml:space="preserve"> BG, DE, DK, FI, FR, LT, LV, MT, NL, SE и SK.</w:t>
      </w:r>
    </w:p>
  </w:footnote>
  <w:footnote w:id="59">
    <w:p w14:paraId="2300DCE0" w14:textId="78A8EB1D" w:rsidR="00F85F6C" w:rsidRPr="005D2423" w:rsidRDefault="00F85F6C" w:rsidP="00CF2E9C">
      <w:pPr>
        <w:pStyle w:val="FootnoteText"/>
        <w:ind w:left="170" w:hanging="170"/>
        <w:mirrorIndents/>
      </w:pPr>
      <w:r>
        <w:rPr>
          <w:rStyle w:val="FootnoteReference"/>
        </w:rPr>
        <w:footnoteRef/>
      </w:r>
      <w:r>
        <w:t xml:space="preserve"> DE, FR и HU.</w:t>
      </w:r>
    </w:p>
  </w:footnote>
  <w:footnote w:id="60">
    <w:p w14:paraId="732654BD" w14:textId="0350B6FE" w:rsidR="00F85F6C" w:rsidRPr="005D2423" w:rsidRDefault="00F85F6C" w:rsidP="00CF2E9C">
      <w:pPr>
        <w:pStyle w:val="FootnoteText"/>
        <w:ind w:left="170" w:hanging="170"/>
        <w:mirrorIndents/>
      </w:pPr>
      <w:r>
        <w:rPr>
          <w:rStyle w:val="FootnoteReference"/>
        </w:rPr>
        <w:footnoteRef/>
      </w:r>
      <w:r>
        <w:t xml:space="preserve"> FI (само в случай на нарушаване на търговска тайна) и IE (възстановяване на недължимо платени такси).</w:t>
      </w:r>
    </w:p>
  </w:footnote>
  <w:footnote w:id="61">
    <w:p w14:paraId="208DCEEC" w14:textId="4A88E0B3" w:rsidR="00F85F6C" w:rsidRPr="005D2423" w:rsidRDefault="00F85F6C" w:rsidP="005D2423">
      <w:pPr>
        <w:pStyle w:val="FootnoteText"/>
        <w:ind w:left="170" w:hanging="170"/>
        <w:mirrorIndents/>
        <w:jc w:val="left"/>
      </w:pPr>
      <w:r>
        <w:rPr>
          <w:rStyle w:val="FootnoteReference"/>
        </w:rPr>
        <w:footnoteRef/>
      </w:r>
      <w:r>
        <w:t xml:space="preserve"> FI (само в случай на нарушаване на търговска тайна), FR, LV и MT (когато неустойката е определена от Трибунала за административен контрол).</w:t>
      </w:r>
    </w:p>
  </w:footnote>
  <w:footnote w:id="62">
    <w:p w14:paraId="59725A0D" w14:textId="0021163D" w:rsidR="00F85F6C" w:rsidRPr="005D2423" w:rsidRDefault="00F85F6C">
      <w:pPr>
        <w:pStyle w:val="FootnoteText"/>
      </w:pPr>
      <w:r>
        <w:rPr>
          <w:rStyle w:val="FootnoteReference"/>
        </w:rPr>
        <w:footnoteRef/>
      </w:r>
      <w:r>
        <w:t xml:space="preserve"> BG, DE, DK, EL, FI, MT, NL и SE.</w:t>
      </w:r>
    </w:p>
  </w:footnote>
  <w:footnote w:id="63">
    <w:p w14:paraId="0ECEBB54" w14:textId="105ED929" w:rsidR="00F85F6C" w:rsidRPr="005D2423" w:rsidRDefault="00F85F6C">
      <w:pPr>
        <w:pStyle w:val="FootnoteText"/>
      </w:pPr>
      <w:r>
        <w:rPr>
          <w:rStyle w:val="FootnoteReference"/>
        </w:rPr>
        <w:footnoteRef/>
      </w:r>
      <w:r>
        <w:t xml:space="preserve"> BG, DE, EL, FI, LT, MT и NL.</w:t>
      </w:r>
    </w:p>
  </w:footnote>
  <w:footnote w:id="64">
    <w:p w14:paraId="04F8D49E" w14:textId="70EDF942" w:rsidR="00F85F6C" w:rsidRPr="005D2423" w:rsidRDefault="00F85F6C">
      <w:pPr>
        <w:pStyle w:val="FootnoteText"/>
      </w:pPr>
      <w:r>
        <w:rPr>
          <w:rStyle w:val="FootnoteReference"/>
        </w:rPr>
        <w:footnoteRef/>
      </w:r>
      <w:r>
        <w:t xml:space="preserve"> DE.</w:t>
      </w:r>
    </w:p>
  </w:footnote>
  <w:footnote w:id="65">
    <w:p w14:paraId="4A2E277A" w14:textId="5E280739" w:rsidR="00F85F6C" w:rsidRPr="005D2423" w:rsidRDefault="00F85F6C" w:rsidP="00A55BDC">
      <w:pPr>
        <w:pStyle w:val="FootnoteText"/>
        <w:ind w:left="284" w:hanging="284"/>
      </w:pPr>
      <w:r>
        <w:rPr>
          <w:rStyle w:val="FootnoteReference"/>
        </w:rPr>
        <w:footnoteRef/>
      </w:r>
      <w:r>
        <w:t xml:space="preserve"> Допълнителна информация ще бъде достъпна на следния интернет адрес: </w:t>
      </w:r>
      <w:hyperlink r:id="rId12" w:history="1">
        <w:r>
          <w:rPr>
            <w:rStyle w:val="Hyperlink"/>
          </w:rPr>
          <w:t>https://ec.europa.eu/info/food-farming-fisheries/key-policies/common-agricultural-policy/market-measures/agri-food-supply-chain/unfair-trading-practices_bg</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EF5B2" w14:textId="77777777" w:rsidR="00C42E60" w:rsidRPr="00C42E60" w:rsidRDefault="00C42E60" w:rsidP="00C42E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621DA" w14:textId="77777777" w:rsidR="00C42E60" w:rsidRPr="00C42E60" w:rsidRDefault="00C42E60" w:rsidP="00C42E6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9C58F" w14:textId="77777777" w:rsidR="00C42E60" w:rsidRPr="00C42E60" w:rsidRDefault="00C42E60" w:rsidP="00C42E6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1699" w14:textId="77777777" w:rsidR="00F85F6C" w:rsidRDefault="00F85F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F87C4" w14:textId="77777777" w:rsidR="00F85F6C" w:rsidRPr="00AA7BBE" w:rsidRDefault="00F85F6C" w:rsidP="00AA7BBE">
    <w:pPr>
      <w:pStyle w:val="Header"/>
      <w:jc w:val="right"/>
      <w:rPr>
        <w:rFonts w:ascii="Times New Roman" w:hAnsi="Times New Roman" w:cs="Times New Roman"/>
      </w:rPr>
    </w:pPr>
  </w:p>
  <w:p w14:paraId="5D584CA8" w14:textId="77777777" w:rsidR="00F85F6C" w:rsidRDefault="00F85F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7D577" w14:textId="77777777" w:rsidR="00F85F6C" w:rsidRPr="00672FC3" w:rsidRDefault="00F85F6C" w:rsidP="00672FC3">
    <w:pPr>
      <w:pStyle w:val="Header"/>
    </w:pPr>
  </w:p>
</w:hdr>
</file>

<file path=word/intelligence.xml><?xml version="1.0" encoding="utf-8"?>
<int:Intelligence xmlns:int="http://schemas.microsoft.com/office/intelligence/2019/intelligence">
  <int:IntelligenceSettings/>
  <int:Manifest>
    <int:ParagraphRange paragraphId="1321210378" textId="168579160" start="306" length="1" invalidationStart="306" invalidationLength="1" id="+N0ah09H"/>
  </int:Manifest>
  <int:Observations>
    <int:Content id="+N0ah09H">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F3BA4"/>
    <w:multiLevelType w:val="multilevel"/>
    <w:tmpl w:val="276A638A"/>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486349"/>
    <w:multiLevelType w:val="hybridMultilevel"/>
    <w:tmpl w:val="8A8211D8"/>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 w15:restartNumberingAfterBreak="0">
    <w:nsid w:val="1D173A4D"/>
    <w:multiLevelType w:val="hybridMultilevel"/>
    <w:tmpl w:val="9836F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B37CAC"/>
    <w:multiLevelType w:val="hybridMultilevel"/>
    <w:tmpl w:val="27FE8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05871"/>
    <w:multiLevelType w:val="multilevel"/>
    <w:tmpl w:val="22301494"/>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ED3014"/>
    <w:multiLevelType w:val="hybridMultilevel"/>
    <w:tmpl w:val="9B7EC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8D2B27"/>
    <w:multiLevelType w:val="hybridMultilevel"/>
    <w:tmpl w:val="52E455C6"/>
    <w:lvl w:ilvl="0" w:tplc="07FE185E">
      <w:start w:val="1"/>
      <w:numFmt w:val="lowerLetter"/>
      <w:lvlText w:val="(%1)"/>
      <w:lvlJc w:val="left"/>
      <w:pPr>
        <w:ind w:left="1210" w:hanging="360"/>
      </w:pPr>
      <w:rPr>
        <w:rFonts w:hint="default"/>
      </w:rPr>
    </w:lvl>
    <w:lvl w:ilvl="1" w:tplc="04100003" w:tentative="1">
      <w:start w:val="1"/>
      <w:numFmt w:val="bullet"/>
      <w:lvlText w:val="o"/>
      <w:lvlJc w:val="left"/>
      <w:pPr>
        <w:ind w:left="1930" w:hanging="360"/>
      </w:pPr>
      <w:rPr>
        <w:rFonts w:ascii="Courier New" w:hAnsi="Courier New" w:cs="Courier New" w:hint="default"/>
      </w:rPr>
    </w:lvl>
    <w:lvl w:ilvl="2" w:tplc="04100005" w:tentative="1">
      <w:start w:val="1"/>
      <w:numFmt w:val="bullet"/>
      <w:lvlText w:val=""/>
      <w:lvlJc w:val="left"/>
      <w:pPr>
        <w:ind w:left="2650" w:hanging="360"/>
      </w:pPr>
      <w:rPr>
        <w:rFonts w:ascii="Wingdings" w:hAnsi="Wingdings" w:hint="default"/>
      </w:rPr>
    </w:lvl>
    <w:lvl w:ilvl="3" w:tplc="04100001" w:tentative="1">
      <w:start w:val="1"/>
      <w:numFmt w:val="bullet"/>
      <w:lvlText w:val=""/>
      <w:lvlJc w:val="left"/>
      <w:pPr>
        <w:ind w:left="3370" w:hanging="360"/>
      </w:pPr>
      <w:rPr>
        <w:rFonts w:ascii="Symbol" w:hAnsi="Symbol" w:hint="default"/>
      </w:rPr>
    </w:lvl>
    <w:lvl w:ilvl="4" w:tplc="04100003" w:tentative="1">
      <w:start w:val="1"/>
      <w:numFmt w:val="bullet"/>
      <w:lvlText w:val="o"/>
      <w:lvlJc w:val="left"/>
      <w:pPr>
        <w:ind w:left="4090" w:hanging="360"/>
      </w:pPr>
      <w:rPr>
        <w:rFonts w:ascii="Courier New" w:hAnsi="Courier New" w:cs="Courier New" w:hint="default"/>
      </w:rPr>
    </w:lvl>
    <w:lvl w:ilvl="5" w:tplc="04100005" w:tentative="1">
      <w:start w:val="1"/>
      <w:numFmt w:val="bullet"/>
      <w:lvlText w:val=""/>
      <w:lvlJc w:val="left"/>
      <w:pPr>
        <w:ind w:left="4810" w:hanging="360"/>
      </w:pPr>
      <w:rPr>
        <w:rFonts w:ascii="Wingdings" w:hAnsi="Wingdings" w:hint="default"/>
      </w:rPr>
    </w:lvl>
    <w:lvl w:ilvl="6" w:tplc="04100001" w:tentative="1">
      <w:start w:val="1"/>
      <w:numFmt w:val="bullet"/>
      <w:lvlText w:val=""/>
      <w:lvlJc w:val="left"/>
      <w:pPr>
        <w:ind w:left="5530" w:hanging="360"/>
      </w:pPr>
      <w:rPr>
        <w:rFonts w:ascii="Symbol" w:hAnsi="Symbol" w:hint="default"/>
      </w:rPr>
    </w:lvl>
    <w:lvl w:ilvl="7" w:tplc="04100003" w:tentative="1">
      <w:start w:val="1"/>
      <w:numFmt w:val="bullet"/>
      <w:lvlText w:val="o"/>
      <w:lvlJc w:val="left"/>
      <w:pPr>
        <w:ind w:left="6250" w:hanging="360"/>
      </w:pPr>
      <w:rPr>
        <w:rFonts w:ascii="Courier New" w:hAnsi="Courier New" w:cs="Courier New" w:hint="default"/>
      </w:rPr>
    </w:lvl>
    <w:lvl w:ilvl="8" w:tplc="04100005" w:tentative="1">
      <w:start w:val="1"/>
      <w:numFmt w:val="bullet"/>
      <w:lvlText w:val=""/>
      <w:lvlJc w:val="left"/>
      <w:pPr>
        <w:ind w:left="6970" w:hanging="360"/>
      </w:pPr>
      <w:rPr>
        <w:rFonts w:ascii="Wingdings" w:hAnsi="Wingdings" w:hint="default"/>
      </w:rPr>
    </w:lvl>
  </w:abstractNum>
  <w:abstractNum w:abstractNumId="7" w15:restartNumberingAfterBreak="0">
    <w:nsid w:val="472E74C9"/>
    <w:multiLevelType w:val="hybridMultilevel"/>
    <w:tmpl w:val="2A80E46E"/>
    <w:lvl w:ilvl="0" w:tplc="8FBEE7A4">
      <w:start w:val="3"/>
      <w:numFmt w:val="bullet"/>
      <w:lvlText w:val="-"/>
      <w:lvlJc w:val="left"/>
      <w:pPr>
        <w:ind w:left="1210" w:hanging="360"/>
      </w:pPr>
      <w:rPr>
        <w:rFonts w:ascii="Times New Roman" w:eastAsia="Times New Roman" w:hAnsi="Times New Roman" w:cs="Times New Roman" w:hint="default"/>
      </w:rPr>
    </w:lvl>
    <w:lvl w:ilvl="1" w:tplc="04100003" w:tentative="1">
      <w:start w:val="1"/>
      <w:numFmt w:val="bullet"/>
      <w:lvlText w:val="o"/>
      <w:lvlJc w:val="left"/>
      <w:pPr>
        <w:ind w:left="1930" w:hanging="360"/>
      </w:pPr>
      <w:rPr>
        <w:rFonts w:ascii="Courier New" w:hAnsi="Courier New" w:cs="Courier New" w:hint="default"/>
      </w:rPr>
    </w:lvl>
    <w:lvl w:ilvl="2" w:tplc="04100005" w:tentative="1">
      <w:start w:val="1"/>
      <w:numFmt w:val="bullet"/>
      <w:lvlText w:val=""/>
      <w:lvlJc w:val="left"/>
      <w:pPr>
        <w:ind w:left="2650" w:hanging="360"/>
      </w:pPr>
      <w:rPr>
        <w:rFonts w:ascii="Wingdings" w:hAnsi="Wingdings" w:hint="default"/>
      </w:rPr>
    </w:lvl>
    <w:lvl w:ilvl="3" w:tplc="04100001" w:tentative="1">
      <w:start w:val="1"/>
      <w:numFmt w:val="bullet"/>
      <w:lvlText w:val=""/>
      <w:lvlJc w:val="left"/>
      <w:pPr>
        <w:ind w:left="3370" w:hanging="360"/>
      </w:pPr>
      <w:rPr>
        <w:rFonts w:ascii="Symbol" w:hAnsi="Symbol" w:hint="default"/>
      </w:rPr>
    </w:lvl>
    <w:lvl w:ilvl="4" w:tplc="04100003" w:tentative="1">
      <w:start w:val="1"/>
      <w:numFmt w:val="bullet"/>
      <w:lvlText w:val="o"/>
      <w:lvlJc w:val="left"/>
      <w:pPr>
        <w:ind w:left="4090" w:hanging="360"/>
      </w:pPr>
      <w:rPr>
        <w:rFonts w:ascii="Courier New" w:hAnsi="Courier New" w:cs="Courier New" w:hint="default"/>
      </w:rPr>
    </w:lvl>
    <w:lvl w:ilvl="5" w:tplc="04100005" w:tentative="1">
      <w:start w:val="1"/>
      <w:numFmt w:val="bullet"/>
      <w:lvlText w:val=""/>
      <w:lvlJc w:val="left"/>
      <w:pPr>
        <w:ind w:left="4810" w:hanging="360"/>
      </w:pPr>
      <w:rPr>
        <w:rFonts w:ascii="Wingdings" w:hAnsi="Wingdings" w:hint="default"/>
      </w:rPr>
    </w:lvl>
    <w:lvl w:ilvl="6" w:tplc="04100001" w:tentative="1">
      <w:start w:val="1"/>
      <w:numFmt w:val="bullet"/>
      <w:lvlText w:val=""/>
      <w:lvlJc w:val="left"/>
      <w:pPr>
        <w:ind w:left="5530" w:hanging="360"/>
      </w:pPr>
      <w:rPr>
        <w:rFonts w:ascii="Symbol" w:hAnsi="Symbol" w:hint="default"/>
      </w:rPr>
    </w:lvl>
    <w:lvl w:ilvl="7" w:tplc="04100003" w:tentative="1">
      <w:start w:val="1"/>
      <w:numFmt w:val="bullet"/>
      <w:lvlText w:val="o"/>
      <w:lvlJc w:val="left"/>
      <w:pPr>
        <w:ind w:left="6250" w:hanging="360"/>
      </w:pPr>
      <w:rPr>
        <w:rFonts w:ascii="Courier New" w:hAnsi="Courier New" w:cs="Courier New" w:hint="default"/>
      </w:rPr>
    </w:lvl>
    <w:lvl w:ilvl="8" w:tplc="04100005" w:tentative="1">
      <w:start w:val="1"/>
      <w:numFmt w:val="bullet"/>
      <w:lvlText w:val=""/>
      <w:lvlJc w:val="left"/>
      <w:pPr>
        <w:ind w:left="6970" w:hanging="360"/>
      </w:pPr>
      <w:rPr>
        <w:rFonts w:ascii="Wingdings" w:hAnsi="Wingdings" w:hint="default"/>
      </w:rPr>
    </w:lvl>
  </w:abstractNum>
  <w:abstractNum w:abstractNumId="8" w15:restartNumberingAfterBreak="0">
    <w:nsid w:val="63BE4D08"/>
    <w:multiLevelType w:val="hybridMultilevel"/>
    <w:tmpl w:val="0FD6E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A12FA4"/>
    <w:multiLevelType w:val="multilevel"/>
    <w:tmpl w:val="EA5A3FE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rPr>
        <w:sz w:val="24"/>
        <w:vertAlign w:val="baseline"/>
      </w:rPr>
    </w:lvl>
    <w:lvl w:ilvl="2">
      <w:start w:val="1"/>
      <w:numFmt w:val="decimal"/>
      <w:pStyle w:val="Heading3"/>
      <w:lvlText w:val="%1.%2.%3."/>
      <w:lvlJc w:val="left"/>
      <w:pPr>
        <w:tabs>
          <w:tab w:val="num" w:pos="1842"/>
        </w:tabs>
        <w:ind w:left="1842" w:hanging="850"/>
      </w:pPr>
      <w:rPr>
        <w:b/>
        <w:i w:val="0"/>
      </w:rPr>
    </w:lvl>
    <w:lvl w:ilvl="3">
      <w:start w:val="1"/>
      <w:numFmt w:val="decimal"/>
      <w:pStyle w:val="Heading4"/>
      <w:lvlText w:val="%1.%2.%3.%4."/>
      <w:lvlJc w:val="left"/>
      <w:pPr>
        <w:tabs>
          <w:tab w:val="num" w:pos="850"/>
        </w:tabs>
        <w:ind w:left="850" w:hanging="850"/>
      </w:pPr>
    </w:lvl>
    <w:lvl w:ilvl="4">
      <w:start w:val="1"/>
      <w:numFmt w:val="decimal"/>
      <w:lvlText w:val="%1.%2.%3.%4.%5."/>
      <w:lvlJc w:val="left"/>
      <w:pPr>
        <w:ind w:left="1800" w:hanging="360"/>
      </w:pPr>
    </w:lvl>
    <w:lvl w:ilvl="5">
      <w:start w:val="1"/>
      <w:numFmt w:val="decimal"/>
      <w:lvlText w:val="%1.%2.%3.%4.%5.%6."/>
      <w:lvlJc w:val="left"/>
      <w:pPr>
        <w:ind w:left="2160" w:hanging="360"/>
      </w:pPr>
    </w:lvl>
    <w:lvl w:ilvl="6">
      <w:start w:val="1"/>
      <w:numFmt w:val="decimal"/>
      <w:lvlText w:val="%1.%2.%3.%4.%5.%6.%7."/>
      <w:lvlJc w:val="left"/>
      <w:pPr>
        <w:ind w:left="2520" w:hanging="360"/>
      </w:pPr>
    </w:lvl>
    <w:lvl w:ilvl="7">
      <w:start w:val="1"/>
      <w:numFmt w:val="decimal"/>
      <w:lvlText w:val="%1.%2.%3.%4.%5.%6.%7.%8."/>
      <w:lvlJc w:val="left"/>
      <w:pPr>
        <w:ind w:left="2880" w:hanging="360"/>
      </w:pPr>
    </w:lvl>
    <w:lvl w:ilvl="8">
      <w:start w:val="1"/>
      <w:numFmt w:val="decimal"/>
      <w:lvlText w:val="%1.%2.%3.%4.%5.%6.%7.%8.%9."/>
      <w:lvlJc w:val="left"/>
      <w:pPr>
        <w:ind w:left="3240" w:hanging="360"/>
      </w:pPr>
    </w:lvl>
  </w:abstractNum>
  <w:abstractNum w:abstractNumId="10" w15:restartNumberingAfterBreak="0">
    <w:nsid w:val="65233EED"/>
    <w:multiLevelType w:val="hybridMultilevel"/>
    <w:tmpl w:val="BC7C8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2B46E4"/>
    <w:multiLevelType w:val="hybridMultilevel"/>
    <w:tmpl w:val="D3B67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203890"/>
    <w:multiLevelType w:val="hybridMultilevel"/>
    <w:tmpl w:val="2FDC5E5E"/>
    <w:lvl w:ilvl="0" w:tplc="64B6F164">
      <w:start w:val="1"/>
      <w:numFmt w:val="bullet"/>
      <w:lvlText w:val="-"/>
      <w:lvlJc w:val="left"/>
      <w:pPr>
        <w:ind w:left="1210" w:hanging="360"/>
      </w:pPr>
      <w:rPr>
        <w:rFonts w:ascii="Times New Roman" w:eastAsia="Times New Roman" w:hAnsi="Times New Roman" w:cs="Times New Roman" w:hint="default"/>
      </w:rPr>
    </w:lvl>
    <w:lvl w:ilvl="1" w:tplc="04100003" w:tentative="1">
      <w:start w:val="1"/>
      <w:numFmt w:val="bullet"/>
      <w:lvlText w:val="o"/>
      <w:lvlJc w:val="left"/>
      <w:pPr>
        <w:ind w:left="1930" w:hanging="360"/>
      </w:pPr>
      <w:rPr>
        <w:rFonts w:ascii="Courier New" w:hAnsi="Courier New" w:cs="Courier New" w:hint="default"/>
      </w:rPr>
    </w:lvl>
    <w:lvl w:ilvl="2" w:tplc="04100005" w:tentative="1">
      <w:start w:val="1"/>
      <w:numFmt w:val="bullet"/>
      <w:lvlText w:val=""/>
      <w:lvlJc w:val="left"/>
      <w:pPr>
        <w:ind w:left="2650" w:hanging="360"/>
      </w:pPr>
      <w:rPr>
        <w:rFonts w:ascii="Wingdings" w:hAnsi="Wingdings" w:hint="default"/>
      </w:rPr>
    </w:lvl>
    <w:lvl w:ilvl="3" w:tplc="04100001" w:tentative="1">
      <w:start w:val="1"/>
      <w:numFmt w:val="bullet"/>
      <w:lvlText w:val=""/>
      <w:lvlJc w:val="left"/>
      <w:pPr>
        <w:ind w:left="3370" w:hanging="360"/>
      </w:pPr>
      <w:rPr>
        <w:rFonts w:ascii="Symbol" w:hAnsi="Symbol" w:hint="default"/>
      </w:rPr>
    </w:lvl>
    <w:lvl w:ilvl="4" w:tplc="04100003" w:tentative="1">
      <w:start w:val="1"/>
      <w:numFmt w:val="bullet"/>
      <w:lvlText w:val="o"/>
      <w:lvlJc w:val="left"/>
      <w:pPr>
        <w:ind w:left="4090" w:hanging="360"/>
      </w:pPr>
      <w:rPr>
        <w:rFonts w:ascii="Courier New" w:hAnsi="Courier New" w:cs="Courier New" w:hint="default"/>
      </w:rPr>
    </w:lvl>
    <w:lvl w:ilvl="5" w:tplc="04100005" w:tentative="1">
      <w:start w:val="1"/>
      <w:numFmt w:val="bullet"/>
      <w:lvlText w:val=""/>
      <w:lvlJc w:val="left"/>
      <w:pPr>
        <w:ind w:left="4810" w:hanging="360"/>
      </w:pPr>
      <w:rPr>
        <w:rFonts w:ascii="Wingdings" w:hAnsi="Wingdings" w:hint="default"/>
      </w:rPr>
    </w:lvl>
    <w:lvl w:ilvl="6" w:tplc="04100001" w:tentative="1">
      <w:start w:val="1"/>
      <w:numFmt w:val="bullet"/>
      <w:lvlText w:val=""/>
      <w:lvlJc w:val="left"/>
      <w:pPr>
        <w:ind w:left="5530" w:hanging="360"/>
      </w:pPr>
      <w:rPr>
        <w:rFonts w:ascii="Symbol" w:hAnsi="Symbol" w:hint="default"/>
      </w:rPr>
    </w:lvl>
    <w:lvl w:ilvl="7" w:tplc="04100003" w:tentative="1">
      <w:start w:val="1"/>
      <w:numFmt w:val="bullet"/>
      <w:lvlText w:val="o"/>
      <w:lvlJc w:val="left"/>
      <w:pPr>
        <w:ind w:left="6250" w:hanging="360"/>
      </w:pPr>
      <w:rPr>
        <w:rFonts w:ascii="Courier New" w:hAnsi="Courier New" w:cs="Courier New" w:hint="default"/>
      </w:rPr>
    </w:lvl>
    <w:lvl w:ilvl="8" w:tplc="04100005" w:tentative="1">
      <w:start w:val="1"/>
      <w:numFmt w:val="bullet"/>
      <w:lvlText w:val=""/>
      <w:lvlJc w:val="left"/>
      <w:pPr>
        <w:ind w:left="6970" w:hanging="360"/>
      </w:pPr>
      <w:rPr>
        <w:rFonts w:ascii="Wingdings" w:hAnsi="Wingdings" w:hint="default"/>
      </w:rPr>
    </w:lvl>
  </w:abstractNum>
  <w:num w:numId="1">
    <w:abstractNumId w:val="0"/>
  </w:num>
  <w:num w:numId="2">
    <w:abstractNumId w:val="9"/>
  </w:num>
  <w:num w:numId="3">
    <w:abstractNumId w:val="1"/>
  </w:num>
  <w:num w:numId="4">
    <w:abstractNumId w:val="9"/>
  </w:num>
  <w:num w:numId="5">
    <w:abstractNumId w:val="12"/>
  </w:num>
  <w:num w:numId="6">
    <w:abstractNumId w:val="6"/>
  </w:num>
  <w:num w:numId="7">
    <w:abstractNumId w:val="7"/>
  </w:num>
  <w:num w:numId="8">
    <w:abstractNumId w:val="4"/>
  </w:num>
  <w:num w:numId="9">
    <w:abstractNumId w:val="9"/>
  </w:num>
  <w:num w:numId="10">
    <w:abstractNumId w:val="9"/>
  </w:num>
  <w:num w:numId="11">
    <w:abstractNumId w:val="8"/>
  </w:num>
  <w:num w:numId="12">
    <w:abstractNumId w:val="2"/>
  </w:num>
  <w:num w:numId="13">
    <w:abstractNumId w:val="5"/>
  </w:num>
  <w:num w:numId="14">
    <w:abstractNumId w:val="10"/>
  </w:num>
  <w:num w:numId="15">
    <w:abstractNumId w:val="1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CA" w:vendorID="64" w:dllVersion="131078" w:nlCheck="1" w:checkStyle="1"/>
  <w:activeWritingStyle w:appName="MSWord" w:lang="de-DE" w:vendorID="64" w:dllVersion="131078" w:nlCheck="1" w:checkStyle="0"/>
  <w:activeWritingStyle w:appName="MSWord" w:lang="en-IE" w:vendorID="64" w:dllVersion="131078" w:nlCheck="1" w:checkStyle="1"/>
  <w:activeWritingStyle w:appName="MSWord" w:lang="it-IT" w:vendorID="64" w:dllVersion="131078" w:nlCheck="1" w:checkStyle="0"/>
  <w:revisionView w:markup="0"/>
  <w:defaultTabStop w:val="720"/>
  <w:hyphenationZone w:val="425"/>
  <w:characterSpacingControl w:val="doNotCompress"/>
  <w:hdrShapeDefaults>
    <o:shapedefaults v:ext="edit" spidmax="696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AABDCE8-75CE-4834-AA08-471453F55EB3"/>
    <w:docVar w:name="LW_COVERPAGE_TYPE" w:val="1"/>
    <w:docVar w:name="LW_CROSSREFERENCE" w:val="&lt;UNUSED&gt;"/>
    <w:docVar w:name="LW_DocType" w:val="NORMAL"/>
    <w:docVar w:name="LW_EMISSION" w:val="27.10.2021"/>
    <w:docVar w:name="LW_EMISSION_ISODATE" w:val="2021-10-27"/>
    <w:docVar w:name="LW_EMISSION_LOCATION" w:val="BRX"/>
    <w:docVar w:name="LW_EMISSION_PREFIX" w:val="\u1041?\u1088?\u1102?\u1082?\u1089?\u1077?\u1083?, "/>
    <w:docVar w:name="LW_EMISSION_SUFFIX" w:val=" \u1075?."/>
    <w:docVar w:name="LW_ID_DOCTYPE_NONLW" w:val="CP-008"/>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NST.NEW" w:val="COM"/>
    <w:docVar w:name="LW_REF.INST.NEW_ADOPTED" w:val="final"/>
    <w:docVar w:name="LW_REF.INST.NEW_TEXT" w:val="(2021) 65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1086?\u1090?\u1085?\u1086?\u1089?\u1085?\u1086? \u1090?\u1088?\u1072?\u1085?\u1089?\u1087?\u1086?\u1085?\u1080?\u1088?\u1072?\u1085?\u1077?\u1090?\u1086? \u1080? \u1087?\u1088?\u1080?\u1083?\u1072?\u1075?\u1072?\u1085?\u1077?\u1090?\u1086? \u1085?\u1072? \u1044?\u1080?\u1088?\u1077?\u1082?\u1090?\u1080?\u1074?\u1072? (\u1045?\u1057?) 2019/633 \u1085?\u1072? \u1045?\u1074?\u1088?\u1086?\u1087?\u1077?\u1081?\u1089?\u1082?\u1080?\u1103? \u1087?\u1072?\u1088?\u1083?\u1072?\u1084?\u1077?\u1085?\u1090? \u1080? \u1085?\u1072? \u1057?\u1098?\u1074?\u1077?\u1090?\u1072? \u1086?\u1090? 17 \u1072?\u1087?\u1088?\u1080?\u1083? 2019 \u1075?\u1086?\u1076?\u1080?\u1085?\u1072? \u1086?\u1090?\u1085?\u1086?\u1089?\u1085?\u1086? \u1085?\u1077?\u1083?\u1086?\u1103?\u1083?\u1085?\u1080?\u1090?\u1077? \u1090?\u1098?\u1088?\u1075?\u1086?\u1074?\u1089?\u1082?\u1080? \u1087?\u1088?\u1072?\u1082?\u1090?\u1080?\u1082?\u1080? \u1074? \u1086?\u1090?\u1085?\u1086?\u1096?\u1077?\u1085?\u1080?\u1103?\u1090?\u1072? \u1084?\u1077?\u1078?\u1076?\u1091? \u1089?\u1090?\u1086?\u1087?\u1072?\u1085?\u1089?\u1082?\u1080?\u1090?\u1077? \u1089?\u1091?\u1073?\u1077?\u1082?\u1090?\u1080? \u1074?\u1098?\u1074? \u1074?\u1077?\u1088?\u1080?\u1075?\u1072?\u1090?\u1072? \u1079?\u1072? \u1076?\u1086?\u1089?\u1090?\u1072?\u1074?\u1082?\u1080? \u1085?\u1072? \u1089?\u1077?\u1083?\u1089?\u1082?\u1086?\u1089?\u1090?\u1086?\u1087?\u1072?\u1085?\u1089?\u1082?\u1080? \u1080? \u1093?\u1088?\u1072?\u1085?\u1080?\u1090?\u1077?\u1083?\u1085?\u1080? \u1087?\u1088?\u1086?\u1076?\u1091?\u1082?\u1090?\u1080?&lt;/FMT&gt;"/>
    <w:docVar w:name="LW_TYPE.DOC.CP" w:val="\u1044?\u1054?\u1050?\u1051?\u1040?\u1044? \u1053?\u1040? \u1050?\u1054?\u1052?\u1048?\u1057?\u1048?\u1071?\u1058?\u1040? \u1044?\u1054? \u1045?\u1042?\u1056?\u1054?\u1055?\u1045?\u1049?\u1057?\u1050?\u1048?\u1071? \u1055?\u1040?\u1056?\u1051?\u1040?\u1052?\u1045?\u1053?\u1058?, \u1057?\u1066?\u1042?\u1045?\u1058?\u1040?, \u1045?\u1042?\u1056?\u1054?\u1055?\u1045?\u1049?\u1057?\u1050?\u1048?\u1071? \u1048?\u1050?\u1054?\u1053?\u1054?\u1052?\u1048?\u1063?\u1045?\u1057?\u1050?\u1048? \u1048? \u1057?\u1054?\u1062?\u1048?\u1040?\u1051?\u1045?\u1053? \u1050?\u1054?\u1052?\u1048?\u1058?\u1045?\u1058? \u1048? \u1050?\u1054?\u1052?\u1048?\u1058?\u1045?\u1058?\u1040? \u1053?\u1040? \u1056?\u1045?\u1043?\u1048?\u1054?\u1053?\u1048?\u1058?\u1045?"/>
    <w:docVar w:name="LwApiVersions" w:val="LW4CoDe 1.23.1.0; LW 8.0, Build 20210728"/>
  </w:docVars>
  <w:rsids>
    <w:rsidRoot w:val="00CA535F"/>
    <w:rsid w:val="00000C9C"/>
    <w:rsid w:val="000010EE"/>
    <w:rsid w:val="00002367"/>
    <w:rsid w:val="000044AB"/>
    <w:rsid w:val="0000637D"/>
    <w:rsid w:val="0000EE25"/>
    <w:rsid w:val="00010332"/>
    <w:rsid w:val="000108A4"/>
    <w:rsid w:val="00011F78"/>
    <w:rsid w:val="0001287C"/>
    <w:rsid w:val="00017284"/>
    <w:rsid w:val="0002599E"/>
    <w:rsid w:val="000261B2"/>
    <w:rsid w:val="0003125B"/>
    <w:rsid w:val="00031F95"/>
    <w:rsid w:val="000341CF"/>
    <w:rsid w:val="00040208"/>
    <w:rsid w:val="00041806"/>
    <w:rsid w:val="000429EE"/>
    <w:rsid w:val="00042B22"/>
    <w:rsid w:val="0004448C"/>
    <w:rsid w:val="00045E0E"/>
    <w:rsid w:val="00045E5D"/>
    <w:rsid w:val="000462BF"/>
    <w:rsid w:val="00052DB8"/>
    <w:rsid w:val="00054DE4"/>
    <w:rsid w:val="00061D57"/>
    <w:rsid w:val="0006450A"/>
    <w:rsid w:val="000749FE"/>
    <w:rsid w:val="000779BB"/>
    <w:rsid w:val="00083429"/>
    <w:rsid w:val="00090C46"/>
    <w:rsid w:val="00092811"/>
    <w:rsid w:val="00094819"/>
    <w:rsid w:val="000A2951"/>
    <w:rsid w:val="000A3445"/>
    <w:rsid w:val="000A424B"/>
    <w:rsid w:val="000A69AD"/>
    <w:rsid w:val="000B0859"/>
    <w:rsid w:val="000B493E"/>
    <w:rsid w:val="000B5621"/>
    <w:rsid w:val="000B785B"/>
    <w:rsid w:val="000C2DEA"/>
    <w:rsid w:val="000C327B"/>
    <w:rsid w:val="000C61BD"/>
    <w:rsid w:val="000C65D1"/>
    <w:rsid w:val="000C6C55"/>
    <w:rsid w:val="000C6C92"/>
    <w:rsid w:val="000D402A"/>
    <w:rsid w:val="000D5DC8"/>
    <w:rsid w:val="000D72A1"/>
    <w:rsid w:val="000E1F10"/>
    <w:rsid w:val="000E3732"/>
    <w:rsid w:val="000E64BA"/>
    <w:rsid w:val="000F25B6"/>
    <w:rsid w:val="000F304E"/>
    <w:rsid w:val="000F574F"/>
    <w:rsid w:val="000F5EF0"/>
    <w:rsid w:val="000F6308"/>
    <w:rsid w:val="000F680C"/>
    <w:rsid w:val="000F6E39"/>
    <w:rsid w:val="00104304"/>
    <w:rsid w:val="001119C4"/>
    <w:rsid w:val="001122D1"/>
    <w:rsid w:val="00113928"/>
    <w:rsid w:val="00117443"/>
    <w:rsid w:val="00117B7F"/>
    <w:rsid w:val="001201EC"/>
    <w:rsid w:val="001211CA"/>
    <w:rsid w:val="00122657"/>
    <w:rsid w:val="00130958"/>
    <w:rsid w:val="001421B9"/>
    <w:rsid w:val="00143A5C"/>
    <w:rsid w:val="00144074"/>
    <w:rsid w:val="001441CA"/>
    <w:rsid w:val="001510C6"/>
    <w:rsid w:val="00152A36"/>
    <w:rsid w:val="0015593D"/>
    <w:rsid w:val="00155E16"/>
    <w:rsid w:val="00157818"/>
    <w:rsid w:val="00164E3D"/>
    <w:rsid w:val="00167C2C"/>
    <w:rsid w:val="00171B6B"/>
    <w:rsid w:val="00171EDC"/>
    <w:rsid w:val="00172BA8"/>
    <w:rsid w:val="00174079"/>
    <w:rsid w:val="001752BF"/>
    <w:rsid w:val="0018189C"/>
    <w:rsid w:val="00181B32"/>
    <w:rsid w:val="00182DA7"/>
    <w:rsid w:val="00187D2C"/>
    <w:rsid w:val="00192221"/>
    <w:rsid w:val="0019539D"/>
    <w:rsid w:val="00197405"/>
    <w:rsid w:val="001A397F"/>
    <w:rsid w:val="001A50EB"/>
    <w:rsid w:val="001B46DA"/>
    <w:rsid w:val="001B4FA8"/>
    <w:rsid w:val="001B6D24"/>
    <w:rsid w:val="001B78AC"/>
    <w:rsid w:val="001B7E86"/>
    <w:rsid w:val="001C2AF7"/>
    <w:rsid w:val="001C460B"/>
    <w:rsid w:val="001C5086"/>
    <w:rsid w:val="001C7220"/>
    <w:rsid w:val="001D0A20"/>
    <w:rsid w:val="001D27CF"/>
    <w:rsid w:val="001D3E23"/>
    <w:rsid w:val="001D4603"/>
    <w:rsid w:val="001D51C6"/>
    <w:rsid w:val="001D76B3"/>
    <w:rsid w:val="001D7BB4"/>
    <w:rsid w:val="001E1B12"/>
    <w:rsid w:val="001E5201"/>
    <w:rsid w:val="001F38CB"/>
    <w:rsid w:val="001F74DB"/>
    <w:rsid w:val="00201900"/>
    <w:rsid w:val="00203032"/>
    <w:rsid w:val="002057A8"/>
    <w:rsid w:val="002075E1"/>
    <w:rsid w:val="00211E2C"/>
    <w:rsid w:val="00215304"/>
    <w:rsid w:val="0022044B"/>
    <w:rsid w:val="00221620"/>
    <w:rsid w:val="00222B05"/>
    <w:rsid w:val="0022313F"/>
    <w:rsid w:val="002236BD"/>
    <w:rsid w:val="002261AF"/>
    <w:rsid w:val="00226592"/>
    <w:rsid w:val="00231D97"/>
    <w:rsid w:val="00234CA9"/>
    <w:rsid w:val="00235AE1"/>
    <w:rsid w:val="002360E6"/>
    <w:rsid w:val="00240592"/>
    <w:rsid w:val="00240B38"/>
    <w:rsid w:val="00245735"/>
    <w:rsid w:val="00245B17"/>
    <w:rsid w:val="00247A6B"/>
    <w:rsid w:val="00250233"/>
    <w:rsid w:val="0025178F"/>
    <w:rsid w:val="00251DA6"/>
    <w:rsid w:val="00253106"/>
    <w:rsid w:val="002554DF"/>
    <w:rsid w:val="0027096E"/>
    <w:rsid w:val="00272000"/>
    <w:rsid w:val="002727C7"/>
    <w:rsid w:val="00272B2A"/>
    <w:rsid w:val="00273580"/>
    <w:rsid w:val="00273EA6"/>
    <w:rsid w:val="0027446B"/>
    <w:rsid w:val="00275171"/>
    <w:rsid w:val="00280969"/>
    <w:rsid w:val="00281236"/>
    <w:rsid w:val="00281A3D"/>
    <w:rsid w:val="00286414"/>
    <w:rsid w:val="002871F3"/>
    <w:rsid w:val="002872F9"/>
    <w:rsid w:val="00290332"/>
    <w:rsid w:val="00290927"/>
    <w:rsid w:val="0029274F"/>
    <w:rsid w:val="00294384"/>
    <w:rsid w:val="00296BDB"/>
    <w:rsid w:val="00297559"/>
    <w:rsid w:val="00297FBD"/>
    <w:rsid w:val="002A2C19"/>
    <w:rsid w:val="002A389E"/>
    <w:rsid w:val="002B137C"/>
    <w:rsid w:val="002B1D2D"/>
    <w:rsid w:val="002B2712"/>
    <w:rsid w:val="002B4941"/>
    <w:rsid w:val="002B736A"/>
    <w:rsid w:val="002C0E6E"/>
    <w:rsid w:val="002C15D4"/>
    <w:rsid w:val="002C460C"/>
    <w:rsid w:val="002C5100"/>
    <w:rsid w:val="002C63D7"/>
    <w:rsid w:val="002D184A"/>
    <w:rsid w:val="002D2BA3"/>
    <w:rsid w:val="002D3EAC"/>
    <w:rsid w:val="002E3838"/>
    <w:rsid w:val="002F04DE"/>
    <w:rsid w:val="002F2CD6"/>
    <w:rsid w:val="002F4107"/>
    <w:rsid w:val="002F77FC"/>
    <w:rsid w:val="00302ADF"/>
    <w:rsid w:val="0030698C"/>
    <w:rsid w:val="00313968"/>
    <w:rsid w:val="00316F07"/>
    <w:rsid w:val="00317422"/>
    <w:rsid w:val="003236C2"/>
    <w:rsid w:val="003267FA"/>
    <w:rsid w:val="00331B82"/>
    <w:rsid w:val="003367A3"/>
    <w:rsid w:val="00336A1A"/>
    <w:rsid w:val="003412B0"/>
    <w:rsid w:val="0034444E"/>
    <w:rsid w:val="00344B84"/>
    <w:rsid w:val="00345126"/>
    <w:rsid w:val="00345E99"/>
    <w:rsid w:val="003462A8"/>
    <w:rsid w:val="00350187"/>
    <w:rsid w:val="00360916"/>
    <w:rsid w:val="00364D38"/>
    <w:rsid w:val="00373A50"/>
    <w:rsid w:val="00375AE5"/>
    <w:rsid w:val="00377CD9"/>
    <w:rsid w:val="00377D99"/>
    <w:rsid w:val="003801F3"/>
    <w:rsid w:val="0038046F"/>
    <w:rsid w:val="00384B1F"/>
    <w:rsid w:val="003907ED"/>
    <w:rsid w:val="00391453"/>
    <w:rsid w:val="003930D2"/>
    <w:rsid w:val="00394DA0"/>
    <w:rsid w:val="003A1A82"/>
    <w:rsid w:val="003A2783"/>
    <w:rsid w:val="003A2990"/>
    <w:rsid w:val="003A3195"/>
    <w:rsid w:val="003A3EF3"/>
    <w:rsid w:val="003A6D03"/>
    <w:rsid w:val="003B0833"/>
    <w:rsid w:val="003B0D06"/>
    <w:rsid w:val="003B0D7E"/>
    <w:rsid w:val="003B4FDD"/>
    <w:rsid w:val="003B6C9B"/>
    <w:rsid w:val="003C0527"/>
    <w:rsid w:val="003C4574"/>
    <w:rsid w:val="003C48DF"/>
    <w:rsid w:val="003D08B7"/>
    <w:rsid w:val="003D0FCE"/>
    <w:rsid w:val="003D3B16"/>
    <w:rsid w:val="003D4215"/>
    <w:rsid w:val="003D6F66"/>
    <w:rsid w:val="003E1F18"/>
    <w:rsid w:val="003E41A1"/>
    <w:rsid w:val="003E66B1"/>
    <w:rsid w:val="003E6CB4"/>
    <w:rsid w:val="003F0F5E"/>
    <w:rsid w:val="003F0F7A"/>
    <w:rsid w:val="004030F0"/>
    <w:rsid w:val="00405B5B"/>
    <w:rsid w:val="0040719C"/>
    <w:rsid w:val="00407543"/>
    <w:rsid w:val="00407DF9"/>
    <w:rsid w:val="00413297"/>
    <w:rsid w:val="004134D4"/>
    <w:rsid w:val="00414BAC"/>
    <w:rsid w:val="00416468"/>
    <w:rsid w:val="004203E4"/>
    <w:rsid w:val="00424F9A"/>
    <w:rsid w:val="00432056"/>
    <w:rsid w:val="00433070"/>
    <w:rsid w:val="0043310C"/>
    <w:rsid w:val="00435192"/>
    <w:rsid w:val="004425CA"/>
    <w:rsid w:val="004431CE"/>
    <w:rsid w:val="00445FBA"/>
    <w:rsid w:val="00446422"/>
    <w:rsid w:val="004478DC"/>
    <w:rsid w:val="00451CE5"/>
    <w:rsid w:val="00452544"/>
    <w:rsid w:val="00453302"/>
    <w:rsid w:val="004560DC"/>
    <w:rsid w:val="004563E1"/>
    <w:rsid w:val="00456826"/>
    <w:rsid w:val="00457069"/>
    <w:rsid w:val="00457397"/>
    <w:rsid w:val="004586C3"/>
    <w:rsid w:val="00464321"/>
    <w:rsid w:val="00466774"/>
    <w:rsid w:val="00466B40"/>
    <w:rsid w:val="00466E56"/>
    <w:rsid w:val="00467F33"/>
    <w:rsid w:val="00472A34"/>
    <w:rsid w:val="00474D45"/>
    <w:rsid w:val="00476874"/>
    <w:rsid w:val="0047750C"/>
    <w:rsid w:val="00477813"/>
    <w:rsid w:val="00481043"/>
    <w:rsid w:val="004817E4"/>
    <w:rsid w:val="00492611"/>
    <w:rsid w:val="00492620"/>
    <w:rsid w:val="004932A6"/>
    <w:rsid w:val="004950D4"/>
    <w:rsid w:val="00495766"/>
    <w:rsid w:val="004A2D0C"/>
    <w:rsid w:val="004A36F2"/>
    <w:rsid w:val="004A37C7"/>
    <w:rsid w:val="004A3832"/>
    <w:rsid w:val="004A500E"/>
    <w:rsid w:val="004A677F"/>
    <w:rsid w:val="004A6CA6"/>
    <w:rsid w:val="004B7790"/>
    <w:rsid w:val="004C0F93"/>
    <w:rsid w:val="004C1822"/>
    <w:rsid w:val="004C47D5"/>
    <w:rsid w:val="004C5B03"/>
    <w:rsid w:val="004D05D4"/>
    <w:rsid w:val="004D1655"/>
    <w:rsid w:val="004D21BE"/>
    <w:rsid w:val="004D274F"/>
    <w:rsid w:val="004D35A6"/>
    <w:rsid w:val="004D408B"/>
    <w:rsid w:val="004D4281"/>
    <w:rsid w:val="004D5384"/>
    <w:rsid w:val="004E08B7"/>
    <w:rsid w:val="004E4912"/>
    <w:rsid w:val="004E6775"/>
    <w:rsid w:val="004F207F"/>
    <w:rsid w:val="004F4C3C"/>
    <w:rsid w:val="004F6617"/>
    <w:rsid w:val="00501134"/>
    <w:rsid w:val="005017C8"/>
    <w:rsid w:val="00504D1D"/>
    <w:rsid w:val="005127CC"/>
    <w:rsid w:val="00512B63"/>
    <w:rsid w:val="00513C63"/>
    <w:rsid w:val="00514489"/>
    <w:rsid w:val="00515A64"/>
    <w:rsid w:val="0051AFEC"/>
    <w:rsid w:val="005261F5"/>
    <w:rsid w:val="005325B4"/>
    <w:rsid w:val="00532DEA"/>
    <w:rsid w:val="005330D5"/>
    <w:rsid w:val="00541177"/>
    <w:rsid w:val="0054411C"/>
    <w:rsid w:val="00545083"/>
    <w:rsid w:val="0054F621"/>
    <w:rsid w:val="005510D0"/>
    <w:rsid w:val="005564FD"/>
    <w:rsid w:val="005657A6"/>
    <w:rsid w:val="00565F27"/>
    <w:rsid w:val="00571A80"/>
    <w:rsid w:val="00572BF4"/>
    <w:rsid w:val="0057552A"/>
    <w:rsid w:val="005756BE"/>
    <w:rsid w:val="0058235E"/>
    <w:rsid w:val="00584677"/>
    <w:rsid w:val="00584EA0"/>
    <w:rsid w:val="00587B66"/>
    <w:rsid w:val="00591FDE"/>
    <w:rsid w:val="005972B3"/>
    <w:rsid w:val="005A474F"/>
    <w:rsid w:val="005A49A8"/>
    <w:rsid w:val="005A7A1C"/>
    <w:rsid w:val="005B1607"/>
    <w:rsid w:val="005B1C6C"/>
    <w:rsid w:val="005B23D9"/>
    <w:rsid w:val="005B3426"/>
    <w:rsid w:val="005B4D21"/>
    <w:rsid w:val="005B67DF"/>
    <w:rsid w:val="005C0942"/>
    <w:rsid w:val="005C1354"/>
    <w:rsid w:val="005C14D0"/>
    <w:rsid w:val="005C3268"/>
    <w:rsid w:val="005D0BD5"/>
    <w:rsid w:val="005D108F"/>
    <w:rsid w:val="005D2423"/>
    <w:rsid w:val="005D3A74"/>
    <w:rsid w:val="005D6852"/>
    <w:rsid w:val="005D6B71"/>
    <w:rsid w:val="005D6D4A"/>
    <w:rsid w:val="005D6E44"/>
    <w:rsid w:val="005E1854"/>
    <w:rsid w:val="005E25E8"/>
    <w:rsid w:val="005E2D30"/>
    <w:rsid w:val="005E3A20"/>
    <w:rsid w:val="005E4C2F"/>
    <w:rsid w:val="005E57E0"/>
    <w:rsid w:val="005F09D7"/>
    <w:rsid w:val="005F3376"/>
    <w:rsid w:val="005F3A5A"/>
    <w:rsid w:val="006034CA"/>
    <w:rsid w:val="00605FD5"/>
    <w:rsid w:val="0060677A"/>
    <w:rsid w:val="00606A4A"/>
    <w:rsid w:val="006071FF"/>
    <w:rsid w:val="00617E20"/>
    <w:rsid w:val="00620E5C"/>
    <w:rsid w:val="00623C97"/>
    <w:rsid w:val="006245D8"/>
    <w:rsid w:val="00627B9C"/>
    <w:rsid w:val="00634411"/>
    <w:rsid w:val="0063465B"/>
    <w:rsid w:val="00636172"/>
    <w:rsid w:val="00636269"/>
    <w:rsid w:val="00643B06"/>
    <w:rsid w:val="00645071"/>
    <w:rsid w:val="00650A8C"/>
    <w:rsid w:val="00661391"/>
    <w:rsid w:val="006644C2"/>
    <w:rsid w:val="006657C2"/>
    <w:rsid w:val="00665C92"/>
    <w:rsid w:val="006678DC"/>
    <w:rsid w:val="00670E8F"/>
    <w:rsid w:val="00672FA3"/>
    <w:rsid w:val="00672FC3"/>
    <w:rsid w:val="00674EB0"/>
    <w:rsid w:val="00680B98"/>
    <w:rsid w:val="00681C99"/>
    <w:rsid w:val="00681CD4"/>
    <w:rsid w:val="00681E83"/>
    <w:rsid w:val="006A0389"/>
    <w:rsid w:val="006A0D9C"/>
    <w:rsid w:val="006A4497"/>
    <w:rsid w:val="006A4BF9"/>
    <w:rsid w:val="006A4EAE"/>
    <w:rsid w:val="006A5FC7"/>
    <w:rsid w:val="006B3AF6"/>
    <w:rsid w:val="006B3C50"/>
    <w:rsid w:val="006B6FA0"/>
    <w:rsid w:val="006C544F"/>
    <w:rsid w:val="006CBEE2"/>
    <w:rsid w:val="006D0096"/>
    <w:rsid w:val="006D03E6"/>
    <w:rsid w:val="006D1DF8"/>
    <w:rsid w:val="006D26B8"/>
    <w:rsid w:val="006D2FFF"/>
    <w:rsid w:val="006D3299"/>
    <w:rsid w:val="006D3A3F"/>
    <w:rsid w:val="006D538A"/>
    <w:rsid w:val="006D68A7"/>
    <w:rsid w:val="006D7A85"/>
    <w:rsid w:val="006E50B6"/>
    <w:rsid w:val="006E5C1D"/>
    <w:rsid w:val="006F25E0"/>
    <w:rsid w:val="006F3063"/>
    <w:rsid w:val="006F7949"/>
    <w:rsid w:val="006F9C4B"/>
    <w:rsid w:val="007004C9"/>
    <w:rsid w:val="00700EBD"/>
    <w:rsid w:val="007078FA"/>
    <w:rsid w:val="00713F16"/>
    <w:rsid w:val="00716677"/>
    <w:rsid w:val="007217F6"/>
    <w:rsid w:val="00722BB5"/>
    <w:rsid w:val="00723026"/>
    <w:rsid w:val="00724AC5"/>
    <w:rsid w:val="007251D8"/>
    <w:rsid w:val="00725D89"/>
    <w:rsid w:val="00730C2D"/>
    <w:rsid w:val="0073106B"/>
    <w:rsid w:val="00732591"/>
    <w:rsid w:val="0073414B"/>
    <w:rsid w:val="00736A81"/>
    <w:rsid w:val="00736C63"/>
    <w:rsid w:val="0074196C"/>
    <w:rsid w:val="00743E91"/>
    <w:rsid w:val="00747065"/>
    <w:rsid w:val="0075088C"/>
    <w:rsid w:val="00751326"/>
    <w:rsid w:val="00752CED"/>
    <w:rsid w:val="007569FA"/>
    <w:rsid w:val="00757232"/>
    <w:rsid w:val="007663F7"/>
    <w:rsid w:val="00771174"/>
    <w:rsid w:val="00772E0A"/>
    <w:rsid w:val="00777ACC"/>
    <w:rsid w:val="00784860"/>
    <w:rsid w:val="00786557"/>
    <w:rsid w:val="00786CCA"/>
    <w:rsid w:val="007913D9"/>
    <w:rsid w:val="00794B1C"/>
    <w:rsid w:val="00796F87"/>
    <w:rsid w:val="007A035C"/>
    <w:rsid w:val="007A3D47"/>
    <w:rsid w:val="007A4A0A"/>
    <w:rsid w:val="007A7C15"/>
    <w:rsid w:val="007B02C4"/>
    <w:rsid w:val="007B2989"/>
    <w:rsid w:val="007C32A1"/>
    <w:rsid w:val="007C563F"/>
    <w:rsid w:val="007C66B6"/>
    <w:rsid w:val="007C7E6E"/>
    <w:rsid w:val="007D4D0B"/>
    <w:rsid w:val="007E11F6"/>
    <w:rsid w:val="007E2799"/>
    <w:rsid w:val="007E52E3"/>
    <w:rsid w:val="007E6B26"/>
    <w:rsid w:val="007F1CC9"/>
    <w:rsid w:val="007F36A6"/>
    <w:rsid w:val="007F3CB6"/>
    <w:rsid w:val="007F503F"/>
    <w:rsid w:val="00800852"/>
    <w:rsid w:val="00800C81"/>
    <w:rsid w:val="0080106B"/>
    <w:rsid w:val="0080267B"/>
    <w:rsid w:val="008038DD"/>
    <w:rsid w:val="00810C07"/>
    <w:rsid w:val="00810C53"/>
    <w:rsid w:val="00811AF4"/>
    <w:rsid w:val="00811C1D"/>
    <w:rsid w:val="0081312B"/>
    <w:rsid w:val="008138D9"/>
    <w:rsid w:val="00816A45"/>
    <w:rsid w:val="00821C70"/>
    <w:rsid w:val="00821F5C"/>
    <w:rsid w:val="008255BF"/>
    <w:rsid w:val="008257AC"/>
    <w:rsid w:val="00825CCE"/>
    <w:rsid w:val="008308DD"/>
    <w:rsid w:val="00832D43"/>
    <w:rsid w:val="008335B1"/>
    <w:rsid w:val="00840979"/>
    <w:rsid w:val="00841792"/>
    <w:rsid w:val="00842C29"/>
    <w:rsid w:val="00844FF7"/>
    <w:rsid w:val="00851E8A"/>
    <w:rsid w:val="00852F19"/>
    <w:rsid w:val="00856BE6"/>
    <w:rsid w:val="008577B2"/>
    <w:rsid w:val="00857E5D"/>
    <w:rsid w:val="00860261"/>
    <w:rsid w:val="00864422"/>
    <w:rsid w:val="008645E0"/>
    <w:rsid w:val="00873617"/>
    <w:rsid w:val="008746CA"/>
    <w:rsid w:val="00876693"/>
    <w:rsid w:val="00883D1F"/>
    <w:rsid w:val="00884218"/>
    <w:rsid w:val="00890448"/>
    <w:rsid w:val="00894D8D"/>
    <w:rsid w:val="008A13C7"/>
    <w:rsid w:val="008A3069"/>
    <w:rsid w:val="008A3140"/>
    <w:rsid w:val="008A595F"/>
    <w:rsid w:val="008B04D0"/>
    <w:rsid w:val="008B05F6"/>
    <w:rsid w:val="008B09DA"/>
    <w:rsid w:val="008B59F7"/>
    <w:rsid w:val="008B5D08"/>
    <w:rsid w:val="008B6C63"/>
    <w:rsid w:val="008C04A1"/>
    <w:rsid w:val="008C0EEF"/>
    <w:rsid w:val="008C4893"/>
    <w:rsid w:val="008C4A75"/>
    <w:rsid w:val="008C5B94"/>
    <w:rsid w:val="008C75A3"/>
    <w:rsid w:val="008D3FCA"/>
    <w:rsid w:val="008D4E33"/>
    <w:rsid w:val="008D4EDA"/>
    <w:rsid w:val="008D5FE3"/>
    <w:rsid w:val="008D64D8"/>
    <w:rsid w:val="008E0E7A"/>
    <w:rsid w:val="008E31A9"/>
    <w:rsid w:val="008F0AA3"/>
    <w:rsid w:val="008F5172"/>
    <w:rsid w:val="009009BA"/>
    <w:rsid w:val="00900FE2"/>
    <w:rsid w:val="00901642"/>
    <w:rsid w:val="009036B3"/>
    <w:rsid w:val="0091353F"/>
    <w:rsid w:val="0091477A"/>
    <w:rsid w:val="00914CA2"/>
    <w:rsid w:val="0092058A"/>
    <w:rsid w:val="00921B46"/>
    <w:rsid w:val="00923CE0"/>
    <w:rsid w:val="00923E7A"/>
    <w:rsid w:val="009256FC"/>
    <w:rsid w:val="00935FB4"/>
    <w:rsid w:val="00936C03"/>
    <w:rsid w:val="00936DC0"/>
    <w:rsid w:val="00937278"/>
    <w:rsid w:val="00942001"/>
    <w:rsid w:val="0094309E"/>
    <w:rsid w:val="009444A9"/>
    <w:rsid w:val="009519AD"/>
    <w:rsid w:val="0095390B"/>
    <w:rsid w:val="00954B5A"/>
    <w:rsid w:val="00961223"/>
    <w:rsid w:val="00962629"/>
    <w:rsid w:val="0096375A"/>
    <w:rsid w:val="0096635C"/>
    <w:rsid w:val="00970AE1"/>
    <w:rsid w:val="00971394"/>
    <w:rsid w:val="00971B94"/>
    <w:rsid w:val="009723B2"/>
    <w:rsid w:val="0097298C"/>
    <w:rsid w:val="009746C4"/>
    <w:rsid w:val="00975D33"/>
    <w:rsid w:val="00976819"/>
    <w:rsid w:val="00982F50"/>
    <w:rsid w:val="00983F70"/>
    <w:rsid w:val="00984426"/>
    <w:rsid w:val="00984E99"/>
    <w:rsid w:val="009A0593"/>
    <w:rsid w:val="009A416E"/>
    <w:rsid w:val="009A43A0"/>
    <w:rsid w:val="009B044B"/>
    <w:rsid w:val="009B10D5"/>
    <w:rsid w:val="009B1977"/>
    <w:rsid w:val="009B1CBD"/>
    <w:rsid w:val="009B4956"/>
    <w:rsid w:val="009B55E5"/>
    <w:rsid w:val="009B7649"/>
    <w:rsid w:val="009C33F5"/>
    <w:rsid w:val="009C4455"/>
    <w:rsid w:val="009C4DE0"/>
    <w:rsid w:val="009D2140"/>
    <w:rsid w:val="009D47D4"/>
    <w:rsid w:val="009E064B"/>
    <w:rsid w:val="009E2D83"/>
    <w:rsid w:val="009E4760"/>
    <w:rsid w:val="009E7569"/>
    <w:rsid w:val="009E7D4C"/>
    <w:rsid w:val="009F0B01"/>
    <w:rsid w:val="009F449E"/>
    <w:rsid w:val="00A002BC"/>
    <w:rsid w:val="00A00D49"/>
    <w:rsid w:val="00A0184B"/>
    <w:rsid w:val="00A02338"/>
    <w:rsid w:val="00A025C7"/>
    <w:rsid w:val="00A03C79"/>
    <w:rsid w:val="00A044B4"/>
    <w:rsid w:val="00A04770"/>
    <w:rsid w:val="00A054BD"/>
    <w:rsid w:val="00A131DB"/>
    <w:rsid w:val="00A16643"/>
    <w:rsid w:val="00A21580"/>
    <w:rsid w:val="00A226AE"/>
    <w:rsid w:val="00A23981"/>
    <w:rsid w:val="00A34AAC"/>
    <w:rsid w:val="00A36072"/>
    <w:rsid w:val="00A36E49"/>
    <w:rsid w:val="00A542EF"/>
    <w:rsid w:val="00A54C56"/>
    <w:rsid w:val="00A55BDC"/>
    <w:rsid w:val="00A56CBC"/>
    <w:rsid w:val="00A57429"/>
    <w:rsid w:val="00A577B4"/>
    <w:rsid w:val="00A61EFD"/>
    <w:rsid w:val="00A660F1"/>
    <w:rsid w:val="00A66432"/>
    <w:rsid w:val="00A672AC"/>
    <w:rsid w:val="00A675FD"/>
    <w:rsid w:val="00A67E24"/>
    <w:rsid w:val="00A74B6F"/>
    <w:rsid w:val="00A80639"/>
    <w:rsid w:val="00A80E51"/>
    <w:rsid w:val="00A8206B"/>
    <w:rsid w:val="00A941FB"/>
    <w:rsid w:val="00AA23E7"/>
    <w:rsid w:val="00AA3545"/>
    <w:rsid w:val="00AA5849"/>
    <w:rsid w:val="00AA670F"/>
    <w:rsid w:val="00AA7BBE"/>
    <w:rsid w:val="00AB2548"/>
    <w:rsid w:val="00AB5745"/>
    <w:rsid w:val="00AB60A6"/>
    <w:rsid w:val="00AB687E"/>
    <w:rsid w:val="00AC0CC4"/>
    <w:rsid w:val="00AC14FD"/>
    <w:rsid w:val="00AC3876"/>
    <w:rsid w:val="00AC4F63"/>
    <w:rsid w:val="00AC71AF"/>
    <w:rsid w:val="00AD0722"/>
    <w:rsid w:val="00AD3B42"/>
    <w:rsid w:val="00AD4D41"/>
    <w:rsid w:val="00AD7EDC"/>
    <w:rsid w:val="00AE027A"/>
    <w:rsid w:val="00AE0A8B"/>
    <w:rsid w:val="00AE1A5F"/>
    <w:rsid w:val="00AE2952"/>
    <w:rsid w:val="00AE7839"/>
    <w:rsid w:val="00AF05B0"/>
    <w:rsid w:val="00AF61B4"/>
    <w:rsid w:val="00AF79C9"/>
    <w:rsid w:val="00B00698"/>
    <w:rsid w:val="00B01911"/>
    <w:rsid w:val="00B063A3"/>
    <w:rsid w:val="00B075D9"/>
    <w:rsid w:val="00B13DB1"/>
    <w:rsid w:val="00B212EA"/>
    <w:rsid w:val="00B2174D"/>
    <w:rsid w:val="00B21B27"/>
    <w:rsid w:val="00B23D87"/>
    <w:rsid w:val="00B255BD"/>
    <w:rsid w:val="00B26493"/>
    <w:rsid w:val="00B34554"/>
    <w:rsid w:val="00B350B6"/>
    <w:rsid w:val="00B364B4"/>
    <w:rsid w:val="00B4109D"/>
    <w:rsid w:val="00B4322C"/>
    <w:rsid w:val="00B450FC"/>
    <w:rsid w:val="00B46543"/>
    <w:rsid w:val="00B47968"/>
    <w:rsid w:val="00B503BF"/>
    <w:rsid w:val="00B51048"/>
    <w:rsid w:val="00B60E80"/>
    <w:rsid w:val="00B620EE"/>
    <w:rsid w:val="00B62CE9"/>
    <w:rsid w:val="00B735FD"/>
    <w:rsid w:val="00B7571C"/>
    <w:rsid w:val="00B760CC"/>
    <w:rsid w:val="00B777B2"/>
    <w:rsid w:val="00B80BEE"/>
    <w:rsid w:val="00B8103F"/>
    <w:rsid w:val="00B83C10"/>
    <w:rsid w:val="00B85637"/>
    <w:rsid w:val="00B86ECD"/>
    <w:rsid w:val="00B90DE0"/>
    <w:rsid w:val="00B921C6"/>
    <w:rsid w:val="00B96964"/>
    <w:rsid w:val="00BA1BA7"/>
    <w:rsid w:val="00BA345E"/>
    <w:rsid w:val="00BA3ACA"/>
    <w:rsid w:val="00BA4170"/>
    <w:rsid w:val="00BA6E1E"/>
    <w:rsid w:val="00BA711A"/>
    <w:rsid w:val="00BB1111"/>
    <w:rsid w:val="00BC06E4"/>
    <w:rsid w:val="00BC0FE9"/>
    <w:rsid w:val="00BC17F2"/>
    <w:rsid w:val="00BC1E23"/>
    <w:rsid w:val="00BC2107"/>
    <w:rsid w:val="00BC2DEE"/>
    <w:rsid w:val="00BC7C77"/>
    <w:rsid w:val="00BD3194"/>
    <w:rsid w:val="00BD4B06"/>
    <w:rsid w:val="00BE0929"/>
    <w:rsid w:val="00BE4044"/>
    <w:rsid w:val="00BE4519"/>
    <w:rsid w:val="00BF0164"/>
    <w:rsid w:val="00BF16EC"/>
    <w:rsid w:val="00BF1B8A"/>
    <w:rsid w:val="00BF28BA"/>
    <w:rsid w:val="00BF5061"/>
    <w:rsid w:val="00C079C9"/>
    <w:rsid w:val="00C11D92"/>
    <w:rsid w:val="00C23324"/>
    <w:rsid w:val="00C248A2"/>
    <w:rsid w:val="00C25BD7"/>
    <w:rsid w:val="00C26DC3"/>
    <w:rsid w:val="00C31B22"/>
    <w:rsid w:val="00C326CD"/>
    <w:rsid w:val="00C34951"/>
    <w:rsid w:val="00C35A3D"/>
    <w:rsid w:val="00C4095C"/>
    <w:rsid w:val="00C42E60"/>
    <w:rsid w:val="00C43EE3"/>
    <w:rsid w:val="00C5080D"/>
    <w:rsid w:val="00C52407"/>
    <w:rsid w:val="00C570CA"/>
    <w:rsid w:val="00C62626"/>
    <w:rsid w:val="00C63D7C"/>
    <w:rsid w:val="00C65995"/>
    <w:rsid w:val="00C67E6C"/>
    <w:rsid w:val="00C77F56"/>
    <w:rsid w:val="00C823FB"/>
    <w:rsid w:val="00C839AF"/>
    <w:rsid w:val="00C865D8"/>
    <w:rsid w:val="00C87C2F"/>
    <w:rsid w:val="00C92FE3"/>
    <w:rsid w:val="00C95E15"/>
    <w:rsid w:val="00C966FB"/>
    <w:rsid w:val="00CA11F1"/>
    <w:rsid w:val="00CA2086"/>
    <w:rsid w:val="00CA2887"/>
    <w:rsid w:val="00CA4E7F"/>
    <w:rsid w:val="00CA535F"/>
    <w:rsid w:val="00CA75E2"/>
    <w:rsid w:val="00CB25EF"/>
    <w:rsid w:val="00CB5411"/>
    <w:rsid w:val="00CC4AAB"/>
    <w:rsid w:val="00CC78F7"/>
    <w:rsid w:val="00CC7B8C"/>
    <w:rsid w:val="00CD01DA"/>
    <w:rsid w:val="00CD0D70"/>
    <w:rsid w:val="00CD500F"/>
    <w:rsid w:val="00CD6E6E"/>
    <w:rsid w:val="00CE1E71"/>
    <w:rsid w:val="00CE20F6"/>
    <w:rsid w:val="00CF020E"/>
    <w:rsid w:val="00CF2E9C"/>
    <w:rsid w:val="00CF4F01"/>
    <w:rsid w:val="00CF5C18"/>
    <w:rsid w:val="00D007DB"/>
    <w:rsid w:val="00D00E0A"/>
    <w:rsid w:val="00D01245"/>
    <w:rsid w:val="00D03F32"/>
    <w:rsid w:val="00D0413E"/>
    <w:rsid w:val="00D06DFF"/>
    <w:rsid w:val="00D114EF"/>
    <w:rsid w:val="00D12D0A"/>
    <w:rsid w:val="00D17B32"/>
    <w:rsid w:val="00D17B3D"/>
    <w:rsid w:val="00D217C6"/>
    <w:rsid w:val="00D225F3"/>
    <w:rsid w:val="00D23250"/>
    <w:rsid w:val="00D23452"/>
    <w:rsid w:val="00D246DA"/>
    <w:rsid w:val="00D24CC2"/>
    <w:rsid w:val="00D26B12"/>
    <w:rsid w:val="00D314E0"/>
    <w:rsid w:val="00D315CF"/>
    <w:rsid w:val="00D31833"/>
    <w:rsid w:val="00D31BF3"/>
    <w:rsid w:val="00D41D48"/>
    <w:rsid w:val="00D4437D"/>
    <w:rsid w:val="00D44D54"/>
    <w:rsid w:val="00D46291"/>
    <w:rsid w:val="00D47E9F"/>
    <w:rsid w:val="00D5139B"/>
    <w:rsid w:val="00D514D2"/>
    <w:rsid w:val="00D51E0B"/>
    <w:rsid w:val="00D51F74"/>
    <w:rsid w:val="00D5207F"/>
    <w:rsid w:val="00D52436"/>
    <w:rsid w:val="00D54350"/>
    <w:rsid w:val="00D55478"/>
    <w:rsid w:val="00D55E96"/>
    <w:rsid w:val="00D630B5"/>
    <w:rsid w:val="00D66C30"/>
    <w:rsid w:val="00D70990"/>
    <w:rsid w:val="00D7120F"/>
    <w:rsid w:val="00D72408"/>
    <w:rsid w:val="00D752E7"/>
    <w:rsid w:val="00D80DBE"/>
    <w:rsid w:val="00D83D44"/>
    <w:rsid w:val="00D85C7E"/>
    <w:rsid w:val="00D87E7F"/>
    <w:rsid w:val="00D94107"/>
    <w:rsid w:val="00D95EAE"/>
    <w:rsid w:val="00DA1A5A"/>
    <w:rsid w:val="00DA2C8B"/>
    <w:rsid w:val="00DA2E46"/>
    <w:rsid w:val="00DA45EB"/>
    <w:rsid w:val="00DA7022"/>
    <w:rsid w:val="00DA72A6"/>
    <w:rsid w:val="00DA7344"/>
    <w:rsid w:val="00DB0899"/>
    <w:rsid w:val="00DB3146"/>
    <w:rsid w:val="00DB6B03"/>
    <w:rsid w:val="00DB6D8D"/>
    <w:rsid w:val="00DB7471"/>
    <w:rsid w:val="00DB794E"/>
    <w:rsid w:val="00DB7EFC"/>
    <w:rsid w:val="00DC1D59"/>
    <w:rsid w:val="00DC1FFD"/>
    <w:rsid w:val="00DC5637"/>
    <w:rsid w:val="00DC5879"/>
    <w:rsid w:val="00DD2D63"/>
    <w:rsid w:val="00DD4C1A"/>
    <w:rsid w:val="00DD503D"/>
    <w:rsid w:val="00DD5887"/>
    <w:rsid w:val="00DE1798"/>
    <w:rsid w:val="00DE3B63"/>
    <w:rsid w:val="00DE6387"/>
    <w:rsid w:val="00DE75BC"/>
    <w:rsid w:val="00DF22C8"/>
    <w:rsid w:val="00DF2AFD"/>
    <w:rsid w:val="00DF5E3D"/>
    <w:rsid w:val="00E016A0"/>
    <w:rsid w:val="00E02A8B"/>
    <w:rsid w:val="00E10275"/>
    <w:rsid w:val="00E107E0"/>
    <w:rsid w:val="00E13DB9"/>
    <w:rsid w:val="00E17BAF"/>
    <w:rsid w:val="00E20F0A"/>
    <w:rsid w:val="00E22F1E"/>
    <w:rsid w:val="00E244C3"/>
    <w:rsid w:val="00E3367E"/>
    <w:rsid w:val="00E35B29"/>
    <w:rsid w:val="00E36363"/>
    <w:rsid w:val="00E458A9"/>
    <w:rsid w:val="00E5227B"/>
    <w:rsid w:val="00E52B90"/>
    <w:rsid w:val="00E54863"/>
    <w:rsid w:val="00E674C7"/>
    <w:rsid w:val="00E705EE"/>
    <w:rsid w:val="00E707FA"/>
    <w:rsid w:val="00E716B0"/>
    <w:rsid w:val="00E7188B"/>
    <w:rsid w:val="00E74B7C"/>
    <w:rsid w:val="00E74E00"/>
    <w:rsid w:val="00E80EA6"/>
    <w:rsid w:val="00E8148A"/>
    <w:rsid w:val="00E826A0"/>
    <w:rsid w:val="00E83231"/>
    <w:rsid w:val="00E86824"/>
    <w:rsid w:val="00E87156"/>
    <w:rsid w:val="00E878F4"/>
    <w:rsid w:val="00E87C13"/>
    <w:rsid w:val="00E90F0D"/>
    <w:rsid w:val="00E94520"/>
    <w:rsid w:val="00E95F19"/>
    <w:rsid w:val="00E96068"/>
    <w:rsid w:val="00E964E9"/>
    <w:rsid w:val="00EA0020"/>
    <w:rsid w:val="00EA1D74"/>
    <w:rsid w:val="00EA2CC7"/>
    <w:rsid w:val="00EA3491"/>
    <w:rsid w:val="00EA3FC6"/>
    <w:rsid w:val="00EA52F3"/>
    <w:rsid w:val="00EA7092"/>
    <w:rsid w:val="00EA7C1C"/>
    <w:rsid w:val="00EA7FD1"/>
    <w:rsid w:val="00EC0342"/>
    <w:rsid w:val="00EC1386"/>
    <w:rsid w:val="00EC2569"/>
    <w:rsid w:val="00EC2E7D"/>
    <w:rsid w:val="00EC6A9C"/>
    <w:rsid w:val="00EC6D1A"/>
    <w:rsid w:val="00EC79D9"/>
    <w:rsid w:val="00EE3959"/>
    <w:rsid w:val="00EE686C"/>
    <w:rsid w:val="00EE6F46"/>
    <w:rsid w:val="00EF21DD"/>
    <w:rsid w:val="00EF3A28"/>
    <w:rsid w:val="00EF70F3"/>
    <w:rsid w:val="00F20288"/>
    <w:rsid w:val="00F21035"/>
    <w:rsid w:val="00F21D90"/>
    <w:rsid w:val="00F257A2"/>
    <w:rsid w:val="00F269FD"/>
    <w:rsid w:val="00F27FE3"/>
    <w:rsid w:val="00F32A2C"/>
    <w:rsid w:val="00F34DFA"/>
    <w:rsid w:val="00F406FC"/>
    <w:rsid w:val="00F50C7D"/>
    <w:rsid w:val="00F5298E"/>
    <w:rsid w:val="00F545EA"/>
    <w:rsid w:val="00F57B0F"/>
    <w:rsid w:val="00F619DE"/>
    <w:rsid w:val="00F67B89"/>
    <w:rsid w:val="00F70983"/>
    <w:rsid w:val="00F713E9"/>
    <w:rsid w:val="00F71A3A"/>
    <w:rsid w:val="00F721BB"/>
    <w:rsid w:val="00F75667"/>
    <w:rsid w:val="00F85F6C"/>
    <w:rsid w:val="00F86BCA"/>
    <w:rsid w:val="00F8786B"/>
    <w:rsid w:val="00F909A4"/>
    <w:rsid w:val="00F91D2D"/>
    <w:rsid w:val="00F93F59"/>
    <w:rsid w:val="00F94367"/>
    <w:rsid w:val="00F9608D"/>
    <w:rsid w:val="00F9623B"/>
    <w:rsid w:val="00F968BD"/>
    <w:rsid w:val="00F97080"/>
    <w:rsid w:val="00FA2D2F"/>
    <w:rsid w:val="00FA37B9"/>
    <w:rsid w:val="00FA560C"/>
    <w:rsid w:val="00FA7216"/>
    <w:rsid w:val="00FB0B99"/>
    <w:rsid w:val="00FB1BE1"/>
    <w:rsid w:val="00FB24C2"/>
    <w:rsid w:val="00FB2862"/>
    <w:rsid w:val="00FB3828"/>
    <w:rsid w:val="00FB4E47"/>
    <w:rsid w:val="00FC291B"/>
    <w:rsid w:val="00FC5389"/>
    <w:rsid w:val="00FC54CB"/>
    <w:rsid w:val="00FC5B15"/>
    <w:rsid w:val="00FC6D6B"/>
    <w:rsid w:val="00FC78F5"/>
    <w:rsid w:val="00FC7A4D"/>
    <w:rsid w:val="00FD4DF0"/>
    <w:rsid w:val="00FE2024"/>
    <w:rsid w:val="00FE656B"/>
    <w:rsid w:val="00FE7987"/>
    <w:rsid w:val="00FF2F8B"/>
    <w:rsid w:val="00FF4F37"/>
    <w:rsid w:val="00FF7256"/>
    <w:rsid w:val="01070B76"/>
    <w:rsid w:val="012F534E"/>
    <w:rsid w:val="01414FBF"/>
    <w:rsid w:val="015724FB"/>
    <w:rsid w:val="01AE08BC"/>
    <w:rsid w:val="01B70AA3"/>
    <w:rsid w:val="01BB3250"/>
    <w:rsid w:val="01DE4357"/>
    <w:rsid w:val="01E0AA82"/>
    <w:rsid w:val="01F8541E"/>
    <w:rsid w:val="020D36BC"/>
    <w:rsid w:val="0212503C"/>
    <w:rsid w:val="02719EC1"/>
    <w:rsid w:val="027C681B"/>
    <w:rsid w:val="0290E14C"/>
    <w:rsid w:val="0297F9F9"/>
    <w:rsid w:val="02C99E8A"/>
    <w:rsid w:val="02EE3B6D"/>
    <w:rsid w:val="02F3F19C"/>
    <w:rsid w:val="0321AE20"/>
    <w:rsid w:val="032F47FF"/>
    <w:rsid w:val="033B9361"/>
    <w:rsid w:val="0351A550"/>
    <w:rsid w:val="0369D3C9"/>
    <w:rsid w:val="0376EEB1"/>
    <w:rsid w:val="03B7B258"/>
    <w:rsid w:val="03CB43CF"/>
    <w:rsid w:val="03E6240C"/>
    <w:rsid w:val="03E7BBC0"/>
    <w:rsid w:val="03FF75D6"/>
    <w:rsid w:val="040D6F22"/>
    <w:rsid w:val="0450FFB4"/>
    <w:rsid w:val="04715ACB"/>
    <w:rsid w:val="049C1B9B"/>
    <w:rsid w:val="04F2E29F"/>
    <w:rsid w:val="0598F3B1"/>
    <w:rsid w:val="05B61F68"/>
    <w:rsid w:val="05C34E79"/>
    <w:rsid w:val="05C73694"/>
    <w:rsid w:val="05D05454"/>
    <w:rsid w:val="05DA3957"/>
    <w:rsid w:val="0610F939"/>
    <w:rsid w:val="0625DC2F"/>
    <w:rsid w:val="063A3298"/>
    <w:rsid w:val="065DA352"/>
    <w:rsid w:val="06D44479"/>
    <w:rsid w:val="07AC4B1F"/>
    <w:rsid w:val="07DB897B"/>
    <w:rsid w:val="08034CB0"/>
    <w:rsid w:val="0805B46F"/>
    <w:rsid w:val="0810499F"/>
    <w:rsid w:val="084262A9"/>
    <w:rsid w:val="086FFA12"/>
    <w:rsid w:val="0873458E"/>
    <w:rsid w:val="08E0E045"/>
    <w:rsid w:val="0903701A"/>
    <w:rsid w:val="092137F0"/>
    <w:rsid w:val="094D7733"/>
    <w:rsid w:val="095419AA"/>
    <w:rsid w:val="095FDF4A"/>
    <w:rsid w:val="0978F464"/>
    <w:rsid w:val="09B58697"/>
    <w:rsid w:val="09DAFC6F"/>
    <w:rsid w:val="09EB3834"/>
    <w:rsid w:val="09ED2D46"/>
    <w:rsid w:val="0A05E487"/>
    <w:rsid w:val="0A14673D"/>
    <w:rsid w:val="0A72A5FF"/>
    <w:rsid w:val="0A8E8675"/>
    <w:rsid w:val="0AA4B39C"/>
    <w:rsid w:val="0AD5F291"/>
    <w:rsid w:val="0B39C2DE"/>
    <w:rsid w:val="0B61D076"/>
    <w:rsid w:val="0B820096"/>
    <w:rsid w:val="0B8A3071"/>
    <w:rsid w:val="0BBB5E4A"/>
    <w:rsid w:val="0BC2E3BC"/>
    <w:rsid w:val="0C3CE1FD"/>
    <w:rsid w:val="0CB5EA11"/>
    <w:rsid w:val="0CBBCE2B"/>
    <w:rsid w:val="0CD6D181"/>
    <w:rsid w:val="0CFF31D1"/>
    <w:rsid w:val="0D15D3CC"/>
    <w:rsid w:val="0D24CE08"/>
    <w:rsid w:val="0D311107"/>
    <w:rsid w:val="0D362529"/>
    <w:rsid w:val="0DB7B651"/>
    <w:rsid w:val="0DD2C993"/>
    <w:rsid w:val="0DE2968D"/>
    <w:rsid w:val="0DEB7417"/>
    <w:rsid w:val="0E11D566"/>
    <w:rsid w:val="0E261D99"/>
    <w:rsid w:val="0E73ED5C"/>
    <w:rsid w:val="0E89ADF2"/>
    <w:rsid w:val="0E99E88B"/>
    <w:rsid w:val="0EBB38E5"/>
    <w:rsid w:val="0ED33326"/>
    <w:rsid w:val="0EE00A72"/>
    <w:rsid w:val="0F095B40"/>
    <w:rsid w:val="0F168DAF"/>
    <w:rsid w:val="0F2ACE3C"/>
    <w:rsid w:val="0F56F35B"/>
    <w:rsid w:val="0F7312F4"/>
    <w:rsid w:val="0FAD3E8F"/>
    <w:rsid w:val="0FAF0D92"/>
    <w:rsid w:val="0FB3BEBF"/>
    <w:rsid w:val="0FC067E4"/>
    <w:rsid w:val="1021FA77"/>
    <w:rsid w:val="103585B9"/>
    <w:rsid w:val="1038E8BB"/>
    <w:rsid w:val="10410817"/>
    <w:rsid w:val="10488A03"/>
    <w:rsid w:val="1084BC7B"/>
    <w:rsid w:val="108FEC67"/>
    <w:rsid w:val="10B145D1"/>
    <w:rsid w:val="10EC1794"/>
    <w:rsid w:val="1105D622"/>
    <w:rsid w:val="1115FB71"/>
    <w:rsid w:val="112C7A94"/>
    <w:rsid w:val="1137F9D5"/>
    <w:rsid w:val="1144ECAF"/>
    <w:rsid w:val="1163B675"/>
    <w:rsid w:val="11A05C89"/>
    <w:rsid w:val="11E4D18C"/>
    <w:rsid w:val="11E65211"/>
    <w:rsid w:val="11F2D9A7"/>
    <w:rsid w:val="11F85B75"/>
    <w:rsid w:val="11FB0763"/>
    <w:rsid w:val="12137C10"/>
    <w:rsid w:val="12333B45"/>
    <w:rsid w:val="1246B72A"/>
    <w:rsid w:val="125040D9"/>
    <w:rsid w:val="12A39011"/>
    <w:rsid w:val="12A71D7F"/>
    <w:rsid w:val="12B382B3"/>
    <w:rsid w:val="12BD70BE"/>
    <w:rsid w:val="12DDA96A"/>
    <w:rsid w:val="12E80C2E"/>
    <w:rsid w:val="12FB8802"/>
    <w:rsid w:val="1329EB5C"/>
    <w:rsid w:val="133FB3BF"/>
    <w:rsid w:val="135671DD"/>
    <w:rsid w:val="1376828B"/>
    <w:rsid w:val="1392D750"/>
    <w:rsid w:val="139C27CE"/>
    <w:rsid w:val="142364F0"/>
    <w:rsid w:val="143F6072"/>
    <w:rsid w:val="14A27CB6"/>
    <w:rsid w:val="14A5B1E2"/>
    <w:rsid w:val="14EC8013"/>
    <w:rsid w:val="1518D8D2"/>
    <w:rsid w:val="15288DFB"/>
    <w:rsid w:val="153BB6D5"/>
    <w:rsid w:val="155BCCE1"/>
    <w:rsid w:val="159A9A4F"/>
    <w:rsid w:val="15DB30D3"/>
    <w:rsid w:val="15F9C056"/>
    <w:rsid w:val="16246A79"/>
    <w:rsid w:val="1630AA4E"/>
    <w:rsid w:val="16D498CD"/>
    <w:rsid w:val="1758845D"/>
    <w:rsid w:val="178DFC18"/>
    <w:rsid w:val="17BB7CA8"/>
    <w:rsid w:val="17C54F22"/>
    <w:rsid w:val="17C8DCDC"/>
    <w:rsid w:val="17C97F4A"/>
    <w:rsid w:val="17CC0BEA"/>
    <w:rsid w:val="17EB8221"/>
    <w:rsid w:val="18200BBC"/>
    <w:rsid w:val="183620BF"/>
    <w:rsid w:val="184510D3"/>
    <w:rsid w:val="19027BFF"/>
    <w:rsid w:val="1909554D"/>
    <w:rsid w:val="19200DB5"/>
    <w:rsid w:val="192634A1"/>
    <w:rsid w:val="194912CB"/>
    <w:rsid w:val="195254B3"/>
    <w:rsid w:val="19611CC2"/>
    <w:rsid w:val="19F5905C"/>
    <w:rsid w:val="1A003B38"/>
    <w:rsid w:val="1A044185"/>
    <w:rsid w:val="1A121CF4"/>
    <w:rsid w:val="1A186657"/>
    <w:rsid w:val="1A2DD08E"/>
    <w:rsid w:val="1A4037B1"/>
    <w:rsid w:val="1A414324"/>
    <w:rsid w:val="1A744B6B"/>
    <w:rsid w:val="1A825892"/>
    <w:rsid w:val="1AA7F138"/>
    <w:rsid w:val="1AC238EF"/>
    <w:rsid w:val="1B2D2BEE"/>
    <w:rsid w:val="1B329F02"/>
    <w:rsid w:val="1B5146CF"/>
    <w:rsid w:val="1B8AB3D9"/>
    <w:rsid w:val="1BAC087D"/>
    <w:rsid w:val="1BC9A0EF"/>
    <w:rsid w:val="1BCCF42B"/>
    <w:rsid w:val="1C0D9B0C"/>
    <w:rsid w:val="1C1515CB"/>
    <w:rsid w:val="1C3B81E4"/>
    <w:rsid w:val="1C43C199"/>
    <w:rsid w:val="1C5CE886"/>
    <w:rsid w:val="1C7A4014"/>
    <w:rsid w:val="1C887516"/>
    <w:rsid w:val="1C943590"/>
    <w:rsid w:val="1CAF8F0C"/>
    <w:rsid w:val="1CBFEBDF"/>
    <w:rsid w:val="1D03CFAB"/>
    <w:rsid w:val="1D11ED79"/>
    <w:rsid w:val="1D3AAD52"/>
    <w:rsid w:val="1D3F195B"/>
    <w:rsid w:val="1D52F188"/>
    <w:rsid w:val="1D57F7FA"/>
    <w:rsid w:val="1E4276A3"/>
    <w:rsid w:val="1E631CA8"/>
    <w:rsid w:val="1EAFD922"/>
    <w:rsid w:val="1ED2C571"/>
    <w:rsid w:val="1EED8DFC"/>
    <w:rsid w:val="1EFBA54F"/>
    <w:rsid w:val="1F002999"/>
    <w:rsid w:val="1F59D05C"/>
    <w:rsid w:val="1F76271B"/>
    <w:rsid w:val="1F978D54"/>
    <w:rsid w:val="1FEA917A"/>
    <w:rsid w:val="2012B3FA"/>
    <w:rsid w:val="202A18C7"/>
    <w:rsid w:val="205708BE"/>
    <w:rsid w:val="206509E4"/>
    <w:rsid w:val="2065142F"/>
    <w:rsid w:val="209BF9FA"/>
    <w:rsid w:val="213148DA"/>
    <w:rsid w:val="21473A71"/>
    <w:rsid w:val="218F3ABA"/>
    <w:rsid w:val="21EF676A"/>
    <w:rsid w:val="21FBA500"/>
    <w:rsid w:val="2214FCEB"/>
    <w:rsid w:val="224A3100"/>
    <w:rsid w:val="225461ED"/>
    <w:rsid w:val="2255AAFB"/>
    <w:rsid w:val="2258EFA9"/>
    <w:rsid w:val="2263EEA9"/>
    <w:rsid w:val="22787CF3"/>
    <w:rsid w:val="22AFBA13"/>
    <w:rsid w:val="22B20013"/>
    <w:rsid w:val="22BBD586"/>
    <w:rsid w:val="22DA7E21"/>
    <w:rsid w:val="22E77A23"/>
    <w:rsid w:val="23018D8D"/>
    <w:rsid w:val="231A33E6"/>
    <w:rsid w:val="239CE1E1"/>
    <w:rsid w:val="23D5549D"/>
    <w:rsid w:val="23FA9D7B"/>
    <w:rsid w:val="23FD56C1"/>
    <w:rsid w:val="23FF32B7"/>
    <w:rsid w:val="240166A7"/>
    <w:rsid w:val="24174DBA"/>
    <w:rsid w:val="24226370"/>
    <w:rsid w:val="24328C15"/>
    <w:rsid w:val="24377FA1"/>
    <w:rsid w:val="24392576"/>
    <w:rsid w:val="2448EC84"/>
    <w:rsid w:val="2468E99C"/>
    <w:rsid w:val="24C63272"/>
    <w:rsid w:val="24EF647D"/>
    <w:rsid w:val="250C81ED"/>
    <w:rsid w:val="2539D4CF"/>
    <w:rsid w:val="255CCAAD"/>
    <w:rsid w:val="25750EA9"/>
    <w:rsid w:val="259A7EAC"/>
    <w:rsid w:val="25BC2229"/>
    <w:rsid w:val="25BCEB0F"/>
    <w:rsid w:val="26169125"/>
    <w:rsid w:val="261B38C9"/>
    <w:rsid w:val="26201078"/>
    <w:rsid w:val="26455953"/>
    <w:rsid w:val="26542BF5"/>
    <w:rsid w:val="265602D1"/>
    <w:rsid w:val="265F7F64"/>
    <w:rsid w:val="266568CB"/>
    <w:rsid w:val="266C364D"/>
    <w:rsid w:val="26CA56B2"/>
    <w:rsid w:val="26CB56C4"/>
    <w:rsid w:val="26D482A3"/>
    <w:rsid w:val="2701CF9C"/>
    <w:rsid w:val="27578A5C"/>
    <w:rsid w:val="275EBABA"/>
    <w:rsid w:val="27954071"/>
    <w:rsid w:val="27BA9EC7"/>
    <w:rsid w:val="280250FC"/>
    <w:rsid w:val="28141543"/>
    <w:rsid w:val="2820814C"/>
    <w:rsid w:val="282B9EEF"/>
    <w:rsid w:val="2830C3CF"/>
    <w:rsid w:val="285EA8EE"/>
    <w:rsid w:val="2897F9B9"/>
    <w:rsid w:val="289F79D3"/>
    <w:rsid w:val="28A0A09E"/>
    <w:rsid w:val="28A76F23"/>
    <w:rsid w:val="28AC3BB1"/>
    <w:rsid w:val="28AD8F3E"/>
    <w:rsid w:val="28BC79DE"/>
    <w:rsid w:val="28D80A9B"/>
    <w:rsid w:val="28F477DB"/>
    <w:rsid w:val="2933BE76"/>
    <w:rsid w:val="2946A36B"/>
    <w:rsid w:val="29584C1E"/>
    <w:rsid w:val="29639765"/>
    <w:rsid w:val="296941E6"/>
    <w:rsid w:val="29AB06FC"/>
    <w:rsid w:val="29C3EC13"/>
    <w:rsid w:val="29C4169B"/>
    <w:rsid w:val="29CAF997"/>
    <w:rsid w:val="29CF784E"/>
    <w:rsid w:val="29D117E9"/>
    <w:rsid w:val="29DEEBF9"/>
    <w:rsid w:val="29FE40F8"/>
    <w:rsid w:val="2A2CF274"/>
    <w:rsid w:val="2A608831"/>
    <w:rsid w:val="2A6626F4"/>
    <w:rsid w:val="2ACCD914"/>
    <w:rsid w:val="2ADAE713"/>
    <w:rsid w:val="2AF70E48"/>
    <w:rsid w:val="2B0A0E16"/>
    <w:rsid w:val="2B0C7F36"/>
    <w:rsid w:val="2B55B54B"/>
    <w:rsid w:val="2B5CF274"/>
    <w:rsid w:val="2B624D67"/>
    <w:rsid w:val="2B9E599F"/>
    <w:rsid w:val="2BC0E952"/>
    <w:rsid w:val="2BDA0155"/>
    <w:rsid w:val="2C081D02"/>
    <w:rsid w:val="2C4E9A8F"/>
    <w:rsid w:val="2C609621"/>
    <w:rsid w:val="2C65082F"/>
    <w:rsid w:val="2CA498AD"/>
    <w:rsid w:val="2CC63697"/>
    <w:rsid w:val="2CF666F8"/>
    <w:rsid w:val="2D315180"/>
    <w:rsid w:val="2D6650AB"/>
    <w:rsid w:val="2D7B8742"/>
    <w:rsid w:val="2D7FEB70"/>
    <w:rsid w:val="2D965A17"/>
    <w:rsid w:val="2DB1716E"/>
    <w:rsid w:val="2DC96D6D"/>
    <w:rsid w:val="2DE9FCBB"/>
    <w:rsid w:val="2DF130AE"/>
    <w:rsid w:val="2DFDB9D6"/>
    <w:rsid w:val="2E038D99"/>
    <w:rsid w:val="2E08485E"/>
    <w:rsid w:val="2E0F3E0D"/>
    <w:rsid w:val="2E43C58A"/>
    <w:rsid w:val="2E6CBFAD"/>
    <w:rsid w:val="2E9D1221"/>
    <w:rsid w:val="2EB889BE"/>
    <w:rsid w:val="2EC7E6B8"/>
    <w:rsid w:val="2F0E5498"/>
    <w:rsid w:val="2F15947B"/>
    <w:rsid w:val="2F1757A3"/>
    <w:rsid w:val="2F2DDACE"/>
    <w:rsid w:val="2F5B0E3F"/>
    <w:rsid w:val="2F7A0F27"/>
    <w:rsid w:val="2F886549"/>
    <w:rsid w:val="2F9CA8F1"/>
    <w:rsid w:val="2FB9BFDF"/>
    <w:rsid w:val="30033024"/>
    <w:rsid w:val="302B7B94"/>
    <w:rsid w:val="30441F6D"/>
    <w:rsid w:val="30767950"/>
    <w:rsid w:val="309F3C58"/>
    <w:rsid w:val="30A23773"/>
    <w:rsid w:val="30AA24F9"/>
    <w:rsid w:val="30AD499D"/>
    <w:rsid w:val="31388CF3"/>
    <w:rsid w:val="3154E22A"/>
    <w:rsid w:val="31A74624"/>
    <w:rsid w:val="31E65F1D"/>
    <w:rsid w:val="321143DC"/>
    <w:rsid w:val="3217E056"/>
    <w:rsid w:val="32389B20"/>
    <w:rsid w:val="32753377"/>
    <w:rsid w:val="327A75DA"/>
    <w:rsid w:val="32C8779E"/>
    <w:rsid w:val="32D475D6"/>
    <w:rsid w:val="32F37C36"/>
    <w:rsid w:val="3318AA7B"/>
    <w:rsid w:val="331D2C1B"/>
    <w:rsid w:val="336C1470"/>
    <w:rsid w:val="338FF671"/>
    <w:rsid w:val="33EE421A"/>
    <w:rsid w:val="34076A77"/>
    <w:rsid w:val="343029D5"/>
    <w:rsid w:val="3437B678"/>
    <w:rsid w:val="345D7BC1"/>
    <w:rsid w:val="346CE4CE"/>
    <w:rsid w:val="347069A2"/>
    <w:rsid w:val="35377632"/>
    <w:rsid w:val="3543EF99"/>
    <w:rsid w:val="35458726"/>
    <w:rsid w:val="3557A6EB"/>
    <w:rsid w:val="361044AB"/>
    <w:rsid w:val="36261A21"/>
    <w:rsid w:val="369781D0"/>
    <w:rsid w:val="36A01E60"/>
    <w:rsid w:val="36A420EB"/>
    <w:rsid w:val="36B78ED4"/>
    <w:rsid w:val="36B894AE"/>
    <w:rsid w:val="36CBD72C"/>
    <w:rsid w:val="371D3723"/>
    <w:rsid w:val="378F216C"/>
    <w:rsid w:val="378FA5F8"/>
    <w:rsid w:val="37AD93EF"/>
    <w:rsid w:val="37E03ABC"/>
    <w:rsid w:val="37F2A1F6"/>
    <w:rsid w:val="382CEE03"/>
    <w:rsid w:val="38300D40"/>
    <w:rsid w:val="3850DB01"/>
    <w:rsid w:val="3874F28B"/>
    <w:rsid w:val="38802C0A"/>
    <w:rsid w:val="3883A3E0"/>
    <w:rsid w:val="388ADE4C"/>
    <w:rsid w:val="38945C77"/>
    <w:rsid w:val="389653AD"/>
    <w:rsid w:val="38B8574E"/>
    <w:rsid w:val="38D28531"/>
    <w:rsid w:val="3979A531"/>
    <w:rsid w:val="39F63B34"/>
    <w:rsid w:val="3A3B2027"/>
    <w:rsid w:val="3A519273"/>
    <w:rsid w:val="3AAA54A0"/>
    <w:rsid w:val="3AD84EF3"/>
    <w:rsid w:val="3AEDC47B"/>
    <w:rsid w:val="3AFA45B5"/>
    <w:rsid w:val="3B22E93F"/>
    <w:rsid w:val="3B32051C"/>
    <w:rsid w:val="3B678425"/>
    <w:rsid w:val="3BB00435"/>
    <w:rsid w:val="3C2D6DA5"/>
    <w:rsid w:val="3C7FF657"/>
    <w:rsid w:val="3CAE0D6B"/>
    <w:rsid w:val="3CC05894"/>
    <w:rsid w:val="3CC13B1B"/>
    <w:rsid w:val="3D0CF58C"/>
    <w:rsid w:val="3D1A417D"/>
    <w:rsid w:val="3D24E571"/>
    <w:rsid w:val="3D34E7E4"/>
    <w:rsid w:val="3D47A74D"/>
    <w:rsid w:val="3D7F13D5"/>
    <w:rsid w:val="3D80BA7B"/>
    <w:rsid w:val="3DBF838E"/>
    <w:rsid w:val="3DC5E3DC"/>
    <w:rsid w:val="3DD60C60"/>
    <w:rsid w:val="3DFC7337"/>
    <w:rsid w:val="3DFED9C4"/>
    <w:rsid w:val="3E058561"/>
    <w:rsid w:val="3E554881"/>
    <w:rsid w:val="3E70D9EE"/>
    <w:rsid w:val="3E7B73CA"/>
    <w:rsid w:val="3EC71100"/>
    <w:rsid w:val="3ED18BC4"/>
    <w:rsid w:val="3F0A3DBB"/>
    <w:rsid w:val="3F0C810D"/>
    <w:rsid w:val="3F6EA0D7"/>
    <w:rsid w:val="3F90EA27"/>
    <w:rsid w:val="3FBD56A8"/>
    <w:rsid w:val="3FEE1AE7"/>
    <w:rsid w:val="403EAE9B"/>
    <w:rsid w:val="4073A83B"/>
    <w:rsid w:val="407F8F9A"/>
    <w:rsid w:val="409C5AA3"/>
    <w:rsid w:val="40A60E1C"/>
    <w:rsid w:val="40D1839A"/>
    <w:rsid w:val="414150D6"/>
    <w:rsid w:val="41799108"/>
    <w:rsid w:val="41817E8E"/>
    <w:rsid w:val="41A13FAF"/>
    <w:rsid w:val="41C2FF41"/>
    <w:rsid w:val="41C6FD0A"/>
    <w:rsid w:val="41D8F033"/>
    <w:rsid w:val="421206CE"/>
    <w:rsid w:val="424EA9D0"/>
    <w:rsid w:val="425DEC91"/>
    <w:rsid w:val="4277810A"/>
    <w:rsid w:val="4371E5FC"/>
    <w:rsid w:val="43785B87"/>
    <w:rsid w:val="43AA79E3"/>
    <w:rsid w:val="43AC24C5"/>
    <w:rsid w:val="43C1E56B"/>
    <w:rsid w:val="43DFF230"/>
    <w:rsid w:val="43E0D648"/>
    <w:rsid w:val="43EA09CA"/>
    <w:rsid w:val="4409F887"/>
    <w:rsid w:val="441420E1"/>
    <w:rsid w:val="444FA6D0"/>
    <w:rsid w:val="445514F2"/>
    <w:rsid w:val="448DCAF1"/>
    <w:rsid w:val="44BBDF82"/>
    <w:rsid w:val="44CF2EF1"/>
    <w:rsid w:val="44CFF0D7"/>
    <w:rsid w:val="44ECBE12"/>
    <w:rsid w:val="4500B4DE"/>
    <w:rsid w:val="451AD0CB"/>
    <w:rsid w:val="451EE5F0"/>
    <w:rsid w:val="4547F526"/>
    <w:rsid w:val="454E94FB"/>
    <w:rsid w:val="45570091"/>
    <w:rsid w:val="457BC291"/>
    <w:rsid w:val="45ADF404"/>
    <w:rsid w:val="45C6453E"/>
    <w:rsid w:val="4602AF94"/>
    <w:rsid w:val="4654EFB1"/>
    <w:rsid w:val="467A4DBB"/>
    <w:rsid w:val="467FB924"/>
    <w:rsid w:val="46EADD01"/>
    <w:rsid w:val="4711647B"/>
    <w:rsid w:val="471612E6"/>
    <w:rsid w:val="472870EC"/>
    <w:rsid w:val="47323A0A"/>
    <w:rsid w:val="4741BA7F"/>
    <w:rsid w:val="4747137A"/>
    <w:rsid w:val="476E7B8E"/>
    <w:rsid w:val="477BDC76"/>
    <w:rsid w:val="478A2D20"/>
    <w:rsid w:val="47AF6EFD"/>
    <w:rsid w:val="47BEF15D"/>
    <w:rsid w:val="47CC53F3"/>
    <w:rsid w:val="480C4821"/>
    <w:rsid w:val="48A471FD"/>
    <w:rsid w:val="48BDEB54"/>
    <w:rsid w:val="48D309CA"/>
    <w:rsid w:val="48EBEDA4"/>
    <w:rsid w:val="4906734B"/>
    <w:rsid w:val="4922BE8A"/>
    <w:rsid w:val="495AEDB3"/>
    <w:rsid w:val="4973A187"/>
    <w:rsid w:val="49A50FFD"/>
    <w:rsid w:val="49F33768"/>
    <w:rsid w:val="4A0C47EB"/>
    <w:rsid w:val="4A581532"/>
    <w:rsid w:val="4A64D069"/>
    <w:rsid w:val="4A8CCFC5"/>
    <w:rsid w:val="4AE6279B"/>
    <w:rsid w:val="4B1FEFCA"/>
    <w:rsid w:val="4B24A477"/>
    <w:rsid w:val="4B343DE7"/>
    <w:rsid w:val="4B3909E5"/>
    <w:rsid w:val="4B66F730"/>
    <w:rsid w:val="4B6AD96A"/>
    <w:rsid w:val="4B732ECB"/>
    <w:rsid w:val="4B9D1224"/>
    <w:rsid w:val="4BEB0415"/>
    <w:rsid w:val="4BFA6E89"/>
    <w:rsid w:val="4C2C70FD"/>
    <w:rsid w:val="4C3A2DE0"/>
    <w:rsid w:val="4C59511F"/>
    <w:rsid w:val="4C643651"/>
    <w:rsid w:val="4C797805"/>
    <w:rsid w:val="4CA7D6B6"/>
    <w:rsid w:val="4CDD9600"/>
    <w:rsid w:val="4D0A3B5D"/>
    <w:rsid w:val="4D526609"/>
    <w:rsid w:val="4DB56CD1"/>
    <w:rsid w:val="4DF2F9C0"/>
    <w:rsid w:val="4E33AEDE"/>
    <w:rsid w:val="4E5E6DC0"/>
    <w:rsid w:val="4E6E7DC0"/>
    <w:rsid w:val="4E6E8F72"/>
    <w:rsid w:val="4ECC35A8"/>
    <w:rsid w:val="4ED00FA6"/>
    <w:rsid w:val="4EFF97DE"/>
    <w:rsid w:val="4F3A9C2C"/>
    <w:rsid w:val="4F3C5ADB"/>
    <w:rsid w:val="4F747981"/>
    <w:rsid w:val="4F835441"/>
    <w:rsid w:val="4F9719BC"/>
    <w:rsid w:val="4FBBA43F"/>
    <w:rsid w:val="4FDF7778"/>
    <w:rsid w:val="500A5FD3"/>
    <w:rsid w:val="50142478"/>
    <w:rsid w:val="501D5B4F"/>
    <w:rsid w:val="5039FFD6"/>
    <w:rsid w:val="50656711"/>
    <w:rsid w:val="507896EA"/>
    <w:rsid w:val="508AA7CD"/>
    <w:rsid w:val="50921728"/>
    <w:rsid w:val="509ED631"/>
    <w:rsid w:val="50CC5C93"/>
    <w:rsid w:val="50D82B3C"/>
    <w:rsid w:val="519F1EA9"/>
    <w:rsid w:val="51A63034"/>
    <w:rsid w:val="521A9437"/>
    <w:rsid w:val="5245E258"/>
    <w:rsid w:val="52708049"/>
    <w:rsid w:val="5277DB62"/>
    <w:rsid w:val="5281CEB8"/>
    <w:rsid w:val="52821173"/>
    <w:rsid w:val="5285248D"/>
    <w:rsid w:val="52ADA02D"/>
    <w:rsid w:val="52B52EDC"/>
    <w:rsid w:val="52C942E9"/>
    <w:rsid w:val="53348352"/>
    <w:rsid w:val="5343215E"/>
    <w:rsid w:val="53562840"/>
    <w:rsid w:val="5371DD87"/>
    <w:rsid w:val="53A51D3B"/>
    <w:rsid w:val="53C20DFA"/>
    <w:rsid w:val="54220BC6"/>
    <w:rsid w:val="54C197D8"/>
    <w:rsid w:val="54C75594"/>
    <w:rsid w:val="54D2317D"/>
    <w:rsid w:val="54DDD0F6"/>
    <w:rsid w:val="54E8725C"/>
    <w:rsid w:val="55026A24"/>
    <w:rsid w:val="552774FE"/>
    <w:rsid w:val="55592C8E"/>
    <w:rsid w:val="55661291"/>
    <w:rsid w:val="558EAAC4"/>
    <w:rsid w:val="55A188A3"/>
    <w:rsid w:val="55BD8344"/>
    <w:rsid w:val="55EE4BE1"/>
    <w:rsid w:val="55F07D43"/>
    <w:rsid w:val="5615833F"/>
    <w:rsid w:val="5617E294"/>
    <w:rsid w:val="5650357D"/>
    <w:rsid w:val="56B5F6BB"/>
    <w:rsid w:val="56BDF2A4"/>
    <w:rsid w:val="56C27F52"/>
    <w:rsid w:val="56CE9493"/>
    <w:rsid w:val="5717CC6D"/>
    <w:rsid w:val="573793AA"/>
    <w:rsid w:val="57B1E223"/>
    <w:rsid w:val="57C7EBB0"/>
    <w:rsid w:val="581A5D97"/>
    <w:rsid w:val="58D390C9"/>
    <w:rsid w:val="58E2B079"/>
    <w:rsid w:val="58F5162E"/>
    <w:rsid w:val="590934AB"/>
    <w:rsid w:val="593863D5"/>
    <w:rsid w:val="595150D3"/>
    <w:rsid w:val="59B14219"/>
    <w:rsid w:val="59B92B3F"/>
    <w:rsid w:val="59FF26BA"/>
    <w:rsid w:val="5A07760A"/>
    <w:rsid w:val="5A1286C5"/>
    <w:rsid w:val="5A16BA52"/>
    <w:rsid w:val="5A32999E"/>
    <w:rsid w:val="5A640A2C"/>
    <w:rsid w:val="5A77CD05"/>
    <w:rsid w:val="5A790E41"/>
    <w:rsid w:val="5A954087"/>
    <w:rsid w:val="5AB6CBC0"/>
    <w:rsid w:val="5B074C0A"/>
    <w:rsid w:val="5B0C24A9"/>
    <w:rsid w:val="5B13F1A9"/>
    <w:rsid w:val="5B17EE82"/>
    <w:rsid w:val="5B18CBCF"/>
    <w:rsid w:val="5B496F84"/>
    <w:rsid w:val="5B506266"/>
    <w:rsid w:val="5B6E70C7"/>
    <w:rsid w:val="5B875A57"/>
    <w:rsid w:val="5B9AC9AD"/>
    <w:rsid w:val="5BADA935"/>
    <w:rsid w:val="5BCD0F1A"/>
    <w:rsid w:val="5C191F34"/>
    <w:rsid w:val="5C2DB870"/>
    <w:rsid w:val="5C4B67B6"/>
    <w:rsid w:val="5CA17BB8"/>
    <w:rsid w:val="5CDB6598"/>
    <w:rsid w:val="5D262A5D"/>
    <w:rsid w:val="5D2AD151"/>
    <w:rsid w:val="5D4FB6B5"/>
    <w:rsid w:val="5D5539B6"/>
    <w:rsid w:val="5D65F8A1"/>
    <w:rsid w:val="5DB274F8"/>
    <w:rsid w:val="5DD427C6"/>
    <w:rsid w:val="5DDFD0D6"/>
    <w:rsid w:val="5DF976E9"/>
    <w:rsid w:val="5E19DB7C"/>
    <w:rsid w:val="5E27D529"/>
    <w:rsid w:val="5E4E71EF"/>
    <w:rsid w:val="5E662E1B"/>
    <w:rsid w:val="5E9649FF"/>
    <w:rsid w:val="5EA8B288"/>
    <w:rsid w:val="5EB88106"/>
    <w:rsid w:val="5EC6B5CE"/>
    <w:rsid w:val="5EC8A300"/>
    <w:rsid w:val="5EDF8A2D"/>
    <w:rsid w:val="5F07CBE9"/>
    <w:rsid w:val="5F1AF0C4"/>
    <w:rsid w:val="5F2786DE"/>
    <w:rsid w:val="5F34D14A"/>
    <w:rsid w:val="5F4D8DD4"/>
    <w:rsid w:val="5F7EF2E9"/>
    <w:rsid w:val="5F8C8CB2"/>
    <w:rsid w:val="5FD0078A"/>
    <w:rsid w:val="600F3288"/>
    <w:rsid w:val="601FC1A3"/>
    <w:rsid w:val="603AC962"/>
    <w:rsid w:val="605846EE"/>
    <w:rsid w:val="6078D557"/>
    <w:rsid w:val="607944CB"/>
    <w:rsid w:val="60921D5F"/>
    <w:rsid w:val="60DE0AC6"/>
    <w:rsid w:val="60E4A2D1"/>
    <w:rsid w:val="60EF1631"/>
    <w:rsid w:val="61523259"/>
    <w:rsid w:val="6156CC8A"/>
    <w:rsid w:val="616F8236"/>
    <w:rsid w:val="6174C080"/>
    <w:rsid w:val="61794D99"/>
    <w:rsid w:val="617C5C57"/>
    <w:rsid w:val="61827DA7"/>
    <w:rsid w:val="618BA3C0"/>
    <w:rsid w:val="61A1C639"/>
    <w:rsid w:val="61AAAC62"/>
    <w:rsid w:val="61C42FD2"/>
    <w:rsid w:val="61D95B25"/>
    <w:rsid w:val="6205AEE8"/>
    <w:rsid w:val="6208D85A"/>
    <w:rsid w:val="62811ADE"/>
    <w:rsid w:val="62A2FD3A"/>
    <w:rsid w:val="62A78EE6"/>
    <w:rsid w:val="62E0C167"/>
    <w:rsid w:val="63185693"/>
    <w:rsid w:val="63196640"/>
    <w:rsid w:val="636AAA70"/>
    <w:rsid w:val="63752B86"/>
    <w:rsid w:val="63797866"/>
    <w:rsid w:val="638A08E2"/>
    <w:rsid w:val="639E1140"/>
    <w:rsid w:val="63CD523D"/>
    <w:rsid w:val="63E2C9D9"/>
    <w:rsid w:val="63F9B7BA"/>
    <w:rsid w:val="641C4393"/>
    <w:rsid w:val="6482FB2F"/>
    <w:rsid w:val="6488428E"/>
    <w:rsid w:val="64C8B4F7"/>
    <w:rsid w:val="64CB1461"/>
    <w:rsid w:val="657CBAC8"/>
    <w:rsid w:val="65B2BBC0"/>
    <w:rsid w:val="65CE8F56"/>
    <w:rsid w:val="65F4D8E5"/>
    <w:rsid w:val="662C358C"/>
    <w:rsid w:val="663ABD66"/>
    <w:rsid w:val="6678C579"/>
    <w:rsid w:val="6684E94A"/>
    <w:rsid w:val="669A2EB1"/>
    <w:rsid w:val="66C0A3F0"/>
    <w:rsid w:val="672391A9"/>
    <w:rsid w:val="6728BB13"/>
    <w:rsid w:val="672A0326"/>
    <w:rsid w:val="67341E6A"/>
    <w:rsid w:val="67A35627"/>
    <w:rsid w:val="67B8B599"/>
    <w:rsid w:val="67C7511B"/>
    <w:rsid w:val="67C8197C"/>
    <w:rsid w:val="681E183F"/>
    <w:rsid w:val="6821846D"/>
    <w:rsid w:val="68339434"/>
    <w:rsid w:val="6891A91C"/>
    <w:rsid w:val="68D76811"/>
    <w:rsid w:val="68DE79DF"/>
    <w:rsid w:val="6900F552"/>
    <w:rsid w:val="694EB943"/>
    <w:rsid w:val="6960CBBA"/>
    <w:rsid w:val="69664C1B"/>
    <w:rsid w:val="697A941B"/>
    <w:rsid w:val="69A70FCA"/>
    <w:rsid w:val="69E752F5"/>
    <w:rsid w:val="6A2F32D6"/>
    <w:rsid w:val="6A34CBA2"/>
    <w:rsid w:val="6A4F2B48"/>
    <w:rsid w:val="6A5B326B"/>
    <w:rsid w:val="6A682DE3"/>
    <w:rsid w:val="6A6CCF94"/>
    <w:rsid w:val="6A6F45F4"/>
    <w:rsid w:val="6AA4AD74"/>
    <w:rsid w:val="6AC52D97"/>
    <w:rsid w:val="6AD74256"/>
    <w:rsid w:val="6B04F10C"/>
    <w:rsid w:val="6B29B7CE"/>
    <w:rsid w:val="6B6B23CA"/>
    <w:rsid w:val="6B96A857"/>
    <w:rsid w:val="6BACA03A"/>
    <w:rsid w:val="6BBE209F"/>
    <w:rsid w:val="6BD77144"/>
    <w:rsid w:val="6BDB9A30"/>
    <w:rsid w:val="6BE303D9"/>
    <w:rsid w:val="6BF2DB1F"/>
    <w:rsid w:val="6C20C245"/>
    <w:rsid w:val="6C42143A"/>
    <w:rsid w:val="6C64A8ED"/>
    <w:rsid w:val="6C7A305D"/>
    <w:rsid w:val="6C8DC012"/>
    <w:rsid w:val="6CAD6F3D"/>
    <w:rsid w:val="6CB234DD"/>
    <w:rsid w:val="6CBA5CFC"/>
    <w:rsid w:val="6CE56D93"/>
    <w:rsid w:val="6CEE375F"/>
    <w:rsid w:val="6CF22445"/>
    <w:rsid w:val="6D09DD94"/>
    <w:rsid w:val="6D0EF20C"/>
    <w:rsid w:val="6D0F7C08"/>
    <w:rsid w:val="6D1EF3B7"/>
    <w:rsid w:val="6D3E36B3"/>
    <w:rsid w:val="6D5C2337"/>
    <w:rsid w:val="6D6DD3E8"/>
    <w:rsid w:val="6D7ED43A"/>
    <w:rsid w:val="6D85B10B"/>
    <w:rsid w:val="6D8EAB80"/>
    <w:rsid w:val="6D92D32D"/>
    <w:rsid w:val="6DDD1823"/>
    <w:rsid w:val="6E25A5BE"/>
    <w:rsid w:val="6E558041"/>
    <w:rsid w:val="6E6CAD6C"/>
    <w:rsid w:val="6E7EA89A"/>
    <w:rsid w:val="6E83A6D0"/>
    <w:rsid w:val="6EBC3B09"/>
    <w:rsid w:val="6EC35273"/>
    <w:rsid w:val="6EC8FD04"/>
    <w:rsid w:val="6EDD84C4"/>
    <w:rsid w:val="6F088EDB"/>
    <w:rsid w:val="6F5B475D"/>
    <w:rsid w:val="6F5EF63A"/>
    <w:rsid w:val="6F781E97"/>
    <w:rsid w:val="6FEA2395"/>
    <w:rsid w:val="701AA120"/>
    <w:rsid w:val="7032D64B"/>
    <w:rsid w:val="704029D0"/>
    <w:rsid w:val="706E0106"/>
    <w:rsid w:val="7084BC43"/>
    <w:rsid w:val="709FC30E"/>
    <w:rsid w:val="70B6290D"/>
    <w:rsid w:val="70CEA941"/>
    <w:rsid w:val="70DD9892"/>
    <w:rsid w:val="70E98BC4"/>
    <w:rsid w:val="7106DB48"/>
    <w:rsid w:val="711141FD"/>
    <w:rsid w:val="711D1663"/>
    <w:rsid w:val="718C3ABF"/>
    <w:rsid w:val="7197E741"/>
    <w:rsid w:val="71A3482B"/>
    <w:rsid w:val="71AB5ED3"/>
    <w:rsid w:val="71AE7AC7"/>
    <w:rsid w:val="71B6495C"/>
    <w:rsid w:val="71E9C87F"/>
    <w:rsid w:val="72242AC1"/>
    <w:rsid w:val="7228B521"/>
    <w:rsid w:val="72344CDE"/>
    <w:rsid w:val="72F60A4F"/>
    <w:rsid w:val="72FD5457"/>
    <w:rsid w:val="73128223"/>
    <w:rsid w:val="7334C9B3"/>
    <w:rsid w:val="735508DF"/>
    <w:rsid w:val="7370D5C8"/>
    <w:rsid w:val="73B0F0E5"/>
    <w:rsid w:val="73D97DB5"/>
    <w:rsid w:val="73EE15BE"/>
    <w:rsid w:val="7450E171"/>
    <w:rsid w:val="7487BF1C"/>
    <w:rsid w:val="74A72381"/>
    <w:rsid w:val="74AFA9FC"/>
    <w:rsid w:val="74B86964"/>
    <w:rsid w:val="74C551FB"/>
    <w:rsid w:val="74FCF824"/>
    <w:rsid w:val="7502D02E"/>
    <w:rsid w:val="754FDADB"/>
    <w:rsid w:val="75502559"/>
    <w:rsid w:val="756C0974"/>
    <w:rsid w:val="75FD6D87"/>
    <w:rsid w:val="761EFAFD"/>
    <w:rsid w:val="762B0D5C"/>
    <w:rsid w:val="76584932"/>
    <w:rsid w:val="765DDD23"/>
    <w:rsid w:val="766C6A75"/>
    <w:rsid w:val="76751294"/>
    <w:rsid w:val="7682A761"/>
    <w:rsid w:val="76977B33"/>
    <w:rsid w:val="76DCCD47"/>
    <w:rsid w:val="77136AF4"/>
    <w:rsid w:val="77255391"/>
    <w:rsid w:val="772FC37D"/>
    <w:rsid w:val="776AD20C"/>
    <w:rsid w:val="779FF3EE"/>
    <w:rsid w:val="77FFD84A"/>
    <w:rsid w:val="78CD2535"/>
    <w:rsid w:val="78D04F96"/>
    <w:rsid w:val="78D94D7D"/>
    <w:rsid w:val="78E9D0CB"/>
    <w:rsid w:val="79194DD3"/>
    <w:rsid w:val="79242FB6"/>
    <w:rsid w:val="79533A0A"/>
    <w:rsid w:val="7962CBAF"/>
    <w:rsid w:val="798B6105"/>
    <w:rsid w:val="79A85945"/>
    <w:rsid w:val="79AB7380"/>
    <w:rsid w:val="79BDEEB5"/>
    <w:rsid w:val="79C23022"/>
    <w:rsid w:val="79C8AB5F"/>
    <w:rsid w:val="7A2522E9"/>
    <w:rsid w:val="7A48EE16"/>
    <w:rsid w:val="7A796624"/>
    <w:rsid w:val="7A9BBF05"/>
    <w:rsid w:val="7AD3BA90"/>
    <w:rsid w:val="7AF36AD0"/>
    <w:rsid w:val="7B069480"/>
    <w:rsid w:val="7B16DB82"/>
    <w:rsid w:val="7B2164F4"/>
    <w:rsid w:val="7B2614C4"/>
    <w:rsid w:val="7B58F987"/>
    <w:rsid w:val="7B616140"/>
    <w:rsid w:val="7B80FEDB"/>
    <w:rsid w:val="7B83F179"/>
    <w:rsid w:val="7BB66F0A"/>
    <w:rsid w:val="7BC70F9D"/>
    <w:rsid w:val="7BDF5A65"/>
    <w:rsid w:val="7C1BD7BF"/>
    <w:rsid w:val="7C30F9CF"/>
    <w:rsid w:val="7C4EB73E"/>
    <w:rsid w:val="7C6166D1"/>
    <w:rsid w:val="7C8ADB20"/>
    <w:rsid w:val="7C8CC42D"/>
    <w:rsid w:val="7CCC33B4"/>
    <w:rsid w:val="7CF94805"/>
    <w:rsid w:val="7D05847B"/>
    <w:rsid w:val="7D0F0826"/>
    <w:rsid w:val="7D12488E"/>
    <w:rsid w:val="7D37BD62"/>
    <w:rsid w:val="7D4FB180"/>
    <w:rsid w:val="7D5D34BD"/>
    <w:rsid w:val="7D9DED37"/>
    <w:rsid w:val="7DA7BD6F"/>
    <w:rsid w:val="7DA8C2FF"/>
    <w:rsid w:val="7DAE9103"/>
    <w:rsid w:val="7DB57F6F"/>
    <w:rsid w:val="7DD98DE5"/>
    <w:rsid w:val="7DDE5EDA"/>
    <w:rsid w:val="7DE247C2"/>
    <w:rsid w:val="7DF0869F"/>
    <w:rsid w:val="7DFF294A"/>
    <w:rsid w:val="7E068A52"/>
    <w:rsid w:val="7E189373"/>
    <w:rsid w:val="7E38E2D4"/>
    <w:rsid w:val="7E3DA257"/>
    <w:rsid w:val="7E876209"/>
    <w:rsid w:val="7E88BAF7"/>
    <w:rsid w:val="7EC55801"/>
    <w:rsid w:val="7ED21431"/>
    <w:rsid w:val="7ED4FA1C"/>
    <w:rsid w:val="7EE10311"/>
    <w:rsid w:val="7EF0454C"/>
    <w:rsid w:val="7F0097B0"/>
    <w:rsid w:val="7F2A9EB4"/>
    <w:rsid w:val="7F4CD747"/>
    <w:rsid w:val="7F78D490"/>
    <w:rsid w:val="7F85317E"/>
    <w:rsid w:val="7F9C144E"/>
    <w:rsid w:val="7F9EC7D0"/>
    <w:rsid w:val="7FA1FC7A"/>
    <w:rsid w:val="7FB1D867"/>
    <w:rsid w:val="7FDF7BF9"/>
    <w:rsid w:val="7FF824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04F8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pPr>
      <w:keepNext/>
      <w:numPr>
        <w:numId w:val="2"/>
      </w:numPr>
      <w:spacing w:before="360" w:after="120" w:line="240" w:lineRule="auto"/>
      <w:jc w:val="both"/>
      <w:outlineLvl w:val="0"/>
    </w:pPr>
    <w:rPr>
      <w:rFonts w:ascii="Times New Roman" w:eastAsia="Times New Roman" w:hAnsi="Times New Roman" w:cs="Times New Roman"/>
      <w:b/>
      <w:bCs/>
      <w:smallCaps/>
      <w:sz w:val="24"/>
      <w:szCs w:val="28"/>
      <w:lang w:eastAsia="en-GB"/>
    </w:rPr>
  </w:style>
  <w:style w:type="paragraph" w:styleId="Heading2">
    <w:name w:val="heading 2"/>
    <w:basedOn w:val="Normal"/>
    <w:next w:val="Text1"/>
    <w:link w:val="Heading2Char"/>
    <w:uiPriority w:val="9"/>
    <w:unhideWhenUsed/>
    <w:qFormat/>
    <w:pPr>
      <w:keepNext/>
      <w:numPr>
        <w:ilvl w:val="1"/>
        <w:numId w:val="2"/>
      </w:numPr>
      <w:spacing w:before="120" w:after="120" w:line="240" w:lineRule="auto"/>
      <w:jc w:val="both"/>
      <w:outlineLvl w:val="1"/>
    </w:pPr>
    <w:rPr>
      <w:rFonts w:ascii="Times New Roman" w:eastAsia="Times New Roman" w:hAnsi="Times New Roman" w:cs="Times New Roman"/>
      <w:b/>
      <w:bCs/>
      <w:sz w:val="24"/>
      <w:szCs w:val="26"/>
      <w:lang w:eastAsia="en-GB"/>
    </w:rPr>
  </w:style>
  <w:style w:type="paragraph" w:styleId="Heading3">
    <w:name w:val="heading 3"/>
    <w:basedOn w:val="Normal"/>
    <w:next w:val="Text1"/>
    <w:link w:val="Heading3Char"/>
    <w:uiPriority w:val="9"/>
    <w:unhideWhenUsed/>
    <w:qFormat/>
    <w:pPr>
      <w:keepNext/>
      <w:numPr>
        <w:ilvl w:val="2"/>
        <w:numId w:val="2"/>
      </w:numPr>
      <w:spacing w:before="120" w:after="120" w:line="240" w:lineRule="auto"/>
      <w:jc w:val="both"/>
      <w:outlineLvl w:val="2"/>
    </w:pPr>
    <w:rPr>
      <w:rFonts w:ascii="Times New Roman" w:eastAsia="Times New Roman" w:hAnsi="Times New Roman" w:cs="Times New Roman"/>
      <w:bCs/>
      <w:i/>
      <w:sz w:val="24"/>
      <w:szCs w:val="20"/>
      <w:lang w:eastAsia="en-GB"/>
    </w:rPr>
  </w:style>
  <w:style w:type="paragraph" w:styleId="Heading4">
    <w:name w:val="heading 4"/>
    <w:basedOn w:val="Normal"/>
    <w:next w:val="Text1"/>
    <w:link w:val="Heading4Char"/>
    <w:uiPriority w:val="9"/>
    <w:unhideWhenUsed/>
    <w:qFormat/>
    <w:pPr>
      <w:keepNext/>
      <w:numPr>
        <w:ilvl w:val="3"/>
        <w:numId w:val="2"/>
      </w:numPr>
      <w:spacing w:before="120" w:after="120" w:line="240" w:lineRule="auto"/>
      <w:jc w:val="both"/>
      <w:outlineLvl w:val="3"/>
    </w:pPr>
    <w:rPr>
      <w:rFonts w:ascii="Times New Roman" w:eastAsia="Times New Roman" w:hAnsi="Times New Roman" w:cs="Times New Roman"/>
      <w:bCs/>
      <w:iCs/>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D66C3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val="bg-BG" w:eastAsia="en-GB"/>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val="bg-BG" w:eastAsia="en-GB"/>
    </w:rPr>
  </w:style>
  <w:style w:type="character" w:customStyle="1" w:styleId="Heading3Char">
    <w:name w:val="Heading 3 Char"/>
    <w:basedOn w:val="DefaultParagraphFont"/>
    <w:link w:val="Heading3"/>
    <w:uiPriority w:val="9"/>
    <w:rPr>
      <w:rFonts w:ascii="Times New Roman" w:eastAsia="Times New Roman" w:hAnsi="Times New Roman" w:cs="Times New Roman"/>
      <w:bCs/>
      <w:i/>
      <w:sz w:val="24"/>
      <w:szCs w:val="20"/>
      <w:lang w:val="bg-BG" w:eastAsia="en-GB"/>
    </w:rPr>
  </w:style>
  <w:style w:type="character" w:customStyle="1" w:styleId="Heading4Char">
    <w:name w:val="Heading 4 Char"/>
    <w:basedOn w:val="DefaultParagraphFont"/>
    <w:link w:val="Heading4"/>
    <w:uiPriority w:val="9"/>
    <w:rPr>
      <w:rFonts w:ascii="Times New Roman" w:eastAsia="Times New Roman" w:hAnsi="Times New Roman" w:cs="Times New Roman"/>
      <w:bCs/>
      <w:iCs/>
      <w:sz w:val="24"/>
      <w:szCs w:val="20"/>
      <w:lang w:val="bg-BG" w:eastAsia="en-GB"/>
    </w:rPr>
  </w:style>
  <w:style w:type="character" w:styleId="Hyperlink">
    <w:name w:val="Hyperlink"/>
    <w:uiPriority w:val="99"/>
    <w:rPr>
      <w:color w:val="0000FF"/>
      <w:u w:val="single"/>
    </w:rPr>
  </w:style>
  <w:style w:type="paragraph" w:styleId="FootnoteText">
    <w:name w:val="footnote text"/>
    <w:aliases w:val="Testo nota a piè di pagina_Rientro,stile 1,Footnote1,Footnote2,Footnote3,Footnote4,Footnote5,Footnote6,Footnote7,Footnote8,Footnote9,Footnote10,Footnote11,Footnote21,Footnote31,Footnote41,Footnote51,Footnote61,ft,fn,Reference"/>
    <w:basedOn w:val="Normal"/>
    <w:link w:val="FootnoteTextChar"/>
    <w:uiPriority w:val="99"/>
    <w:unhideWhenUsed/>
    <w:qFormat/>
    <w:rsid w:val="000A424B"/>
    <w:pPr>
      <w:spacing w:after="0" w:line="240" w:lineRule="auto"/>
      <w:ind w:left="60" w:hanging="60"/>
      <w:jc w:val="both"/>
    </w:pPr>
    <w:rPr>
      <w:rFonts w:ascii="Times New Roman" w:eastAsia="Times New Roman" w:hAnsi="Times New Roman" w:cs="Times New Roman"/>
      <w:sz w:val="20"/>
      <w:szCs w:val="20"/>
      <w:lang w:eastAsia="en-GB"/>
    </w:rPr>
  </w:style>
  <w:style w:type="character" w:customStyle="1" w:styleId="FootnoteTextChar">
    <w:name w:val="Footnote Text Char"/>
    <w:aliases w:val="Testo nota a piè di pagina_Rientro Char,stile 1 Char,Footnote1 Char,Footnote2 Char,Footnote3 Char,Footnote4 Char,Footnote5 Char,Footnote6 Char,Footnote7 Char,Footnote8 Char,Footnote9 Char,Footnote10 Char,Footnote11 Char,ft Char"/>
    <w:basedOn w:val="DefaultParagraphFont"/>
    <w:link w:val="FootnoteText"/>
    <w:uiPriority w:val="99"/>
    <w:rsid w:val="000A424B"/>
    <w:rPr>
      <w:rFonts w:ascii="Times New Roman" w:eastAsia="Times New Roman" w:hAnsi="Times New Roman" w:cs="Times New Roman"/>
      <w:sz w:val="20"/>
      <w:szCs w:val="20"/>
      <w:lang w:val="bg-BG" w:eastAsia="en-GB"/>
    </w:rPr>
  </w:style>
  <w:style w:type="character" w:styleId="FootnoteReference">
    <w:name w:val="footnote reference"/>
    <w:aliases w:val="BVI fnr,Footnote symbol,SUPERS,Footnote reference number,note TESI,-E Fußnotenzeichen,number,Appel note de bas de p,Nota,Footnote,Footnote number,Footnote Reference Superscript,EN Footnote Reference,number Char Char,Ref"/>
    <w:uiPriority w:val="99"/>
    <w:unhideWhenUsed/>
    <w:qFormat/>
    <w:rPr>
      <w:shd w:val="clear" w:color="auto" w:fill="auto"/>
      <w:vertAlign w:val="superscript"/>
    </w:rPr>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0"/>
      <w:lang w:eastAsia="en-GB"/>
    </w:rPr>
  </w:style>
  <w:style w:type="paragraph" w:styleId="CommentText">
    <w:name w:val="annotation text"/>
    <w:basedOn w:val="Normal"/>
    <w:link w:val="CommentTextChar"/>
    <w:uiPriority w:val="99"/>
    <w:unhideWhenUsed/>
    <w:pPr>
      <w:spacing w:after="200" w:line="276" w:lineRule="auto"/>
    </w:pPr>
    <w:rPr>
      <w:rFonts w:ascii="Calibri" w:eastAsia="Times New Roman" w:hAnsi="Calibri" w:cs="Times New Roman"/>
      <w:sz w:val="20"/>
      <w:szCs w:val="20"/>
      <w:lang w:eastAsia="en-GB"/>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lang w:val="bg-BG" w:eastAsia="en-GB"/>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llowedHyperlink">
    <w:name w:val="FollowedHyperlink"/>
    <w:basedOn w:val="DefaultParagraphFont"/>
    <w:uiPriority w:val="99"/>
    <w:semiHidden/>
    <w:unhideWhenUsed/>
    <w:rPr>
      <w:color w:val="954F72" w:themeColor="followedHyperlink"/>
      <w:u w:val="single"/>
    </w:rPr>
  </w:style>
  <w:style w:type="paragraph" w:customStyle="1" w:styleId="Text2">
    <w:name w:val="Text 2"/>
    <w:basedOn w:val="Normal"/>
    <w:qFormat/>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CommentSubject">
    <w:name w:val="annotation subject"/>
    <w:basedOn w:val="CommentText"/>
    <w:next w:val="CommentText"/>
    <w:link w:val="CommentSubjectChar"/>
    <w:uiPriority w:val="99"/>
    <w:semiHidden/>
    <w:unhideWhenUsed/>
    <w:pPr>
      <w:spacing w:after="160" w:line="240" w:lineRule="auto"/>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Calibri" w:eastAsia="Times New Roman" w:hAnsi="Calibri" w:cs="Times New Roman"/>
      <w:b/>
      <w:bCs/>
      <w:sz w:val="20"/>
      <w:szCs w:val="20"/>
      <w:lang w:val="bg-BG" w:eastAsia="en-GB"/>
    </w:rPr>
  </w:style>
  <w:style w:type="paragraph" w:styleId="Revision">
    <w:name w:val="Revision"/>
    <w:hidden/>
    <w:uiPriority w:val="99"/>
    <w:semiHidden/>
    <w:pPr>
      <w:spacing w:after="0" w:line="240" w:lineRule="auto"/>
    </w:pPr>
  </w:style>
  <w:style w:type="character" w:customStyle="1" w:styleId="kurziv">
    <w:name w:val="kurziv"/>
    <w:basedOn w:val="DefaultParagraphFont"/>
    <w:rsid w:val="003E1F18"/>
  </w:style>
  <w:style w:type="character" w:styleId="Emphasis">
    <w:name w:val="Emphasis"/>
    <w:uiPriority w:val="20"/>
    <w:qFormat/>
    <w:rsid w:val="00E80EA6"/>
    <w:rPr>
      <w:i/>
      <w:iCs/>
    </w:rPr>
  </w:style>
  <w:style w:type="paragraph" w:styleId="TOCHeading">
    <w:name w:val="TOC Heading"/>
    <w:basedOn w:val="Heading1"/>
    <w:next w:val="Normal"/>
    <w:uiPriority w:val="39"/>
    <w:unhideWhenUsed/>
    <w:qFormat/>
    <w:rsid w:val="00296BDB"/>
    <w:pPr>
      <w:keepLines/>
      <w:numPr>
        <w:numId w:val="0"/>
      </w:numPr>
      <w:spacing w:before="240" w:after="0" w:line="259" w:lineRule="auto"/>
      <w:jc w:val="left"/>
      <w:outlineLvl w:val="9"/>
    </w:pPr>
    <w:rPr>
      <w:rFonts w:asciiTheme="majorHAnsi" w:eastAsiaTheme="majorEastAsia" w:hAnsiTheme="majorHAnsi" w:cstheme="majorBidi"/>
      <w:b w:val="0"/>
      <w:bCs w:val="0"/>
      <w:smallCaps w:val="0"/>
      <w:color w:val="2E74B5" w:themeColor="accent1" w:themeShade="BF"/>
      <w:sz w:val="32"/>
      <w:szCs w:val="32"/>
      <w:lang w:eastAsia="en-US"/>
    </w:rPr>
  </w:style>
  <w:style w:type="paragraph" w:styleId="TOC1">
    <w:name w:val="toc 1"/>
    <w:basedOn w:val="Normal"/>
    <w:next w:val="Normal"/>
    <w:autoRedefine/>
    <w:uiPriority w:val="39"/>
    <w:unhideWhenUsed/>
    <w:rsid w:val="00296BDB"/>
    <w:pPr>
      <w:spacing w:after="100"/>
    </w:pPr>
  </w:style>
  <w:style w:type="paragraph" w:styleId="TOC2">
    <w:name w:val="toc 2"/>
    <w:basedOn w:val="Normal"/>
    <w:next w:val="Normal"/>
    <w:autoRedefine/>
    <w:uiPriority w:val="39"/>
    <w:unhideWhenUsed/>
    <w:rsid w:val="00296BDB"/>
    <w:pPr>
      <w:spacing w:after="100"/>
      <w:ind w:left="220"/>
    </w:pPr>
  </w:style>
  <w:style w:type="paragraph" w:styleId="TOC3">
    <w:name w:val="toc 3"/>
    <w:basedOn w:val="Normal"/>
    <w:next w:val="Normal"/>
    <w:autoRedefine/>
    <w:uiPriority w:val="39"/>
    <w:unhideWhenUsed/>
    <w:rsid w:val="00296BDB"/>
    <w:pPr>
      <w:spacing w:after="100"/>
      <w:ind w:left="440"/>
    </w:pPr>
  </w:style>
  <w:style w:type="paragraph" w:customStyle="1" w:styleId="paragraph">
    <w:name w:val="paragraph"/>
    <w:basedOn w:val="Normal"/>
    <w:rsid w:val="0054117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41177"/>
  </w:style>
  <w:style w:type="character" w:customStyle="1" w:styleId="eop">
    <w:name w:val="eop"/>
    <w:basedOn w:val="DefaultParagraphFont"/>
    <w:rsid w:val="00541177"/>
  </w:style>
  <w:style w:type="character" w:customStyle="1" w:styleId="gmaildefault">
    <w:name w:val="gmail_default"/>
    <w:basedOn w:val="DefaultParagraphFont"/>
    <w:rsid w:val="00681E83"/>
  </w:style>
  <w:style w:type="paragraph" w:customStyle="1" w:styleId="Disclaimer">
    <w:name w:val="Disclaimer"/>
    <w:basedOn w:val="Normal"/>
    <w:rsid w:val="00B503B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66C30"/>
    <w:pPr>
      <w:spacing w:after="0" w:line="276" w:lineRule="auto"/>
      <w:ind w:left="5103"/>
    </w:pPr>
    <w:rPr>
      <w:rFonts w:ascii="Times New Roman" w:hAnsi="Times New Roman" w:cs="Times New Roman"/>
      <w:sz w:val="28"/>
    </w:rPr>
  </w:style>
  <w:style w:type="paragraph" w:customStyle="1" w:styleId="DateMarking">
    <w:name w:val="DateMarking"/>
    <w:basedOn w:val="Normal"/>
    <w:rsid w:val="00D66C30"/>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D66C30"/>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38487">
      <w:bodyDiv w:val="1"/>
      <w:marLeft w:val="0"/>
      <w:marRight w:val="0"/>
      <w:marTop w:val="0"/>
      <w:marBottom w:val="0"/>
      <w:divBdr>
        <w:top w:val="none" w:sz="0" w:space="0" w:color="auto"/>
        <w:left w:val="none" w:sz="0" w:space="0" w:color="auto"/>
        <w:bottom w:val="none" w:sz="0" w:space="0" w:color="auto"/>
        <w:right w:val="none" w:sz="0" w:space="0" w:color="auto"/>
      </w:divBdr>
      <w:divsChild>
        <w:div w:id="1391927975">
          <w:marLeft w:val="0"/>
          <w:marRight w:val="0"/>
          <w:marTop w:val="0"/>
          <w:marBottom w:val="0"/>
          <w:divBdr>
            <w:top w:val="none" w:sz="0" w:space="0" w:color="auto"/>
            <w:left w:val="none" w:sz="0" w:space="0" w:color="auto"/>
            <w:bottom w:val="none" w:sz="0" w:space="0" w:color="auto"/>
            <w:right w:val="none" w:sz="0" w:space="0" w:color="auto"/>
          </w:divBdr>
        </w:div>
      </w:divsChild>
    </w:div>
    <w:div w:id="532350176">
      <w:bodyDiv w:val="1"/>
      <w:marLeft w:val="0"/>
      <w:marRight w:val="0"/>
      <w:marTop w:val="0"/>
      <w:marBottom w:val="0"/>
      <w:divBdr>
        <w:top w:val="none" w:sz="0" w:space="0" w:color="auto"/>
        <w:left w:val="none" w:sz="0" w:space="0" w:color="auto"/>
        <w:bottom w:val="none" w:sz="0" w:space="0" w:color="auto"/>
        <w:right w:val="none" w:sz="0" w:space="0" w:color="auto"/>
      </w:divBdr>
    </w:div>
    <w:div w:id="621807707">
      <w:bodyDiv w:val="1"/>
      <w:marLeft w:val="0"/>
      <w:marRight w:val="0"/>
      <w:marTop w:val="0"/>
      <w:marBottom w:val="0"/>
      <w:divBdr>
        <w:top w:val="none" w:sz="0" w:space="0" w:color="auto"/>
        <w:left w:val="none" w:sz="0" w:space="0" w:color="auto"/>
        <w:bottom w:val="none" w:sz="0" w:space="0" w:color="auto"/>
        <w:right w:val="none" w:sz="0" w:space="0" w:color="auto"/>
      </w:divBdr>
    </w:div>
    <w:div w:id="695887608">
      <w:bodyDiv w:val="1"/>
      <w:marLeft w:val="0"/>
      <w:marRight w:val="0"/>
      <w:marTop w:val="0"/>
      <w:marBottom w:val="0"/>
      <w:divBdr>
        <w:top w:val="none" w:sz="0" w:space="0" w:color="auto"/>
        <w:left w:val="none" w:sz="0" w:space="0" w:color="auto"/>
        <w:bottom w:val="none" w:sz="0" w:space="0" w:color="auto"/>
        <w:right w:val="none" w:sz="0" w:space="0" w:color="auto"/>
      </w:divBdr>
    </w:div>
    <w:div w:id="1160852514">
      <w:bodyDiv w:val="1"/>
      <w:marLeft w:val="0"/>
      <w:marRight w:val="0"/>
      <w:marTop w:val="0"/>
      <w:marBottom w:val="0"/>
      <w:divBdr>
        <w:top w:val="none" w:sz="0" w:space="0" w:color="auto"/>
        <w:left w:val="none" w:sz="0" w:space="0" w:color="auto"/>
        <w:bottom w:val="none" w:sz="0" w:space="0" w:color="auto"/>
        <w:right w:val="none" w:sz="0" w:space="0" w:color="auto"/>
      </w:divBdr>
    </w:div>
    <w:div w:id="1231960504">
      <w:bodyDiv w:val="1"/>
      <w:marLeft w:val="0"/>
      <w:marRight w:val="0"/>
      <w:marTop w:val="0"/>
      <w:marBottom w:val="0"/>
      <w:divBdr>
        <w:top w:val="none" w:sz="0" w:space="0" w:color="auto"/>
        <w:left w:val="none" w:sz="0" w:space="0" w:color="auto"/>
        <w:bottom w:val="none" w:sz="0" w:space="0" w:color="auto"/>
        <w:right w:val="none" w:sz="0" w:space="0" w:color="auto"/>
      </w:divBdr>
    </w:div>
    <w:div w:id="1600260563">
      <w:bodyDiv w:val="1"/>
      <w:marLeft w:val="0"/>
      <w:marRight w:val="0"/>
      <w:marTop w:val="0"/>
      <w:marBottom w:val="0"/>
      <w:divBdr>
        <w:top w:val="none" w:sz="0" w:space="0" w:color="auto"/>
        <w:left w:val="none" w:sz="0" w:space="0" w:color="auto"/>
        <w:bottom w:val="none" w:sz="0" w:space="0" w:color="auto"/>
        <w:right w:val="none" w:sz="0" w:space="0" w:color="auto"/>
      </w:divBdr>
      <w:divsChild>
        <w:div w:id="929503736">
          <w:marLeft w:val="0"/>
          <w:marRight w:val="0"/>
          <w:marTop w:val="0"/>
          <w:marBottom w:val="0"/>
          <w:divBdr>
            <w:top w:val="none" w:sz="0" w:space="0" w:color="auto"/>
            <w:left w:val="none" w:sz="0" w:space="0" w:color="auto"/>
            <w:bottom w:val="none" w:sz="0" w:space="0" w:color="auto"/>
            <w:right w:val="none" w:sz="0" w:space="0" w:color="auto"/>
          </w:divBdr>
        </w:div>
        <w:div w:id="1865941724">
          <w:marLeft w:val="0"/>
          <w:marRight w:val="0"/>
          <w:marTop w:val="0"/>
          <w:marBottom w:val="0"/>
          <w:divBdr>
            <w:top w:val="none" w:sz="0" w:space="0" w:color="auto"/>
            <w:left w:val="none" w:sz="0" w:space="0" w:color="auto"/>
            <w:bottom w:val="none" w:sz="0" w:space="0" w:color="auto"/>
            <w:right w:val="none" w:sz="0" w:space="0" w:color="auto"/>
          </w:divBdr>
          <w:divsChild>
            <w:div w:id="1439564726">
              <w:marLeft w:val="-75"/>
              <w:marRight w:val="0"/>
              <w:marTop w:val="30"/>
              <w:marBottom w:val="30"/>
              <w:divBdr>
                <w:top w:val="none" w:sz="0" w:space="0" w:color="auto"/>
                <w:left w:val="none" w:sz="0" w:space="0" w:color="auto"/>
                <w:bottom w:val="none" w:sz="0" w:space="0" w:color="auto"/>
                <w:right w:val="none" w:sz="0" w:space="0" w:color="auto"/>
              </w:divBdr>
              <w:divsChild>
                <w:div w:id="41222373">
                  <w:marLeft w:val="0"/>
                  <w:marRight w:val="0"/>
                  <w:marTop w:val="0"/>
                  <w:marBottom w:val="0"/>
                  <w:divBdr>
                    <w:top w:val="none" w:sz="0" w:space="0" w:color="auto"/>
                    <w:left w:val="none" w:sz="0" w:space="0" w:color="auto"/>
                    <w:bottom w:val="none" w:sz="0" w:space="0" w:color="auto"/>
                    <w:right w:val="none" w:sz="0" w:space="0" w:color="auto"/>
                  </w:divBdr>
                  <w:divsChild>
                    <w:div w:id="1782259767">
                      <w:marLeft w:val="0"/>
                      <w:marRight w:val="0"/>
                      <w:marTop w:val="0"/>
                      <w:marBottom w:val="0"/>
                      <w:divBdr>
                        <w:top w:val="none" w:sz="0" w:space="0" w:color="auto"/>
                        <w:left w:val="none" w:sz="0" w:space="0" w:color="auto"/>
                        <w:bottom w:val="none" w:sz="0" w:space="0" w:color="auto"/>
                        <w:right w:val="none" w:sz="0" w:space="0" w:color="auto"/>
                      </w:divBdr>
                    </w:div>
                  </w:divsChild>
                </w:div>
                <w:div w:id="52701582">
                  <w:marLeft w:val="0"/>
                  <w:marRight w:val="0"/>
                  <w:marTop w:val="0"/>
                  <w:marBottom w:val="0"/>
                  <w:divBdr>
                    <w:top w:val="none" w:sz="0" w:space="0" w:color="auto"/>
                    <w:left w:val="none" w:sz="0" w:space="0" w:color="auto"/>
                    <w:bottom w:val="none" w:sz="0" w:space="0" w:color="auto"/>
                    <w:right w:val="none" w:sz="0" w:space="0" w:color="auto"/>
                  </w:divBdr>
                  <w:divsChild>
                    <w:div w:id="1245338827">
                      <w:marLeft w:val="0"/>
                      <w:marRight w:val="0"/>
                      <w:marTop w:val="0"/>
                      <w:marBottom w:val="0"/>
                      <w:divBdr>
                        <w:top w:val="none" w:sz="0" w:space="0" w:color="auto"/>
                        <w:left w:val="none" w:sz="0" w:space="0" w:color="auto"/>
                        <w:bottom w:val="none" w:sz="0" w:space="0" w:color="auto"/>
                        <w:right w:val="none" w:sz="0" w:space="0" w:color="auto"/>
                      </w:divBdr>
                    </w:div>
                  </w:divsChild>
                </w:div>
                <w:div w:id="75565754">
                  <w:marLeft w:val="0"/>
                  <w:marRight w:val="0"/>
                  <w:marTop w:val="0"/>
                  <w:marBottom w:val="0"/>
                  <w:divBdr>
                    <w:top w:val="none" w:sz="0" w:space="0" w:color="auto"/>
                    <w:left w:val="none" w:sz="0" w:space="0" w:color="auto"/>
                    <w:bottom w:val="none" w:sz="0" w:space="0" w:color="auto"/>
                    <w:right w:val="none" w:sz="0" w:space="0" w:color="auto"/>
                  </w:divBdr>
                  <w:divsChild>
                    <w:div w:id="86970489">
                      <w:marLeft w:val="0"/>
                      <w:marRight w:val="0"/>
                      <w:marTop w:val="0"/>
                      <w:marBottom w:val="0"/>
                      <w:divBdr>
                        <w:top w:val="none" w:sz="0" w:space="0" w:color="auto"/>
                        <w:left w:val="none" w:sz="0" w:space="0" w:color="auto"/>
                        <w:bottom w:val="none" w:sz="0" w:space="0" w:color="auto"/>
                        <w:right w:val="none" w:sz="0" w:space="0" w:color="auto"/>
                      </w:divBdr>
                    </w:div>
                  </w:divsChild>
                </w:div>
                <w:div w:id="150408703">
                  <w:marLeft w:val="0"/>
                  <w:marRight w:val="0"/>
                  <w:marTop w:val="0"/>
                  <w:marBottom w:val="0"/>
                  <w:divBdr>
                    <w:top w:val="none" w:sz="0" w:space="0" w:color="auto"/>
                    <w:left w:val="none" w:sz="0" w:space="0" w:color="auto"/>
                    <w:bottom w:val="none" w:sz="0" w:space="0" w:color="auto"/>
                    <w:right w:val="none" w:sz="0" w:space="0" w:color="auto"/>
                  </w:divBdr>
                  <w:divsChild>
                    <w:div w:id="1290160020">
                      <w:marLeft w:val="0"/>
                      <w:marRight w:val="0"/>
                      <w:marTop w:val="0"/>
                      <w:marBottom w:val="0"/>
                      <w:divBdr>
                        <w:top w:val="none" w:sz="0" w:space="0" w:color="auto"/>
                        <w:left w:val="none" w:sz="0" w:space="0" w:color="auto"/>
                        <w:bottom w:val="none" w:sz="0" w:space="0" w:color="auto"/>
                        <w:right w:val="none" w:sz="0" w:space="0" w:color="auto"/>
                      </w:divBdr>
                    </w:div>
                  </w:divsChild>
                </w:div>
                <w:div w:id="180823925">
                  <w:marLeft w:val="0"/>
                  <w:marRight w:val="0"/>
                  <w:marTop w:val="0"/>
                  <w:marBottom w:val="0"/>
                  <w:divBdr>
                    <w:top w:val="none" w:sz="0" w:space="0" w:color="auto"/>
                    <w:left w:val="none" w:sz="0" w:space="0" w:color="auto"/>
                    <w:bottom w:val="none" w:sz="0" w:space="0" w:color="auto"/>
                    <w:right w:val="none" w:sz="0" w:space="0" w:color="auto"/>
                  </w:divBdr>
                  <w:divsChild>
                    <w:div w:id="977608940">
                      <w:marLeft w:val="0"/>
                      <w:marRight w:val="0"/>
                      <w:marTop w:val="0"/>
                      <w:marBottom w:val="0"/>
                      <w:divBdr>
                        <w:top w:val="none" w:sz="0" w:space="0" w:color="auto"/>
                        <w:left w:val="none" w:sz="0" w:space="0" w:color="auto"/>
                        <w:bottom w:val="none" w:sz="0" w:space="0" w:color="auto"/>
                        <w:right w:val="none" w:sz="0" w:space="0" w:color="auto"/>
                      </w:divBdr>
                    </w:div>
                  </w:divsChild>
                </w:div>
                <w:div w:id="289287745">
                  <w:marLeft w:val="0"/>
                  <w:marRight w:val="0"/>
                  <w:marTop w:val="0"/>
                  <w:marBottom w:val="0"/>
                  <w:divBdr>
                    <w:top w:val="none" w:sz="0" w:space="0" w:color="auto"/>
                    <w:left w:val="none" w:sz="0" w:space="0" w:color="auto"/>
                    <w:bottom w:val="none" w:sz="0" w:space="0" w:color="auto"/>
                    <w:right w:val="none" w:sz="0" w:space="0" w:color="auto"/>
                  </w:divBdr>
                  <w:divsChild>
                    <w:div w:id="1095399810">
                      <w:marLeft w:val="0"/>
                      <w:marRight w:val="0"/>
                      <w:marTop w:val="0"/>
                      <w:marBottom w:val="0"/>
                      <w:divBdr>
                        <w:top w:val="none" w:sz="0" w:space="0" w:color="auto"/>
                        <w:left w:val="none" w:sz="0" w:space="0" w:color="auto"/>
                        <w:bottom w:val="none" w:sz="0" w:space="0" w:color="auto"/>
                        <w:right w:val="none" w:sz="0" w:space="0" w:color="auto"/>
                      </w:divBdr>
                    </w:div>
                  </w:divsChild>
                </w:div>
                <w:div w:id="292256890">
                  <w:marLeft w:val="0"/>
                  <w:marRight w:val="0"/>
                  <w:marTop w:val="0"/>
                  <w:marBottom w:val="0"/>
                  <w:divBdr>
                    <w:top w:val="none" w:sz="0" w:space="0" w:color="auto"/>
                    <w:left w:val="none" w:sz="0" w:space="0" w:color="auto"/>
                    <w:bottom w:val="none" w:sz="0" w:space="0" w:color="auto"/>
                    <w:right w:val="none" w:sz="0" w:space="0" w:color="auto"/>
                  </w:divBdr>
                  <w:divsChild>
                    <w:div w:id="950287852">
                      <w:marLeft w:val="0"/>
                      <w:marRight w:val="0"/>
                      <w:marTop w:val="0"/>
                      <w:marBottom w:val="0"/>
                      <w:divBdr>
                        <w:top w:val="none" w:sz="0" w:space="0" w:color="auto"/>
                        <w:left w:val="none" w:sz="0" w:space="0" w:color="auto"/>
                        <w:bottom w:val="none" w:sz="0" w:space="0" w:color="auto"/>
                        <w:right w:val="none" w:sz="0" w:space="0" w:color="auto"/>
                      </w:divBdr>
                    </w:div>
                  </w:divsChild>
                </w:div>
                <w:div w:id="336999607">
                  <w:marLeft w:val="0"/>
                  <w:marRight w:val="0"/>
                  <w:marTop w:val="0"/>
                  <w:marBottom w:val="0"/>
                  <w:divBdr>
                    <w:top w:val="none" w:sz="0" w:space="0" w:color="auto"/>
                    <w:left w:val="none" w:sz="0" w:space="0" w:color="auto"/>
                    <w:bottom w:val="none" w:sz="0" w:space="0" w:color="auto"/>
                    <w:right w:val="none" w:sz="0" w:space="0" w:color="auto"/>
                  </w:divBdr>
                  <w:divsChild>
                    <w:div w:id="332029555">
                      <w:marLeft w:val="0"/>
                      <w:marRight w:val="0"/>
                      <w:marTop w:val="0"/>
                      <w:marBottom w:val="0"/>
                      <w:divBdr>
                        <w:top w:val="none" w:sz="0" w:space="0" w:color="auto"/>
                        <w:left w:val="none" w:sz="0" w:space="0" w:color="auto"/>
                        <w:bottom w:val="none" w:sz="0" w:space="0" w:color="auto"/>
                        <w:right w:val="none" w:sz="0" w:space="0" w:color="auto"/>
                      </w:divBdr>
                    </w:div>
                  </w:divsChild>
                </w:div>
                <w:div w:id="366608723">
                  <w:marLeft w:val="0"/>
                  <w:marRight w:val="0"/>
                  <w:marTop w:val="0"/>
                  <w:marBottom w:val="0"/>
                  <w:divBdr>
                    <w:top w:val="none" w:sz="0" w:space="0" w:color="auto"/>
                    <w:left w:val="none" w:sz="0" w:space="0" w:color="auto"/>
                    <w:bottom w:val="none" w:sz="0" w:space="0" w:color="auto"/>
                    <w:right w:val="none" w:sz="0" w:space="0" w:color="auto"/>
                  </w:divBdr>
                  <w:divsChild>
                    <w:div w:id="1661038510">
                      <w:marLeft w:val="0"/>
                      <w:marRight w:val="0"/>
                      <w:marTop w:val="0"/>
                      <w:marBottom w:val="0"/>
                      <w:divBdr>
                        <w:top w:val="none" w:sz="0" w:space="0" w:color="auto"/>
                        <w:left w:val="none" w:sz="0" w:space="0" w:color="auto"/>
                        <w:bottom w:val="none" w:sz="0" w:space="0" w:color="auto"/>
                        <w:right w:val="none" w:sz="0" w:space="0" w:color="auto"/>
                      </w:divBdr>
                    </w:div>
                  </w:divsChild>
                </w:div>
                <w:div w:id="442849173">
                  <w:marLeft w:val="0"/>
                  <w:marRight w:val="0"/>
                  <w:marTop w:val="0"/>
                  <w:marBottom w:val="0"/>
                  <w:divBdr>
                    <w:top w:val="none" w:sz="0" w:space="0" w:color="auto"/>
                    <w:left w:val="none" w:sz="0" w:space="0" w:color="auto"/>
                    <w:bottom w:val="none" w:sz="0" w:space="0" w:color="auto"/>
                    <w:right w:val="none" w:sz="0" w:space="0" w:color="auto"/>
                  </w:divBdr>
                  <w:divsChild>
                    <w:div w:id="2028673717">
                      <w:marLeft w:val="0"/>
                      <w:marRight w:val="0"/>
                      <w:marTop w:val="0"/>
                      <w:marBottom w:val="0"/>
                      <w:divBdr>
                        <w:top w:val="none" w:sz="0" w:space="0" w:color="auto"/>
                        <w:left w:val="none" w:sz="0" w:space="0" w:color="auto"/>
                        <w:bottom w:val="none" w:sz="0" w:space="0" w:color="auto"/>
                        <w:right w:val="none" w:sz="0" w:space="0" w:color="auto"/>
                      </w:divBdr>
                    </w:div>
                  </w:divsChild>
                </w:div>
                <w:div w:id="492180286">
                  <w:marLeft w:val="0"/>
                  <w:marRight w:val="0"/>
                  <w:marTop w:val="0"/>
                  <w:marBottom w:val="0"/>
                  <w:divBdr>
                    <w:top w:val="none" w:sz="0" w:space="0" w:color="auto"/>
                    <w:left w:val="none" w:sz="0" w:space="0" w:color="auto"/>
                    <w:bottom w:val="none" w:sz="0" w:space="0" w:color="auto"/>
                    <w:right w:val="none" w:sz="0" w:space="0" w:color="auto"/>
                  </w:divBdr>
                  <w:divsChild>
                    <w:div w:id="641663771">
                      <w:marLeft w:val="0"/>
                      <w:marRight w:val="0"/>
                      <w:marTop w:val="0"/>
                      <w:marBottom w:val="0"/>
                      <w:divBdr>
                        <w:top w:val="none" w:sz="0" w:space="0" w:color="auto"/>
                        <w:left w:val="none" w:sz="0" w:space="0" w:color="auto"/>
                        <w:bottom w:val="none" w:sz="0" w:space="0" w:color="auto"/>
                        <w:right w:val="none" w:sz="0" w:space="0" w:color="auto"/>
                      </w:divBdr>
                    </w:div>
                  </w:divsChild>
                </w:div>
                <w:div w:id="540945836">
                  <w:marLeft w:val="0"/>
                  <w:marRight w:val="0"/>
                  <w:marTop w:val="0"/>
                  <w:marBottom w:val="0"/>
                  <w:divBdr>
                    <w:top w:val="none" w:sz="0" w:space="0" w:color="auto"/>
                    <w:left w:val="none" w:sz="0" w:space="0" w:color="auto"/>
                    <w:bottom w:val="none" w:sz="0" w:space="0" w:color="auto"/>
                    <w:right w:val="none" w:sz="0" w:space="0" w:color="auto"/>
                  </w:divBdr>
                  <w:divsChild>
                    <w:div w:id="1491828105">
                      <w:marLeft w:val="0"/>
                      <w:marRight w:val="0"/>
                      <w:marTop w:val="0"/>
                      <w:marBottom w:val="0"/>
                      <w:divBdr>
                        <w:top w:val="none" w:sz="0" w:space="0" w:color="auto"/>
                        <w:left w:val="none" w:sz="0" w:space="0" w:color="auto"/>
                        <w:bottom w:val="none" w:sz="0" w:space="0" w:color="auto"/>
                        <w:right w:val="none" w:sz="0" w:space="0" w:color="auto"/>
                      </w:divBdr>
                    </w:div>
                  </w:divsChild>
                </w:div>
                <w:div w:id="611595468">
                  <w:marLeft w:val="0"/>
                  <w:marRight w:val="0"/>
                  <w:marTop w:val="0"/>
                  <w:marBottom w:val="0"/>
                  <w:divBdr>
                    <w:top w:val="none" w:sz="0" w:space="0" w:color="auto"/>
                    <w:left w:val="none" w:sz="0" w:space="0" w:color="auto"/>
                    <w:bottom w:val="none" w:sz="0" w:space="0" w:color="auto"/>
                    <w:right w:val="none" w:sz="0" w:space="0" w:color="auto"/>
                  </w:divBdr>
                  <w:divsChild>
                    <w:div w:id="27726837">
                      <w:marLeft w:val="0"/>
                      <w:marRight w:val="0"/>
                      <w:marTop w:val="0"/>
                      <w:marBottom w:val="0"/>
                      <w:divBdr>
                        <w:top w:val="none" w:sz="0" w:space="0" w:color="auto"/>
                        <w:left w:val="none" w:sz="0" w:space="0" w:color="auto"/>
                        <w:bottom w:val="none" w:sz="0" w:space="0" w:color="auto"/>
                        <w:right w:val="none" w:sz="0" w:space="0" w:color="auto"/>
                      </w:divBdr>
                    </w:div>
                  </w:divsChild>
                </w:div>
                <w:div w:id="613902447">
                  <w:marLeft w:val="0"/>
                  <w:marRight w:val="0"/>
                  <w:marTop w:val="0"/>
                  <w:marBottom w:val="0"/>
                  <w:divBdr>
                    <w:top w:val="none" w:sz="0" w:space="0" w:color="auto"/>
                    <w:left w:val="none" w:sz="0" w:space="0" w:color="auto"/>
                    <w:bottom w:val="none" w:sz="0" w:space="0" w:color="auto"/>
                    <w:right w:val="none" w:sz="0" w:space="0" w:color="auto"/>
                  </w:divBdr>
                  <w:divsChild>
                    <w:div w:id="876894919">
                      <w:marLeft w:val="0"/>
                      <w:marRight w:val="0"/>
                      <w:marTop w:val="0"/>
                      <w:marBottom w:val="0"/>
                      <w:divBdr>
                        <w:top w:val="none" w:sz="0" w:space="0" w:color="auto"/>
                        <w:left w:val="none" w:sz="0" w:space="0" w:color="auto"/>
                        <w:bottom w:val="none" w:sz="0" w:space="0" w:color="auto"/>
                        <w:right w:val="none" w:sz="0" w:space="0" w:color="auto"/>
                      </w:divBdr>
                    </w:div>
                  </w:divsChild>
                </w:div>
                <w:div w:id="638876229">
                  <w:marLeft w:val="0"/>
                  <w:marRight w:val="0"/>
                  <w:marTop w:val="0"/>
                  <w:marBottom w:val="0"/>
                  <w:divBdr>
                    <w:top w:val="none" w:sz="0" w:space="0" w:color="auto"/>
                    <w:left w:val="none" w:sz="0" w:space="0" w:color="auto"/>
                    <w:bottom w:val="none" w:sz="0" w:space="0" w:color="auto"/>
                    <w:right w:val="none" w:sz="0" w:space="0" w:color="auto"/>
                  </w:divBdr>
                  <w:divsChild>
                    <w:div w:id="322127808">
                      <w:marLeft w:val="0"/>
                      <w:marRight w:val="0"/>
                      <w:marTop w:val="0"/>
                      <w:marBottom w:val="0"/>
                      <w:divBdr>
                        <w:top w:val="none" w:sz="0" w:space="0" w:color="auto"/>
                        <w:left w:val="none" w:sz="0" w:space="0" w:color="auto"/>
                        <w:bottom w:val="none" w:sz="0" w:space="0" w:color="auto"/>
                        <w:right w:val="none" w:sz="0" w:space="0" w:color="auto"/>
                      </w:divBdr>
                    </w:div>
                  </w:divsChild>
                </w:div>
                <w:div w:id="685598141">
                  <w:marLeft w:val="0"/>
                  <w:marRight w:val="0"/>
                  <w:marTop w:val="0"/>
                  <w:marBottom w:val="0"/>
                  <w:divBdr>
                    <w:top w:val="none" w:sz="0" w:space="0" w:color="auto"/>
                    <w:left w:val="none" w:sz="0" w:space="0" w:color="auto"/>
                    <w:bottom w:val="none" w:sz="0" w:space="0" w:color="auto"/>
                    <w:right w:val="none" w:sz="0" w:space="0" w:color="auto"/>
                  </w:divBdr>
                  <w:divsChild>
                    <w:div w:id="937563725">
                      <w:marLeft w:val="0"/>
                      <w:marRight w:val="0"/>
                      <w:marTop w:val="0"/>
                      <w:marBottom w:val="0"/>
                      <w:divBdr>
                        <w:top w:val="none" w:sz="0" w:space="0" w:color="auto"/>
                        <w:left w:val="none" w:sz="0" w:space="0" w:color="auto"/>
                        <w:bottom w:val="none" w:sz="0" w:space="0" w:color="auto"/>
                        <w:right w:val="none" w:sz="0" w:space="0" w:color="auto"/>
                      </w:divBdr>
                    </w:div>
                  </w:divsChild>
                </w:div>
                <w:div w:id="732779156">
                  <w:marLeft w:val="0"/>
                  <w:marRight w:val="0"/>
                  <w:marTop w:val="0"/>
                  <w:marBottom w:val="0"/>
                  <w:divBdr>
                    <w:top w:val="none" w:sz="0" w:space="0" w:color="auto"/>
                    <w:left w:val="none" w:sz="0" w:space="0" w:color="auto"/>
                    <w:bottom w:val="none" w:sz="0" w:space="0" w:color="auto"/>
                    <w:right w:val="none" w:sz="0" w:space="0" w:color="auto"/>
                  </w:divBdr>
                  <w:divsChild>
                    <w:div w:id="206570757">
                      <w:marLeft w:val="0"/>
                      <w:marRight w:val="0"/>
                      <w:marTop w:val="0"/>
                      <w:marBottom w:val="0"/>
                      <w:divBdr>
                        <w:top w:val="none" w:sz="0" w:space="0" w:color="auto"/>
                        <w:left w:val="none" w:sz="0" w:space="0" w:color="auto"/>
                        <w:bottom w:val="none" w:sz="0" w:space="0" w:color="auto"/>
                        <w:right w:val="none" w:sz="0" w:space="0" w:color="auto"/>
                      </w:divBdr>
                    </w:div>
                  </w:divsChild>
                </w:div>
                <w:div w:id="872766230">
                  <w:marLeft w:val="0"/>
                  <w:marRight w:val="0"/>
                  <w:marTop w:val="0"/>
                  <w:marBottom w:val="0"/>
                  <w:divBdr>
                    <w:top w:val="none" w:sz="0" w:space="0" w:color="auto"/>
                    <w:left w:val="none" w:sz="0" w:space="0" w:color="auto"/>
                    <w:bottom w:val="none" w:sz="0" w:space="0" w:color="auto"/>
                    <w:right w:val="none" w:sz="0" w:space="0" w:color="auto"/>
                  </w:divBdr>
                  <w:divsChild>
                    <w:div w:id="389351005">
                      <w:marLeft w:val="0"/>
                      <w:marRight w:val="0"/>
                      <w:marTop w:val="0"/>
                      <w:marBottom w:val="0"/>
                      <w:divBdr>
                        <w:top w:val="none" w:sz="0" w:space="0" w:color="auto"/>
                        <w:left w:val="none" w:sz="0" w:space="0" w:color="auto"/>
                        <w:bottom w:val="none" w:sz="0" w:space="0" w:color="auto"/>
                        <w:right w:val="none" w:sz="0" w:space="0" w:color="auto"/>
                      </w:divBdr>
                    </w:div>
                  </w:divsChild>
                </w:div>
                <w:div w:id="879979028">
                  <w:marLeft w:val="0"/>
                  <w:marRight w:val="0"/>
                  <w:marTop w:val="0"/>
                  <w:marBottom w:val="0"/>
                  <w:divBdr>
                    <w:top w:val="none" w:sz="0" w:space="0" w:color="auto"/>
                    <w:left w:val="none" w:sz="0" w:space="0" w:color="auto"/>
                    <w:bottom w:val="none" w:sz="0" w:space="0" w:color="auto"/>
                    <w:right w:val="none" w:sz="0" w:space="0" w:color="auto"/>
                  </w:divBdr>
                  <w:divsChild>
                    <w:div w:id="1151483786">
                      <w:marLeft w:val="0"/>
                      <w:marRight w:val="0"/>
                      <w:marTop w:val="0"/>
                      <w:marBottom w:val="0"/>
                      <w:divBdr>
                        <w:top w:val="none" w:sz="0" w:space="0" w:color="auto"/>
                        <w:left w:val="none" w:sz="0" w:space="0" w:color="auto"/>
                        <w:bottom w:val="none" w:sz="0" w:space="0" w:color="auto"/>
                        <w:right w:val="none" w:sz="0" w:space="0" w:color="auto"/>
                      </w:divBdr>
                    </w:div>
                  </w:divsChild>
                </w:div>
                <w:div w:id="900865728">
                  <w:marLeft w:val="0"/>
                  <w:marRight w:val="0"/>
                  <w:marTop w:val="0"/>
                  <w:marBottom w:val="0"/>
                  <w:divBdr>
                    <w:top w:val="none" w:sz="0" w:space="0" w:color="auto"/>
                    <w:left w:val="none" w:sz="0" w:space="0" w:color="auto"/>
                    <w:bottom w:val="none" w:sz="0" w:space="0" w:color="auto"/>
                    <w:right w:val="none" w:sz="0" w:space="0" w:color="auto"/>
                  </w:divBdr>
                  <w:divsChild>
                    <w:div w:id="1628004450">
                      <w:marLeft w:val="0"/>
                      <w:marRight w:val="0"/>
                      <w:marTop w:val="0"/>
                      <w:marBottom w:val="0"/>
                      <w:divBdr>
                        <w:top w:val="none" w:sz="0" w:space="0" w:color="auto"/>
                        <w:left w:val="none" w:sz="0" w:space="0" w:color="auto"/>
                        <w:bottom w:val="none" w:sz="0" w:space="0" w:color="auto"/>
                        <w:right w:val="none" w:sz="0" w:space="0" w:color="auto"/>
                      </w:divBdr>
                    </w:div>
                  </w:divsChild>
                </w:div>
                <w:div w:id="910696894">
                  <w:marLeft w:val="0"/>
                  <w:marRight w:val="0"/>
                  <w:marTop w:val="0"/>
                  <w:marBottom w:val="0"/>
                  <w:divBdr>
                    <w:top w:val="none" w:sz="0" w:space="0" w:color="auto"/>
                    <w:left w:val="none" w:sz="0" w:space="0" w:color="auto"/>
                    <w:bottom w:val="none" w:sz="0" w:space="0" w:color="auto"/>
                    <w:right w:val="none" w:sz="0" w:space="0" w:color="auto"/>
                  </w:divBdr>
                  <w:divsChild>
                    <w:div w:id="129829089">
                      <w:marLeft w:val="0"/>
                      <w:marRight w:val="0"/>
                      <w:marTop w:val="0"/>
                      <w:marBottom w:val="0"/>
                      <w:divBdr>
                        <w:top w:val="none" w:sz="0" w:space="0" w:color="auto"/>
                        <w:left w:val="none" w:sz="0" w:space="0" w:color="auto"/>
                        <w:bottom w:val="none" w:sz="0" w:space="0" w:color="auto"/>
                        <w:right w:val="none" w:sz="0" w:space="0" w:color="auto"/>
                      </w:divBdr>
                    </w:div>
                  </w:divsChild>
                </w:div>
                <w:div w:id="948044017">
                  <w:marLeft w:val="0"/>
                  <w:marRight w:val="0"/>
                  <w:marTop w:val="0"/>
                  <w:marBottom w:val="0"/>
                  <w:divBdr>
                    <w:top w:val="none" w:sz="0" w:space="0" w:color="auto"/>
                    <w:left w:val="none" w:sz="0" w:space="0" w:color="auto"/>
                    <w:bottom w:val="none" w:sz="0" w:space="0" w:color="auto"/>
                    <w:right w:val="none" w:sz="0" w:space="0" w:color="auto"/>
                  </w:divBdr>
                  <w:divsChild>
                    <w:div w:id="1257132346">
                      <w:marLeft w:val="0"/>
                      <w:marRight w:val="0"/>
                      <w:marTop w:val="0"/>
                      <w:marBottom w:val="0"/>
                      <w:divBdr>
                        <w:top w:val="none" w:sz="0" w:space="0" w:color="auto"/>
                        <w:left w:val="none" w:sz="0" w:space="0" w:color="auto"/>
                        <w:bottom w:val="none" w:sz="0" w:space="0" w:color="auto"/>
                        <w:right w:val="none" w:sz="0" w:space="0" w:color="auto"/>
                      </w:divBdr>
                    </w:div>
                  </w:divsChild>
                </w:div>
                <w:div w:id="980693367">
                  <w:marLeft w:val="0"/>
                  <w:marRight w:val="0"/>
                  <w:marTop w:val="0"/>
                  <w:marBottom w:val="0"/>
                  <w:divBdr>
                    <w:top w:val="none" w:sz="0" w:space="0" w:color="auto"/>
                    <w:left w:val="none" w:sz="0" w:space="0" w:color="auto"/>
                    <w:bottom w:val="none" w:sz="0" w:space="0" w:color="auto"/>
                    <w:right w:val="none" w:sz="0" w:space="0" w:color="auto"/>
                  </w:divBdr>
                  <w:divsChild>
                    <w:div w:id="88696040">
                      <w:marLeft w:val="0"/>
                      <w:marRight w:val="0"/>
                      <w:marTop w:val="0"/>
                      <w:marBottom w:val="0"/>
                      <w:divBdr>
                        <w:top w:val="none" w:sz="0" w:space="0" w:color="auto"/>
                        <w:left w:val="none" w:sz="0" w:space="0" w:color="auto"/>
                        <w:bottom w:val="none" w:sz="0" w:space="0" w:color="auto"/>
                        <w:right w:val="none" w:sz="0" w:space="0" w:color="auto"/>
                      </w:divBdr>
                    </w:div>
                  </w:divsChild>
                </w:div>
                <w:div w:id="1020426853">
                  <w:marLeft w:val="0"/>
                  <w:marRight w:val="0"/>
                  <w:marTop w:val="0"/>
                  <w:marBottom w:val="0"/>
                  <w:divBdr>
                    <w:top w:val="none" w:sz="0" w:space="0" w:color="auto"/>
                    <w:left w:val="none" w:sz="0" w:space="0" w:color="auto"/>
                    <w:bottom w:val="none" w:sz="0" w:space="0" w:color="auto"/>
                    <w:right w:val="none" w:sz="0" w:space="0" w:color="auto"/>
                  </w:divBdr>
                  <w:divsChild>
                    <w:div w:id="1253704125">
                      <w:marLeft w:val="0"/>
                      <w:marRight w:val="0"/>
                      <w:marTop w:val="0"/>
                      <w:marBottom w:val="0"/>
                      <w:divBdr>
                        <w:top w:val="none" w:sz="0" w:space="0" w:color="auto"/>
                        <w:left w:val="none" w:sz="0" w:space="0" w:color="auto"/>
                        <w:bottom w:val="none" w:sz="0" w:space="0" w:color="auto"/>
                        <w:right w:val="none" w:sz="0" w:space="0" w:color="auto"/>
                      </w:divBdr>
                    </w:div>
                  </w:divsChild>
                </w:div>
                <w:div w:id="1075662588">
                  <w:marLeft w:val="0"/>
                  <w:marRight w:val="0"/>
                  <w:marTop w:val="0"/>
                  <w:marBottom w:val="0"/>
                  <w:divBdr>
                    <w:top w:val="none" w:sz="0" w:space="0" w:color="auto"/>
                    <w:left w:val="none" w:sz="0" w:space="0" w:color="auto"/>
                    <w:bottom w:val="none" w:sz="0" w:space="0" w:color="auto"/>
                    <w:right w:val="none" w:sz="0" w:space="0" w:color="auto"/>
                  </w:divBdr>
                  <w:divsChild>
                    <w:div w:id="2071419181">
                      <w:marLeft w:val="0"/>
                      <w:marRight w:val="0"/>
                      <w:marTop w:val="0"/>
                      <w:marBottom w:val="0"/>
                      <w:divBdr>
                        <w:top w:val="none" w:sz="0" w:space="0" w:color="auto"/>
                        <w:left w:val="none" w:sz="0" w:space="0" w:color="auto"/>
                        <w:bottom w:val="none" w:sz="0" w:space="0" w:color="auto"/>
                        <w:right w:val="none" w:sz="0" w:space="0" w:color="auto"/>
                      </w:divBdr>
                    </w:div>
                  </w:divsChild>
                </w:div>
                <w:div w:id="1097140319">
                  <w:marLeft w:val="0"/>
                  <w:marRight w:val="0"/>
                  <w:marTop w:val="0"/>
                  <w:marBottom w:val="0"/>
                  <w:divBdr>
                    <w:top w:val="none" w:sz="0" w:space="0" w:color="auto"/>
                    <w:left w:val="none" w:sz="0" w:space="0" w:color="auto"/>
                    <w:bottom w:val="none" w:sz="0" w:space="0" w:color="auto"/>
                    <w:right w:val="none" w:sz="0" w:space="0" w:color="auto"/>
                  </w:divBdr>
                  <w:divsChild>
                    <w:div w:id="2006206180">
                      <w:marLeft w:val="0"/>
                      <w:marRight w:val="0"/>
                      <w:marTop w:val="0"/>
                      <w:marBottom w:val="0"/>
                      <w:divBdr>
                        <w:top w:val="none" w:sz="0" w:space="0" w:color="auto"/>
                        <w:left w:val="none" w:sz="0" w:space="0" w:color="auto"/>
                        <w:bottom w:val="none" w:sz="0" w:space="0" w:color="auto"/>
                        <w:right w:val="none" w:sz="0" w:space="0" w:color="auto"/>
                      </w:divBdr>
                    </w:div>
                  </w:divsChild>
                </w:div>
                <w:div w:id="1104500467">
                  <w:marLeft w:val="0"/>
                  <w:marRight w:val="0"/>
                  <w:marTop w:val="0"/>
                  <w:marBottom w:val="0"/>
                  <w:divBdr>
                    <w:top w:val="none" w:sz="0" w:space="0" w:color="auto"/>
                    <w:left w:val="none" w:sz="0" w:space="0" w:color="auto"/>
                    <w:bottom w:val="none" w:sz="0" w:space="0" w:color="auto"/>
                    <w:right w:val="none" w:sz="0" w:space="0" w:color="auto"/>
                  </w:divBdr>
                  <w:divsChild>
                    <w:div w:id="1633976164">
                      <w:marLeft w:val="0"/>
                      <w:marRight w:val="0"/>
                      <w:marTop w:val="0"/>
                      <w:marBottom w:val="0"/>
                      <w:divBdr>
                        <w:top w:val="none" w:sz="0" w:space="0" w:color="auto"/>
                        <w:left w:val="none" w:sz="0" w:space="0" w:color="auto"/>
                        <w:bottom w:val="none" w:sz="0" w:space="0" w:color="auto"/>
                        <w:right w:val="none" w:sz="0" w:space="0" w:color="auto"/>
                      </w:divBdr>
                    </w:div>
                  </w:divsChild>
                </w:div>
                <w:div w:id="1110317624">
                  <w:marLeft w:val="0"/>
                  <w:marRight w:val="0"/>
                  <w:marTop w:val="0"/>
                  <w:marBottom w:val="0"/>
                  <w:divBdr>
                    <w:top w:val="none" w:sz="0" w:space="0" w:color="auto"/>
                    <w:left w:val="none" w:sz="0" w:space="0" w:color="auto"/>
                    <w:bottom w:val="none" w:sz="0" w:space="0" w:color="auto"/>
                    <w:right w:val="none" w:sz="0" w:space="0" w:color="auto"/>
                  </w:divBdr>
                  <w:divsChild>
                    <w:div w:id="1467235507">
                      <w:marLeft w:val="0"/>
                      <w:marRight w:val="0"/>
                      <w:marTop w:val="0"/>
                      <w:marBottom w:val="0"/>
                      <w:divBdr>
                        <w:top w:val="none" w:sz="0" w:space="0" w:color="auto"/>
                        <w:left w:val="none" w:sz="0" w:space="0" w:color="auto"/>
                        <w:bottom w:val="none" w:sz="0" w:space="0" w:color="auto"/>
                        <w:right w:val="none" w:sz="0" w:space="0" w:color="auto"/>
                      </w:divBdr>
                    </w:div>
                  </w:divsChild>
                </w:div>
                <w:div w:id="1119059145">
                  <w:marLeft w:val="0"/>
                  <w:marRight w:val="0"/>
                  <w:marTop w:val="0"/>
                  <w:marBottom w:val="0"/>
                  <w:divBdr>
                    <w:top w:val="none" w:sz="0" w:space="0" w:color="auto"/>
                    <w:left w:val="none" w:sz="0" w:space="0" w:color="auto"/>
                    <w:bottom w:val="none" w:sz="0" w:space="0" w:color="auto"/>
                    <w:right w:val="none" w:sz="0" w:space="0" w:color="auto"/>
                  </w:divBdr>
                  <w:divsChild>
                    <w:div w:id="1218278827">
                      <w:marLeft w:val="0"/>
                      <w:marRight w:val="0"/>
                      <w:marTop w:val="0"/>
                      <w:marBottom w:val="0"/>
                      <w:divBdr>
                        <w:top w:val="none" w:sz="0" w:space="0" w:color="auto"/>
                        <w:left w:val="none" w:sz="0" w:space="0" w:color="auto"/>
                        <w:bottom w:val="none" w:sz="0" w:space="0" w:color="auto"/>
                        <w:right w:val="none" w:sz="0" w:space="0" w:color="auto"/>
                      </w:divBdr>
                    </w:div>
                  </w:divsChild>
                </w:div>
                <w:div w:id="1134298094">
                  <w:marLeft w:val="0"/>
                  <w:marRight w:val="0"/>
                  <w:marTop w:val="0"/>
                  <w:marBottom w:val="0"/>
                  <w:divBdr>
                    <w:top w:val="none" w:sz="0" w:space="0" w:color="auto"/>
                    <w:left w:val="none" w:sz="0" w:space="0" w:color="auto"/>
                    <w:bottom w:val="none" w:sz="0" w:space="0" w:color="auto"/>
                    <w:right w:val="none" w:sz="0" w:space="0" w:color="auto"/>
                  </w:divBdr>
                  <w:divsChild>
                    <w:div w:id="9727699">
                      <w:marLeft w:val="0"/>
                      <w:marRight w:val="0"/>
                      <w:marTop w:val="0"/>
                      <w:marBottom w:val="0"/>
                      <w:divBdr>
                        <w:top w:val="none" w:sz="0" w:space="0" w:color="auto"/>
                        <w:left w:val="none" w:sz="0" w:space="0" w:color="auto"/>
                        <w:bottom w:val="none" w:sz="0" w:space="0" w:color="auto"/>
                        <w:right w:val="none" w:sz="0" w:space="0" w:color="auto"/>
                      </w:divBdr>
                    </w:div>
                  </w:divsChild>
                </w:div>
                <w:div w:id="1151408844">
                  <w:marLeft w:val="0"/>
                  <w:marRight w:val="0"/>
                  <w:marTop w:val="0"/>
                  <w:marBottom w:val="0"/>
                  <w:divBdr>
                    <w:top w:val="none" w:sz="0" w:space="0" w:color="auto"/>
                    <w:left w:val="none" w:sz="0" w:space="0" w:color="auto"/>
                    <w:bottom w:val="none" w:sz="0" w:space="0" w:color="auto"/>
                    <w:right w:val="none" w:sz="0" w:space="0" w:color="auto"/>
                  </w:divBdr>
                  <w:divsChild>
                    <w:div w:id="658536785">
                      <w:marLeft w:val="0"/>
                      <w:marRight w:val="0"/>
                      <w:marTop w:val="0"/>
                      <w:marBottom w:val="0"/>
                      <w:divBdr>
                        <w:top w:val="none" w:sz="0" w:space="0" w:color="auto"/>
                        <w:left w:val="none" w:sz="0" w:space="0" w:color="auto"/>
                        <w:bottom w:val="none" w:sz="0" w:space="0" w:color="auto"/>
                        <w:right w:val="none" w:sz="0" w:space="0" w:color="auto"/>
                      </w:divBdr>
                    </w:div>
                  </w:divsChild>
                </w:div>
                <w:div w:id="1165168852">
                  <w:marLeft w:val="0"/>
                  <w:marRight w:val="0"/>
                  <w:marTop w:val="0"/>
                  <w:marBottom w:val="0"/>
                  <w:divBdr>
                    <w:top w:val="none" w:sz="0" w:space="0" w:color="auto"/>
                    <w:left w:val="none" w:sz="0" w:space="0" w:color="auto"/>
                    <w:bottom w:val="none" w:sz="0" w:space="0" w:color="auto"/>
                    <w:right w:val="none" w:sz="0" w:space="0" w:color="auto"/>
                  </w:divBdr>
                  <w:divsChild>
                    <w:div w:id="860435575">
                      <w:marLeft w:val="0"/>
                      <w:marRight w:val="0"/>
                      <w:marTop w:val="0"/>
                      <w:marBottom w:val="0"/>
                      <w:divBdr>
                        <w:top w:val="none" w:sz="0" w:space="0" w:color="auto"/>
                        <w:left w:val="none" w:sz="0" w:space="0" w:color="auto"/>
                        <w:bottom w:val="none" w:sz="0" w:space="0" w:color="auto"/>
                        <w:right w:val="none" w:sz="0" w:space="0" w:color="auto"/>
                      </w:divBdr>
                    </w:div>
                  </w:divsChild>
                </w:div>
                <w:div w:id="1173567726">
                  <w:marLeft w:val="0"/>
                  <w:marRight w:val="0"/>
                  <w:marTop w:val="0"/>
                  <w:marBottom w:val="0"/>
                  <w:divBdr>
                    <w:top w:val="none" w:sz="0" w:space="0" w:color="auto"/>
                    <w:left w:val="none" w:sz="0" w:space="0" w:color="auto"/>
                    <w:bottom w:val="none" w:sz="0" w:space="0" w:color="auto"/>
                    <w:right w:val="none" w:sz="0" w:space="0" w:color="auto"/>
                  </w:divBdr>
                  <w:divsChild>
                    <w:div w:id="1808888114">
                      <w:marLeft w:val="0"/>
                      <w:marRight w:val="0"/>
                      <w:marTop w:val="0"/>
                      <w:marBottom w:val="0"/>
                      <w:divBdr>
                        <w:top w:val="none" w:sz="0" w:space="0" w:color="auto"/>
                        <w:left w:val="none" w:sz="0" w:space="0" w:color="auto"/>
                        <w:bottom w:val="none" w:sz="0" w:space="0" w:color="auto"/>
                        <w:right w:val="none" w:sz="0" w:space="0" w:color="auto"/>
                      </w:divBdr>
                    </w:div>
                  </w:divsChild>
                </w:div>
                <w:div w:id="1185709460">
                  <w:marLeft w:val="0"/>
                  <w:marRight w:val="0"/>
                  <w:marTop w:val="0"/>
                  <w:marBottom w:val="0"/>
                  <w:divBdr>
                    <w:top w:val="none" w:sz="0" w:space="0" w:color="auto"/>
                    <w:left w:val="none" w:sz="0" w:space="0" w:color="auto"/>
                    <w:bottom w:val="none" w:sz="0" w:space="0" w:color="auto"/>
                    <w:right w:val="none" w:sz="0" w:space="0" w:color="auto"/>
                  </w:divBdr>
                  <w:divsChild>
                    <w:div w:id="919870955">
                      <w:marLeft w:val="0"/>
                      <w:marRight w:val="0"/>
                      <w:marTop w:val="0"/>
                      <w:marBottom w:val="0"/>
                      <w:divBdr>
                        <w:top w:val="none" w:sz="0" w:space="0" w:color="auto"/>
                        <w:left w:val="none" w:sz="0" w:space="0" w:color="auto"/>
                        <w:bottom w:val="none" w:sz="0" w:space="0" w:color="auto"/>
                        <w:right w:val="none" w:sz="0" w:space="0" w:color="auto"/>
                      </w:divBdr>
                    </w:div>
                  </w:divsChild>
                </w:div>
                <w:div w:id="1186015267">
                  <w:marLeft w:val="0"/>
                  <w:marRight w:val="0"/>
                  <w:marTop w:val="0"/>
                  <w:marBottom w:val="0"/>
                  <w:divBdr>
                    <w:top w:val="none" w:sz="0" w:space="0" w:color="auto"/>
                    <w:left w:val="none" w:sz="0" w:space="0" w:color="auto"/>
                    <w:bottom w:val="none" w:sz="0" w:space="0" w:color="auto"/>
                    <w:right w:val="none" w:sz="0" w:space="0" w:color="auto"/>
                  </w:divBdr>
                  <w:divsChild>
                    <w:div w:id="469520435">
                      <w:marLeft w:val="0"/>
                      <w:marRight w:val="0"/>
                      <w:marTop w:val="0"/>
                      <w:marBottom w:val="0"/>
                      <w:divBdr>
                        <w:top w:val="none" w:sz="0" w:space="0" w:color="auto"/>
                        <w:left w:val="none" w:sz="0" w:space="0" w:color="auto"/>
                        <w:bottom w:val="none" w:sz="0" w:space="0" w:color="auto"/>
                        <w:right w:val="none" w:sz="0" w:space="0" w:color="auto"/>
                      </w:divBdr>
                    </w:div>
                  </w:divsChild>
                </w:div>
                <w:div w:id="1241677706">
                  <w:marLeft w:val="0"/>
                  <w:marRight w:val="0"/>
                  <w:marTop w:val="0"/>
                  <w:marBottom w:val="0"/>
                  <w:divBdr>
                    <w:top w:val="none" w:sz="0" w:space="0" w:color="auto"/>
                    <w:left w:val="none" w:sz="0" w:space="0" w:color="auto"/>
                    <w:bottom w:val="none" w:sz="0" w:space="0" w:color="auto"/>
                    <w:right w:val="none" w:sz="0" w:space="0" w:color="auto"/>
                  </w:divBdr>
                  <w:divsChild>
                    <w:div w:id="297303968">
                      <w:marLeft w:val="0"/>
                      <w:marRight w:val="0"/>
                      <w:marTop w:val="0"/>
                      <w:marBottom w:val="0"/>
                      <w:divBdr>
                        <w:top w:val="none" w:sz="0" w:space="0" w:color="auto"/>
                        <w:left w:val="none" w:sz="0" w:space="0" w:color="auto"/>
                        <w:bottom w:val="none" w:sz="0" w:space="0" w:color="auto"/>
                        <w:right w:val="none" w:sz="0" w:space="0" w:color="auto"/>
                      </w:divBdr>
                    </w:div>
                  </w:divsChild>
                </w:div>
                <w:div w:id="1337919518">
                  <w:marLeft w:val="0"/>
                  <w:marRight w:val="0"/>
                  <w:marTop w:val="0"/>
                  <w:marBottom w:val="0"/>
                  <w:divBdr>
                    <w:top w:val="none" w:sz="0" w:space="0" w:color="auto"/>
                    <w:left w:val="none" w:sz="0" w:space="0" w:color="auto"/>
                    <w:bottom w:val="none" w:sz="0" w:space="0" w:color="auto"/>
                    <w:right w:val="none" w:sz="0" w:space="0" w:color="auto"/>
                  </w:divBdr>
                  <w:divsChild>
                    <w:div w:id="828642114">
                      <w:marLeft w:val="0"/>
                      <w:marRight w:val="0"/>
                      <w:marTop w:val="0"/>
                      <w:marBottom w:val="0"/>
                      <w:divBdr>
                        <w:top w:val="none" w:sz="0" w:space="0" w:color="auto"/>
                        <w:left w:val="none" w:sz="0" w:space="0" w:color="auto"/>
                        <w:bottom w:val="none" w:sz="0" w:space="0" w:color="auto"/>
                        <w:right w:val="none" w:sz="0" w:space="0" w:color="auto"/>
                      </w:divBdr>
                    </w:div>
                  </w:divsChild>
                </w:div>
                <w:div w:id="1349910786">
                  <w:marLeft w:val="0"/>
                  <w:marRight w:val="0"/>
                  <w:marTop w:val="0"/>
                  <w:marBottom w:val="0"/>
                  <w:divBdr>
                    <w:top w:val="none" w:sz="0" w:space="0" w:color="auto"/>
                    <w:left w:val="none" w:sz="0" w:space="0" w:color="auto"/>
                    <w:bottom w:val="none" w:sz="0" w:space="0" w:color="auto"/>
                    <w:right w:val="none" w:sz="0" w:space="0" w:color="auto"/>
                  </w:divBdr>
                  <w:divsChild>
                    <w:div w:id="272445949">
                      <w:marLeft w:val="0"/>
                      <w:marRight w:val="0"/>
                      <w:marTop w:val="0"/>
                      <w:marBottom w:val="0"/>
                      <w:divBdr>
                        <w:top w:val="none" w:sz="0" w:space="0" w:color="auto"/>
                        <w:left w:val="none" w:sz="0" w:space="0" w:color="auto"/>
                        <w:bottom w:val="none" w:sz="0" w:space="0" w:color="auto"/>
                        <w:right w:val="none" w:sz="0" w:space="0" w:color="auto"/>
                      </w:divBdr>
                    </w:div>
                  </w:divsChild>
                </w:div>
                <w:div w:id="1358389195">
                  <w:marLeft w:val="0"/>
                  <w:marRight w:val="0"/>
                  <w:marTop w:val="0"/>
                  <w:marBottom w:val="0"/>
                  <w:divBdr>
                    <w:top w:val="none" w:sz="0" w:space="0" w:color="auto"/>
                    <w:left w:val="none" w:sz="0" w:space="0" w:color="auto"/>
                    <w:bottom w:val="none" w:sz="0" w:space="0" w:color="auto"/>
                    <w:right w:val="none" w:sz="0" w:space="0" w:color="auto"/>
                  </w:divBdr>
                  <w:divsChild>
                    <w:div w:id="1670252827">
                      <w:marLeft w:val="0"/>
                      <w:marRight w:val="0"/>
                      <w:marTop w:val="0"/>
                      <w:marBottom w:val="0"/>
                      <w:divBdr>
                        <w:top w:val="none" w:sz="0" w:space="0" w:color="auto"/>
                        <w:left w:val="none" w:sz="0" w:space="0" w:color="auto"/>
                        <w:bottom w:val="none" w:sz="0" w:space="0" w:color="auto"/>
                        <w:right w:val="none" w:sz="0" w:space="0" w:color="auto"/>
                      </w:divBdr>
                    </w:div>
                  </w:divsChild>
                </w:div>
                <w:div w:id="1504127468">
                  <w:marLeft w:val="0"/>
                  <w:marRight w:val="0"/>
                  <w:marTop w:val="0"/>
                  <w:marBottom w:val="0"/>
                  <w:divBdr>
                    <w:top w:val="none" w:sz="0" w:space="0" w:color="auto"/>
                    <w:left w:val="none" w:sz="0" w:space="0" w:color="auto"/>
                    <w:bottom w:val="none" w:sz="0" w:space="0" w:color="auto"/>
                    <w:right w:val="none" w:sz="0" w:space="0" w:color="auto"/>
                  </w:divBdr>
                  <w:divsChild>
                    <w:div w:id="1992438376">
                      <w:marLeft w:val="0"/>
                      <w:marRight w:val="0"/>
                      <w:marTop w:val="0"/>
                      <w:marBottom w:val="0"/>
                      <w:divBdr>
                        <w:top w:val="none" w:sz="0" w:space="0" w:color="auto"/>
                        <w:left w:val="none" w:sz="0" w:space="0" w:color="auto"/>
                        <w:bottom w:val="none" w:sz="0" w:space="0" w:color="auto"/>
                        <w:right w:val="none" w:sz="0" w:space="0" w:color="auto"/>
                      </w:divBdr>
                    </w:div>
                  </w:divsChild>
                </w:div>
                <w:div w:id="1509174821">
                  <w:marLeft w:val="0"/>
                  <w:marRight w:val="0"/>
                  <w:marTop w:val="0"/>
                  <w:marBottom w:val="0"/>
                  <w:divBdr>
                    <w:top w:val="none" w:sz="0" w:space="0" w:color="auto"/>
                    <w:left w:val="none" w:sz="0" w:space="0" w:color="auto"/>
                    <w:bottom w:val="none" w:sz="0" w:space="0" w:color="auto"/>
                    <w:right w:val="none" w:sz="0" w:space="0" w:color="auto"/>
                  </w:divBdr>
                  <w:divsChild>
                    <w:div w:id="218710023">
                      <w:marLeft w:val="0"/>
                      <w:marRight w:val="0"/>
                      <w:marTop w:val="0"/>
                      <w:marBottom w:val="0"/>
                      <w:divBdr>
                        <w:top w:val="none" w:sz="0" w:space="0" w:color="auto"/>
                        <w:left w:val="none" w:sz="0" w:space="0" w:color="auto"/>
                        <w:bottom w:val="none" w:sz="0" w:space="0" w:color="auto"/>
                        <w:right w:val="none" w:sz="0" w:space="0" w:color="auto"/>
                      </w:divBdr>
                    </w:div>
                  </w:divsChild>
                </w:div>
                <w:div w:id="1668709557">
                  <w:marLeft w:val="0"/>
                  <w:marRight w:val="0"/>
                  <w:marTop w:val="0"/>
                  <w:marBottom w:val="0"/>
                  <w:divBdr>
                    <w:top w:val="none" w:sz="0" w:space="0" w:color="auto"/>
                    <w:left w:val="none" w:sz="0" w:space="0" w:color="auto"/>
                    <w:bottom w:val="none" w:sz="0" w:space="0" w:color="auto"/>
                    <w:right w:val="none" w:sz="0" w:space="0" w:color="auto"/>
                  </w:divBdr>
                  <w:divsChild>
                    <w:div w:id="98182433">
                      <w:marLeft w:val="0"/>
                      <w:marRight w:val="0"/>
                      <w:marTop w:val="0"/>
                      <w:marBottom w:val="0"/>
                      <w:divBdr>
                        <w:top w:val="none" w:sz="0" w:space="0" w:color="auto"/>
                        <w:left w:val="none" w:sz="0" w:space="0" w:color="auto"/>
                        <w:bottom w:val="none" w:sz="0" w:space="0" w:color="auto"/>
                        <w:right w:val="none" w:sz="0" w:space="0" w:color="auto"/>
                      </w:divBdr>
                    </w:div>
                  </w:divsChild>
                </w:div>
                <w:div w:id="1690910654">
                  <w:marLeft w:val="0"/>
                  <w:marRight w:val="0"/>
                  <w:marTop w:val="0"/>
                  <w:marBottom w:val="0"/>
                  <w:divBdr>
                    <w:top w:val="none" w:sz="0" w:space="0" w:color="auto"/>
                    <w:left w:val="none" w:sz="0" w:space="0" w:color="auto"/>
                    <w:bottom w:val="none" w:sz="0" w:space="0" w:color="auto"/>
                    <w:right w:val="none" w:sz="0" w:space="0" w:color="auto"/>
                  </w:divBdr>
                  <w:divsChild>
                    <w:div w:id="310646261">
                      <w:marLeft w:val="0"/>
                      <w:marRight w:val="0"/>
                      <w:marTop w:val="0"/>
                      <w:marBottom w:val="0"/>
                      <w:divBdr>
                        <w:top w:val="none" w:sz="0" w:space="0" w:color="auto"/>
                        <w:left w:val="none" w:sz="0" w:space="0" w:color="auto"/>
                        <w:bottom w:val="none" w:sz="0" w:space="0" w:color="auto"/>
                        <w:right w:val="none" w:sz="0" w:space="0" w:color="auto"/>
                      </w:divBdr>
                    </w:div>
                  </w:divsChild>
                </w:div>
                <w:div w:id="1707438407">
                  <w:marLeft w:val="0"/>
                  <w:marRight w:val="0"/>
                  <w:marTop w:val="0"/>
                  <w:marBottom w:val="0"/>
                  <w:divBdr>
                    <w:top w:val="none" w:sz="0" w:space="0" w:color="auto"/>
                    <w:left w:val="none" w:sz="0" w:space="0" w:color="auto"/>
                    <w:bottom w:val="none" w:sz="0" w:space="0" w:color="auto"/>
                    <w:right w:val="none" w:sz="0" w:space="0" w:color="auto"/>
                  </w:divBdr>
                  <w:divsChild>
                    <w:div w:id="1485705577">
                      <w:marLeft w:val="0"/>
                      <w:marRight w:val="0"/>
                      <w:marTop w:val="0"/>
                      <w:marBottom w:val="0"/>
                      <w:divBdr>
                        <w:top w:val="none" w:sz="0" w:space="0" w:color="auto"/>
                        <w:left w:val="none" w:sz="0" w:space="0" w:color="auto"/>
                        <w:bottom w:val="none" w:sz="0" w:space="0" w:color="auto"/>
                        <w:right w:val="none" w:sz="0" w:space="0" w:color="auto"/>
                      </w:divBdr>
                    </w:div>
                  </w:divsChild>
                </w:div>
                <w:div w:id="1734740221">
                  <w:marLeft w:val="0"/>
                  <w:marRight w:val="0"/>
                  <w:marTop w:val="0"/>
                  <w:marBottom w:val="0"/>
                  <w:divBdr>
                    <w:top w:val="none" w:sz="0" w:space="0" w:color="auto"/>
                    <w:left w:val="none" w:sz="0" w:space="0" w:color="auto"/>
                    <w:bottom w:val="none" w:sz="0" w:space="0" w:color="auto"/>
                    <w:right w:val="none" w:sz="0" w:space="0" w:color="auto"/>
                  </w:divBdr>
                  <w:divsChild>
                    <w:div w:id="1271662281">
                      <w:marLeft w:val="0"/>
                      <w:marRight w:val="0"/>
                      <w:marTop w:val="0"/>
                      <w:marBottom w:val="0"/>
                      <w:divBdr>
                        <w:top w:val="none" w:sz="0" w:space="0" w:color="auto"/>
                        <w:left w:val="none" w:sz="0" w:space="0" w:color="auto"/>
                        <w:bottom w:val="none" w:sz="0" w:space="0" w:color="auto"/>
                        <w:right w:val="none" w:sz="0" w:space="0" w:color="auto"/>
                      </w:divBdr>
                    </w:div>
                  </w:divsChild>
                </w:div>
                <w:div w:id="1779446246">
                  <w:marLeft w:val="0"/>
                  <w:marRight w:val="0"/>
                  <w:marTop w:val="0"/>
                  <w:marBottom w:val="0"/>
                  <w:divBdr>
                    <w:top w:val="none" w:sz="0" w:space="0" w:color="auto"/>
                    <w:left w:val="none" w:sz="0" w:space="0" w:color="auto"/>
                    <w:bottom w:val="none" w:sz="0" w:space="0" w:color="auto"/>
                    <w:right w:val="none" w:sz="0" w:space="0" w:color="auto"/>
                  </w:divBdr>
                  <w:divsChild>
                    <w:div w:id="1145849817">
                      <w:marLeft w:val="0"/>
                      <w:marRight w:val="0"/>
                      <w:marTop w:val="0"/>
                      <w:marBottom w:val="0"/>
                      <w:divBdr>
                        <w:top w:val="none" w:sz="0" w:space="0" w:color="auto"/>
                        <w:left w:val="none" w:sz="0" w:space="0" w:color="auto"/>
                        <w:bottom w:val="none" w:sz="0" w:space="0" w:color="auto"/>
                        <w:right w:val="none" w:sz="0" w:space="0" w:color="auto"/>
                      </w:divBdr>
                    </w:div>
                  </w:divsChild>
                </w:div>
                <w:div w:id="1842038034">
                  <w:marLeft w:val="0"/>
                  <w:marRight w:val="0"/>
                  <w:marTop w:val="0"/>
                  <w:marBottom w:val="0"/>
                  <w:divBdr>
                    <w:top w:val="none" w:sz="0" w:space="0" w:color="auto"/>
                    <w:left w:val="none" w:sz="0" w:space="0" w:color="auto"/>
                    <w:bottom w:val="none" w:sz="0" w:space="0" w:color="auto"/>
                    <w:right w:val="none" w:sz="0" w:space="0" w:color="auto"/>
                  </w:divBdr>
                  <w:divsChild>
                    <w:div w:id="568806331">
                      <w:marLeft w:val="0"/>
                      <w:marRight w:val="0"/>
                      <w:marTop w:val="0"/>
                      <w:marBottom w:val="0"/>
                      <w:divBdr>
                        <w:top w:val="none" w:sz="0" w:space="0" w:color="auto"/>
                        <w:left w:val="none" w:sz="0" w:space="0" w:color="auto"/>
                        <w:bottom w:val="none" w:sz="0" w:space="0" w:color="auto"/>
                        <w:right w:val="none" w:sz="0" w:space="0" w:color="auto"/>
                      </w:divBdr>
                    </w:div>
                  </w:divsChild>
                </w:div>
                <w:div w:id="1844665831">
                  <w:marLeft w:val="0"/>
                  <w:marRight w:val="0"/>
                  <w:marTop w:val="0"/>
                  <w:marBottom w:val="0"/>
                  <w:divBdr>
                    <w:top w:val="none" w:sz="0" w:space="0" w:color="auto"/>
                    <w:left w:val="none" w:sz="0" w:space="0" w:color="auto"/>
                    <w:bottom w:val="none" w:sz="0" w:space="0" w:color="auto"/>
                    <w:right w:val="none" w:sz="0" w:space="0" w:color="auto"/>
                  </w:divBdr>
                  <w:divsChild>
                    <w:div w:id="1958440620">
                      <w:marLeft w:val="0"/>
                      <w:marRight w:val="0"/>
                      <w:marTop w:val="0"/>
                      <w:marBottom w:val="0"/>
                      <w:divBdr>
                        <w:top w:val="none" w:sz="0" w:space="0" w:color="auto"/>
                        <w:left w:val="none" w:sz="0" w:space="0" w:color="auto"/>
                        <w:bottom w:val="none" w:sz="0" w:space="0" w:color="auto"/>
                        <w:right w:val="none" w:sz="0" w:space="0" w:color="auto"/>
                      </w:divBdr>
                    </w:div>
                  </w:divsChild>
                </w:div>
                <w:div w:id="1858351282">
                  <w:marLeft w:val="0"/>
                  <w:marRight w:val="0"/>
                  <w:marTop w:val="0"/>
                  <w:marBottom w:val="0"/>
                  <w:divBdr>
                    <w:top w:val="none" w:sz="0" w:space="0" w:color="auto"/>
                    <w:left w:val="none" w:sz="0" w:space="0" w:color="auto"/>
                    <w:bottom w:val="none" w:sz="0" w:space="0" w:color="auto"/>
                    <w:right w:val="none" w:sz="0" w:space="0" w:color="auto"/>
                  </w:divBdr>
                  <w:divsChild>
                    <w:div w:id="2093121154">
                      <w:marLeft w:val="0"/>
                      <w:marRight w:val="0"/>
                      <w:marTop w:val="0"/>
                      <w:marBottom w:val="0"/>
                      <w:divBdr>
                        <w:top w:val="none" w:sz="0" w:space="0" w:color="auto"/>
                        <w:left w:val="none" w:sz="0" w:space="0" w:color="auto"/>
                        <w:bottom w:val="none" w:sz="0" w:space="0" w:color="auto"/>
                        <w:right w:val="none" w:sz="0" w:space="0" w:color="auto"/>
                      </w:divBdr>
                    </w:div>
                  </w:divsChild>
                </w:div>
                <w:div w:id="1871722146">
                  <w:marLeft w:val="0"/>
                  <w:marRight w:val="0"/>
                  <w:marTop w:val="0"/>
                  <w:marBottom w:val="0"/>
                  <w:divBdr>
                    <w:top w:val="none" w:sz="0" w:space="0" w:color="auto"/>
                    <w:left w:val="none" w:sz="0" w:space="0" w:color="auto"/>
                    <w:bottom w:val="none" w:sz="0" w:space="0" w:color="auto"/>
                    <w:right w:val="none" w:sz="0" w:space="0" w:color="auto"/>
                  </w:divBdr>
                  <w:divsChild>
                    <w:div w:id="1179932110">
                      <w:marLeft w:val="0"/>
                      <w:marRight w:val="0"/>
                      <w:marTop w:val="0"/>
                      <w:marBottom w:val="0"/>
                      <w:divBdr>
                        <w:top w:val="none" w:sz="0" w:space="0" w:color="auto"/>
                        <w:left w:val="none" w:sz="0" w:space="0" w:color="auto"/>
                        <w:bottom w:val="none" w:sz="0" w:space="0" w:color="auto"/>
                        <w:right w:val="none" w:sz="0" w:space="0" w:color="auto"/>
                      </w:divBdr>
                    </w:div>
                  </w:divsChild>
                </w:div>
                <w:div w:id="1874271518">
                  <w:marLeft w:val="0"/>
                  <w:marRight w:val="0"/>
                  <w:marTop w:val="0"/>
                  <w:marBottom w:val="0"/>
                  <w:divBdr>
                    <w:top w:val="none" w:sz="0" w:space="0" w:color="auto"/>
                    <w:left w:val="none" w:sz="0" w:space="0" w:color="auto"/>
                    <w:bottom w:val="none" w:sz="0" w:space="0" w:color="auto"/>
                    <w:right w:val="none" w:sz="0" w:space="0" w:color="auto"/>
                  </w:divBdr>
                  <w:divsChild>
                    <w:div w:id="1372920166">
                      <w:marLeft w:val="0"/>
                      <w:marRight w:val="0"/>
                      <w:marTop w:val="0"/>
                      <w:marBottom w:val="0"/>
                      <w:divBdr>
                        <w:top w:val="none" w:sz="0" w:space="0" w:color="auto"/>
                        <w:left w:val="none" w:sz="0" w:space="0" w:color="auto"/>
                        <w:bottom w:val="none" w:sz="0" w:space="0" w:color="auto"/>
                        <w:right w:val="none" w:sz="0" w:space="0" w:color="auto"/>
                      </w:divBdr>
                    </w:div>
                  </w:divsChild>
                </w:div>
                <w:div w:id="1908110445">
                  <w:marLeft w:val="0"/>
                  <w:marRight w:val="0"/>
                  <w:marTop w:val="0"/>
                  <w:marBottom w:val="0"/>
                  <w:divBdr>
                    <w:top w:val="none" w:sz="0" w:space="0" w:color="auto"/>
                    <w:left w:val="none" w:sz="0" w:space="0" w:color="auto"/>
                    <w:bottom w:val="none" w:sz="0" w:space="0" w:color="auto"/>
                    <w:right w:val="none" w:sz="0" w:space="0" w:color="auto"/>
                  </w:divBdr>
                  <w:divsChild>
                    <w:div w:id="758720534">
                      <w:marLeft w:val="0"/>
                      <w:marRight w:val="0"/>
                      <w:marTop w:val="0"/>
                      <w:marBottom w:val="0"/>
                      <w:divBdr>
                        <w:top w:val="none" w:sz="0" w:space="0" w:color="auto"/>
                        <w:left w:val="none" w:sz="0" w:space="0" w:color="auto"/>
                        <w:bottom w:val="none" w:sz="0" w:space="0" w:color="auto"/>
                        <w:right w:val="none" w:sz="0" w:space="0" w:color="auto"/>
                      </w:divBdr>
                    </w:div>
                  </w:divsChild>
                </w:div>
                <w:div w:id="1946690792">
                  <w:marLeft w:val="0"/>
                  <w:marRight w:val="0"/>
                  <w:marTop w:val="0"/>
                  <w:marBottom w:val="0"/>
                  <w:divBdr>
                    <w:top w:val="none" w:sz="0" w:space="0" w:color="auto"/>
                    <w:left w:val="none" w:sz="0" w:space="0" w:color="auto"/>
                    <w:bottom w:val="none" w:sz="0" w:space="0" w:color="auto"/>
                    <w:right w:val="none" w:sz="0" w:space="0" w:color="auto"/>
                  </w:divBdr>
                  <w:divsChild>
                    <w:div w:id="1733848188">
                      <w:marLeft w:val="0"/>
                      <w:marRight w:val="0"/>
                      <w:marTop w:val="0"/>
                      <w:marBottom w:val="0"/>
                      <w:divBdr>
                        <w:top w:val="none" w:sz="0" w:space="0" w:color="auto"/>
                        <w:left w:val="none" w:sz="0" w:space="0" w:color="auto"/>
                        <w:bottom w:val="none" w:sz="0" w:space="0" w:color="auto"/>
                        <w:right w:val="none" w:sz="0" w:space="0" w:color="auto"/>
                      </w:divBdr>
                    </w:div>
                  </w:divsChild>
                </w:div>
                <w:div w:id="2003968921">
                  <w:marLeft w:val="0"/>
                  <w:marRight w:val="0"/>
                  <w:marTop w:val="0"/>
                  <w:marBottom w:val="0"/>
                  <w:divBdr>
                    <w:top w:val="none" w:sz="0" w:space="0" w:color="auto"/>
                    <w:left w:val="none" w:sz="0" w:space="0" w:color="auto"/>
                    <w:bottom w:val="none" w:sz="0" w:space="0" w:color="auto"/>
                    <w:right w:val="none" w:sz="0" w:space="0" w:color="auto"/>
                  </w:divBdr>
                  <w:divsChild>
                    <w:div w:id="1450123833">
                      <w:marLeft w:val="0"/>
                      <w:marRight w:val="0"/>
                      <w:marTop w:val="0"/>
                      <w:marBottom w:val="0"/>
                      <w:divBdr>
                        <w:top w:val="none" w:sz="0" w:space="0" w:color="auto"/>
                        <w:left w:val="none" w:sz="0" w:space="0" w:color="auto"/>
                        <w:bottom w:val="none" w:sz="0" w:space="0" w:color="auto"/>
                        <w:right w:val="none" w:sz="0" w:space="0" w:color="auto"/>
                      </w:divBdr>
                    </w:div>
                  </w:divsChild>
                </w:div>
                <w:div w:id="2005431539">
                  <w:marLeft w:val="0"/>
                  <w:marRight w:val="0"/>
                  <w:marTop w:val="0"/>
                  <w:marBottom w:val="0"/>
                  <w:divBdr>
                    <w:top w:val="none" w:sz="0" w:space="0" w:color="auto"/>
                    <w:left w:val="none" w:sz="0" w:space="0" w:color="auto"/>
                    <w:bottom w:val="none" w:sz="0" w:space="0" w:color="auto"/>
                    <w:right w:val="none" w:sz="0" w:space="0" w:color="auto"/>
                  </w:divBdr>
                  <w:divsChild>
                    <w:div w:id="286594293">
                      <w:marLeft w:val="0"/>
                      <w:marRight w:val="0"/>
                      <w:marTop w:val="0"/>
                      <w:marBottom w:val="0"/>
                      <w:divBdr>
                        <w:top w:val="none" w:sz="0" w:space="0" w:color="auto"/>
                        <w:left w:val="none" w:sz="0" w:space="0" w:color="auto"/>
                        <w:bottom w:val="none" w:sz="0" w:space="0" w:color="auto"/>
                        <w:right w:val="none" w:sz="0" w:space="0" w:color="auto"/>
                      </w:divBdr>
                    </w:div>
                  </w:divsChild>
                </w:div>
                <w:div w:id="2028479406">
                  <w:marLeft w:val="0"/>
                  <w:marRight w:val="0"/>
                  <w:marTop w:val="0"/>
                  <w:marBottom w:val="0"/>
                  <w:divBdr>
                    <w:top w:val="none" w:sz="0" w:space="0" w:color="auto"/>
                    <w:left w:val="none" w:sz="0" w:space="0" w:color="auto"/>
                    <w:bottom w:val="none" w:sz="0" w:space="0" w:color="auto"/>
                    <w:right w:val="none" w:sz="0" w:space="0" w:color="auto"/>
                  </w:divBdr>
                  <w:divsChild>
                    <w:div w:id="12839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24088">
          <w:marLeft w:val="0"/>
          <w:marRight w:val="0"/>
          <w:marTop w:val="0"/>
          <w:marBottom w:val="0"/>
          <w:divBdr>
            <w:top w:val="none" w:sz="0" w:space="0" w:color="auto"/>
            <w:left w:val="none" w:sz="0" w:space="0" w:color="auto"/>
            <w:bottom w:val="none" w:sz="0" w:space="0" w:color="auto"/>
            <w:right w:val="none" w:sz="0" w:space="0" w:color="auto"/>
          </w:divBdr>
        </w:div>
      </w:divsChild>
    </w:div>
    <w:div w:id="1649017867">
      <w:bodyDiv w:val="1"/>
      <w:marLeft w:val="0"/>
      <w:marRight w:val="0"/>
      <w:marTop w:val="0"/>
      <w:marBottom w:val="0"/>
      <w:divBdr>
        <w:top w:val="none" w:sz="0" w:space="0" w:color="auto"/>
        <w:left w:val="none" w:sz="0" w:space="0" w:color="auto"/>
        <w:bottom w:val="none" w:sz="0" w:space="0" w:color="auto"/>
        <w:right w:val="none" w:sz="0" w:space="0" w:color="auto"/>
      </w:divBdr>
    </w:div>
    <w:div w:id="1875001660">
      <w:bodyDiv w:val="1"/>
      <w:marLeft w:val="0"/>
      <w:marRight w:val="0"/>
      <w:marTop w:val="0"/>
      <w:marBottom w:val="0"/>
      <w:divBdr>
        <w:top w:val="none" w:sz="0" w:space="0" w:color="auto"/>
        <w:left w:val="none" w:sz="0" w:space="0" w:color="auto"/>
        <w:bottom w:val="none" w:sz="0" w:space="0" w:color="auto"/>
        <w:right w:val="none" w:sz="0" w:space="0" w:color="auto"/>
      </w:divBdr>
    </w:div>
    <w:div w:id="2042392577">
      <w:bodyDiv w:val="1"/>
      <w:marLeft w:val="0"/>
      <w:marRight w:val="0"/>
      <w:marTop w:val="0"/>
      <w:marBottom w:val="0"/>
      <w:divBdr>
        <w:top w:val="none" w:sz="0" w:space="0" w:color="auto"/>
        <w:left w:val="none" w:sz="0" w:space="0" w:color="auto"/>
        <w:bottom w:val="none" w:sz="0" w:space="0" w:color="auto"/>
        <w:right w:val="none" w:sz="0" w:space="0" w:color="auto"/>
      </w:divBdr>
    </w:div>
    <w:div w:id="2065834915">
      <w:bodyDiv w:val="1"/>
      <w:marLeft w:val="0"/>
      <w:marRight w:val="0"/>
      <w:marTop w:val="0"/>
      <w:marBottom w:val="0"/>
      <w:divBdr>
        <w:top w:val="none" w:sz="0" w:space="0" w:color="auto"/>
        <w:left w:val="none" w:sz="0" w:space="0" w:color="auto"/>
        <w:bottom w:val="none" w:sz="0" w:space="0" w:color="auto"/>
        <w:right w:val="none" w:sz="0" w:space="0" w:color="auto"/>
      </w:divBdr>
    </w:div>
    <w:div w:id="210799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3e98f8438872453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1d22641f880d429a" Type="http://schemas.microsoft.com/office/2019/09/relationships/intelligence" Target="intelligence.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commission/presscorner/detail/bg/ip_21_3903" TargetMode="External"/><Relationship Id="rId3" Type="http://schemas.openxmlformats.org/officeDocument/2006/relationships/hyperlink" Target="https://ec.europa.eu/economy_finance/publications/pages/publication16061_en.pdf" TargetMode="External"/><Relationship Id="rId7" Type="http://schemas.openxmlformats.org/officeDocument/2006/relationships/hyperlink" Target="https://ec.europa.eu/info/food-farming-fisheries/key-policies/common-agricultural-policy/market-measures/agri-food-supply-chain/unfair-trading-practices_bg" TargetMode="External"/><Relationship Id="rId12" Type="http://schemas.openxmlformats.org/officeDocument/2006/relationships/hyperlink" Target="https://ec.europa.eu/info/food-farming-fisheries/key-policies/common-agricultural-policy/market-measures/agri-food-supply-chain/unfair-trading-practices_bg" TargetMode="External"/><Relationship Id="rId2" Type="http://schemas.openxmlformats.org/officeDocument/2006/relationships/hyperlink" Target="https://www.consilium.europa.eu/media/22604/st15508en16.pdf" TargetMode="External"/><Relationship Id="rId1" Type="http://schemas.openxmlformats.org/officeDocument/2006/relationships/hyperlink" Target="https://www.europarl.europa.eu/doceo/document/TA-8-2016-0250_BG.html" TargetMode="External"/><Relationship Id="rId6" Type="http://schemas.openxmlformats.org/officeDocument/2006/relationships/hyperlink" Target="https://publications.jrc.ec.europa.eu/repository/handle/JRC112654" TargetMode="External"/><Relationship Id="rId11" Type="http://schemas.openxmlformats.org/officeDocument/2006/relationships/hyperlink" Target="https://ec.europa.eu/info/food-farming-fisheries/key-policies/common-agricultural-policy/market-measures/agri-food-supply-chain/unfair-trading-practices_bg" TargetMode="External"/><Relationship Id="rId5" Type="http://schemas.openxmlformats.org/officeDocument/2006/relationships/hyperlink" Target="https://eur-lex.europa.eu/legal-content/BG/TXT/PDF/?uri=CELEX:52016DC0032" TargetMode="External"/><Relationship Id="rId10" Type="http://schemas.openxmlformats.org/officeDocument/2006/relationships/hyperlink" Target="https://eur-lex.europa.eu/legal-content/BG/TXT/?uri=OJ:L:2013:347:TOC&amp;toc=OJ:L:2019:184:FULL" TargetMode="External"/><Relationship Id="rId4" Type="http://schemas.openxmlformats.org/officeDocument/2006/relationships/hyperlink" Target="https://eur-lex.europa.eu/legal-content/BG/TXT/PDF/?uri=CELEX:52014DC0472" TargetMode="External"/><Relationship Id="rId9" Type="http://schemas.openxmlformats.org/officeDocument/2006/relationships/hyperlink" Target="https://ec.europa.eu/commission/presscorner/detail/bg/IP_21_39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060A5-C593-48DF-8990-8D05D883A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4604</Words>
  <Characters>26341</Characters>
  <Application>Microsoft Office Word</Application>
  <DocSecurity>0</DocSecurity>
  <Lines>526</Lines>
  <Paragraphs>202</Paragraphs>
  <ScaleCrop>false</ScaleCrop>
  <Manager/>
  <Company/>
  <LinksUpToDate>false</LinksUpToDate>
  <CharactersWithSpaces>30743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2021-10-14T09:18:00Z</dcterms:created>
  <dcterms:modified xsi:type="dcterms:W3CDTF">2021-10-25T07:27:00Z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CP-008</vt:lpwstr>
  </property>
  <property fmtid="{D5CDD505-2E9C-101B-9397-08002B2CF9AE}" pid="8" name="Created using">
    <vt:lpwstr>LW 6.0.1, Build 20180503</vt:lpwstr>
  </property>
</Properties>
</file>