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7C21E31-A18E-4D27-BD47-26DA85CEB599" style="width:450.75pt;height:366pt">
            <v:imagedata r:id="rId13" o:title=""/>
          </v:shape>
        </w:pict>
      </w:r>
    </w:p>
    <w:p>
      <w:pPr>
        <w:rPr>
          <w:noProof/>
        </w:rPr>
        <w:sectPr>
          <w:footerReference w:type="default" r:id="rId14"/>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ОБЯСНИТЕЛЕН МЕМОРАНДУМ</w:t>
      </w:r>
    </w:p>
    <w:p>
      <w:pPr>
        <w:pStyle w:val="ManualHeading1"/>
        <w:rPr>
          <w:noProof/>
        </w:rPr>
      </w:pPr>
      <w:r>
        <w:rPr>
          <w:noProof/>
        </w:rPr>
        <w:t>1.</w:t>
      </w:r>
      <w:r>
        <w:rPr>
          <w:noProof/>
        </w:rPr>
        <w:tab/>
        <w:t>КОНТЕКСТ НА ПРЕДЛОЖЕНИЕТО</w:t>
      </w:r>
    </w:p>
    <w:p>
      <w:pPr>
        <w:pStyle w:val="ManualHeading2"/>
        <w:rPr>
          <w:rFonts w:eastAsia="Arial Unicode MS"/>
          <w:noProof/>
        </w:rPr>
      </w:pPr>
      <w:r>
        <w:rPr>
          <w:noProof/>
          <w:color w:val="000000"/>
          <w:u w:color="000000"/>
          <w:bdr w:val="nil"/>
        </w:rPr>
        <w:t>•</w:t>
      </w:r>
      <w:r>
        <w:rPr>
          <w:noProof/>
        </w:rPr>
        <w:tab/>
        <w:t>Основания и цели на предложението</w:t>
      </w:r>
    </w:p>
    <w:p>
      <w:pPr>
        <w:rPr>
          <w:noProof/>
        </w:rPr>
      </w:pPr>
      <w:r>
        <w:rPr>
          <w:noProof/>
        </w:rPr>
        <w:t>На 29 март 2017 г. Обединеното кралство представи уведомление за намерението си да се оттегли от Съюза съгласно член 50 от Договора за Европейския съюз. В съответствие с член 50 Съюзът договори с Обединеното кралство споразумение, с което се определят редът и условията за неговото оттегляне, като се взема предвид рамката на бъдещите ни отношения („Споразумението за оттегляне“)</w:t>
      </w:r>
      <w:r>
        <w:rPr>
          <w:rStyle w:val="FootnoteReference"/>
          <w:noProof/>
        </w:rPr>
        <w:footnoteReference w:id="1"/>
      </w:r>
      <w:r>
        <w:rPr>
          <w:noProof/>
        </w:rPr>
        <w:t xml:space="preserve">. Съгласно условията на Споразумението за оттегляне Обединеното кралство вече не е държава — членка на Европейския съюз, считано от 31 януари 2020 г., и първичното и вторичното право на Съюза ще престанат да се прилагат спрямо Обединеното кралство след края на преходния етап на 31 декември 2020 г. </w:t>
      </w:r>
    </w:p>
    <w:p>
      <w:pPr>
        <w:rPr>
          <w:noProof/>
        </w:rPr>
      </w:pPr>
      <w:r>
        <w:rPr>
          <w:noProof/>
        </w:rPr>
        <w:t>С Регламент (ЕО) № 428/2009 на Съвета от 5 май 2009 г. („Регламента“) за въвеждане режим на Общността за контрол на износа, трансфера, брокерската дейност и транзита на изделия и технологии с двойна употреба</w:t>
      </w:r>
      <w:r>
        <w:rPr>
          <w:rStyle w:val="FootnoteReference"/>
          <w:noProof/>
        </w:rPr>
        <w:footnoteReference w:id="2"/>
      </w:r>
      <w:r>
        <w:rPr>
          <w:noProof/>
        </w:rPr>
        <w:t xml:space="preserve"> се създава обща система за контрол върху износа на изделия с двойна употреба в съответствие с международните ангажименти и задължения на държавите членки и Европейския съюз (ЕС). По силата на Регламента за износа на изделия с двойна употреба за трети държави се изисква разрешение. Това разрешение може да бъде индивидуално, глобално или генерално. </w:t>
      </w:r>
    </w:p>
    <w:p>
      <w:pPr>
        <w:rPr>
          <w:noProof/>
        </w:rPr>
      </w:pPr>
      <w:r>
        <w:rPr>
          <w:noProof/>
        </w:rPr>
        <w:t>За да се подпомогне конкурентоспособността на ЕС и да бъдат създадени еднакви условия на конкуренция за всички износители от Съюза, като същевременно се осигурява високо равнище на сигурност и пълно спазване на международните задължения, с Регламент (ЕО) № 428/2009 на Съвета се предвиждат генерални разрешения на Съюза за износ на определени изделия с двойна употреба за определени трети държави при определени условия. По-конкретно, в приложение ІІа към Регламента се предвижда генерално разрешение на Съюза за износ („ЕС001“) за определени нискорискови сделки, а именно износ за Австралия, Канада, Япония, Нова Зеландия, Норвегия, Швейцария (включително Лихтенщайн) и Съединените американски щати.</w:t>
      </w:r>
    </w:p>
    <w:p>
      <w:pPr>
        <w:pBdr>
          <w:top w:val="nil"/>
          <w:left w:val="nil"/>
          <w:bottom w:val="nil"/>
          <w:right w:val="nil"/>
          <w:between w:val="nil"/>
          <w:bar w:val="nil"/>
        </w:pBdr>
        <w:spacing w:before="0" w:after="240"/>
        <w:rPr>
          <w:noProof/>
        </w:rPr>
      </w:pPr>
      <w:r>
        <w:rPr>
          <w:noProof/>
        </w:rPr>
        <w:t xml:space="preserve">Оттеглянето на Обединеното кралство от Съюза засяга търговията с изделия с двойна употреба между тези две страни: по силата на Регламент (ЕО) № 428/2009 на Съвета за износа на изделия с двойна употреба от ЕС за Обединеното кралство след 1 януари 2021 г. ще се изисква разрешение за износ, издадено от компетентния национален орган на държавата членка, в която е установен износителят. Това би създало значителна административна тежест за компетентните органи на държавите членки и за износителите от ЕС, което ще окаже отражение върху конкурентоспособността им. </w:t>
      </w:r>
    </w:p>
    <w:p>
      <w:pPr>
        <w:pBdr>
          <w:top w:val="nil"/>
          <w:left w:val="nil"/>
          <w:bottom w:val="nil"/>
          <w:right w:val="nil"/>
          <w:between w:val="nil"/>
          <w:bar w:val="nil"/>
        </w:pBdr>
        <w:spacing w:before="0" w:after="240"/>
        <w:rPr>
          <w:noProof/>
        </w:rPr>
      </w:pPr>
      <w:r>
        <w:rPr>
          <w:noProof/>
        </w:rPr>
        <w:t>Поради това, за да се намалят тези рискове и последиците от оттеглянето на Обединеното кралство върху конкурентоспособността на ЕС, е целесъобразно в приложение IIa към Регламента да се добави Обединеното кралство и следователно да се контролира износът за Обединеното кралство съгласно генералното разрешение на Съюза за износ ЕС001. Има редица причини, поради които Обединеното кралство следва да бъде добавено в списъка на държавите с разрешение ЕС001:</w:t>
      </w:r>
    </w:p>
    <w:p>
      <w:pPr>
        <w:pStyle w:val="Bullet0"/>
        <w:numPr>
          <w:ilvl w:val="0"/>
          <w:numId w:val="9"/>
        </w:numPr>
        <w:rPr>
          <w:noProof/>
        </w:rPr>
      </w:pPr>
      <w:r>
        <w:rPr>
          <w:noProof/>
        </w:rPr>
        <w:lastRenderedPageBreak/>
        <w:t>Обединеното кралство е страна по относими международни договори и член на международни организации за неразпространение и спазва изцяло съответните задължения и ангажименти;</w:t>
      </w:r>
    </w:p>
    <w:p>
      <w:pPr>
        <w:pStyle w:val="Bullet0"/>
        <w:rPr>
          <w:noProof/>
        </w:rPr>
      </w:pPr>
      <w:r>
        <w:rPr>
          <w:noProof/>
        </w:rPr>
        <w:t xml:space="preserve">Обединеното кралство осъществява пропорционален и целесъобразен контрол, за да взема надлежно под внимание съображенията относно крайното предназначение и риска от отклоняване в съответствие с разпоредбите и целите на Регламента. </w:t>
      </w:r>
    </w:p>
    <w:p>
      <w:pPr>
        <w:pBdr>
          <w:top w:val="nil"/>
          <w:left w:val="nil"/>
          <w:bottom w:val="nil"/>
          <w:right w:val="nil"/>
          <w:between w:val="nil"/>
          <w:bar w:val="nil"/>
        </w:pBdr>
        <w:spacing w:before="0" w:after="240"/>
        <w:rPr>
          <w:noProof/>
        </w:rPr>
      </w:pPr>
      <w:r>
        <w:rPr>
          <w:noProof/>
        </w:rPr>
        <w:t>Поради това добавянето на Обединеното кралство към списъка на държавите с разрешение ЕС001 няма да окаже отрицателно въздействие върху сигурността в ЕС и на международно равнище, като същевременно се гарантира еднакво и последователно прилагане на контрола в целия ЕС и се осигуряват еднакви условия на конкуренция за износителите от ЕС.</w:t>
      </w:r>
    </w:p>
    <w:p>
      <w:pPr>
        <w:pStyle w:val="ManualHeading2"/>
        <w:rPr>
          <w:rFonts w:eastAsia="Arial Unicode MS"/>
          <w:noProof/>
        </w:rPr>
      </w:pPr>
      <w:r>
        <w:rPr>
          <w:noProof/>
          <w:u w:color="000000"/>
          <w:bdr w:val="nil"/>
        </w:rPr>
        <w:t>•</w:t>
      </w:r>
      <w:r>
        <w:rPr>
          <w:noProof/>
        </w:rPr>
        <w:tab/>
        <w:t>Съгласуваност с други политики на Съюза</w:t>
      </w:r>
    </w:p>
    <w:p>
      <w:pPr>
        <w:pBdr>
          <w:top w:val="nil"/>
          <w:left w:val="nil"/>
          <w:bottom w:val="nil"/>
          <w:right w:val="nil"/>
          <w:between w:val="nil"/>
          <w:bar w:val="nil"/>
        </w:pBdr>
        <w:spacing w:before="0" w:after="240"/>
        <w:rPr>
          <w:rFonts w:eastAsia="Arial Unicode MS"/>
          <w:noProof/>
        </w:rPr>
      </w:pPr>
      <w:r>
        <w:rPr>
          <w:noProof/>
        </w:rPr>
        <w:t>Съгласно режима на ЕС за контрол върху износа на изделия с двойна употреба разрешенията за износ обичайно се издават от националните компетентни органи въз основа на преценка за всеки отделен случай. Едно изискване за отделно разрешение за износ за Обединеното кралство вероятно ще създаде значителна административна тежест за износителите и компетентните органи и е възможно да доведе до нееднакви условия на конкуренция за износителите в държавата членка, отразявайки се неблагоприятно на функционирането на вътрешния пазар и общата търговска политика. Тези отрицателни последици биха могли да се смекчат чрез добавяне на Обединеното кралство към списъка на местоназначенията, обхванати от ЕС001. Следователно настоящото предложение е съобразено с общия подход към извънредните мерки във връзка с оттеглянето на Обединеното кралство без споразумение.</w:t>
      </w:r>
    </w:p>
    <w:p>
      <w:pPr>
        <w:pBdr>
          <w:top w:val="nil"/>
          <w:left w:val="nil"/>
          <w:bottom w:val="nil"/>
          <w:right w:val="nil"/>
          <w:between w:val="nil"/>
          <w:bar w:val="nil"/>
        </w:pBdr>
        <w:spacing w:before="0" w:after="240"/>
        <w:rPr>
          <w:rFonts w:eastAsia="Arial Unicode MS"/>
          <w:noProof/>
        </w:rPr>
      </w:pPr>
      <w:r>
        <w:rPr>
          <w:noProof/>
        </w:rPr>
        <w:t>Освен това, като се има предвид, че Обединеното кралство е важно местоназначение за износа на изделия с двойна употреба и че то е поело и спазва изцяло относимите международни задължения и ангажименти, добавянето му към списъка на местоназначенията, обхванати от ЕС001, отговаря и на целите на Регламента във връзка с международната сигурност и сигурността в ЕС, както и на начина, по който износът на изделия с двойна употреба за други държави (които са в положение, сравнимо с това на Обединеното кралство от гледна точка на целите на Регламента) се контролира съгласно правото на ЕС.</w:t>
      </w:r>
    </w:p>
    <w:p>
      <w:pPr>
        <w:pStyle w:val="ManualHeading1"/>
        <w:rPr>
          <w:noProof/>
        </w:rPr>
      </w:pPr>
      <w:r>
        <w:rPr>
          <w:noProof/>
        </w:rPr>
        <w:t>2.</w:t>
      </w:r>
      <w:r>
        <w:rPr>
          <w:noProof/>
        </w:rPr>
        <w:tab/>
        <w:t>ПРАВНО ОСНОВАНИЕ, СУБСИДИАРНОСТ И ПРОПОРЦИОНАЛНОСТ</w:t>
      </w:r>
    </w:p>
    <w:p>
      <w:pPr>
        <w:pStyle w:val="ManualHeading2"/>
        <w:rPr>
          <w:rFonts w:eastAsia="Arial Unicode MS"/>
          <w:noProof/>
          <w:u w:color="000000"/>
          <w:bdr w:val="nil"/>
        </w:rPr>
      </w:pPr>
      <w:r>
        <w:rPr>
          <w:noProof/>
          <w:u w:color="000000"/>
          <w:bdr w:val="nil"/>
        </w:rPr>
        <w:t>•</w:t>
      </w:r>
      <w:r>
        <w:rPr>
          <w:noProof/>
        </w:rPr>
        <w:tab/>
      </w:r>
      <w:r>
        <w:rPr>
          <w:noProof/>
          <w:u w:color="000000"/>
          <w:bdr w:val="nil"/>
        </w:rPr>
        <w:t>Правно основание</w:t>
      </w:r>
    </w:p>
    <w:p>
      <w:pPr>
        <w:pBdr>
          <w:top w:val="nil"/>
          <w:left w:val="nil"/>
          <w:bottom w:val="nil"/>
          <w:right w:val="nil"/>
          <w:between w:val="nil"/>
          <w:bar w:val="nil"/>
        </w:pBdr>
        <w:spacing w:before="0" w:after="240"/>
        <w:rPr>
          <w:rFonts w:eastAsia="Arial Unicode MS"/>
          <w:noProof/>
        </w:rPr>
      </w:pPr>
      <w:r>
        <w:rPr>
          <w:noProof/>
        </w:rPr>
        <w:t>Правното основание на предложението е член 207 от Договора за функционирането на Европейския съюз (ДФЕС).</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Субсидиарност (при неизключителна компетентност) </w:t>
      </w:r>
    </w:p>
    <w:p>
      <w:pPr>
        <w:pBdr>
          <w:top w:val="nil"/>
          <w:left w:val="nil"/>
          <w:bottom w:val="nil"/>
          <w:right w:val="nil"/>
          <w:between w:val="nil"/>
          <w:bar w:val="nil"/>
        </w:pBdr>
        <w:spacing w:before="0" w:after="240"/>
        <w:rPr>
          <w:rFonts w:eastAsia="Arial Unicode MS"/>
          <w:noProof/>
        </w:rPr>
      </w:pPr>
      <w:r>
        <w:rPr>
          <w:noProof/>
        </w:rPr>
        <w:t>Не се прилага, защото международната търговия е от изключителната компетентност на ЕС.</w:t>
      </w:r>
    </w:p>
    <w:p>
      <w:pPr>
        <w:pStyle w:val="ManualHeading2"/>
        <w:rPr>
          <w:rFonts w:eastAsia="Arial Unicode MS"/>
          <w:noProof/>
          <w:u w:color="000000"/>
          <w:bdr w:val="nil"/>
        </w:rPr>
      </w:pPr>
      <w:r>
        <w:rPr>
          <w:noProof/>
          <w:u w:color="000000"/>
          <w:bdr w:val="nil"/>
        </w:rPr>
        <w:t>•</w:t>
      </w:r>
      <w:r>
        <w:rPr>
          <w:noProof/>
        </w:rPr>
        <w:tab/>
      </w:r>
      <w:r>
        <w:rPr>
          <w:noProof/>
          <w:u w:color="000000"/>
          <w:bdr w:val="nil"/>
        </w:rPr>
        <w:t>Пропорционалност</w:t>
      </w:r>
    </w:p>
    <w:p>
      <w:pPr>
        <w:pBdr>
          <w:top w:val="nil"/>
          <w:left w:val="nil"/>
          <w:bottom w:val="nil"/>
          <w:right w:val="nil"/>
          <w:between w:val="nil"/>
          <w:bar w:val="nil"/>
        </w:pBdr>
        <w:spacing w:before="0" w:after="240"/>
        <w:rPr>
          <w:rFonts w:eastAsia="Arial Unicode MS"/>
          <w:noProof/>
        </w:rPr>
      </w:pPr>
      <w:r>
        <w:rPr>
          <w:noProof/>
        </w:rPr>
        <w:t xml:space="preserve">Предложеният регламент се смята за пропорционален, тъй като благодарение на него ще бъдат предотвратени твърде големите смущения на търговията и прекомерната административна тежест за износа на изделия с двойна употреба от ЕС за Обединеното кралство, като същевременно се гарантират международната сигурност и сигурността в ЕС. С него не се надхвърля необходимото за постигането на тази цел и не се въвеждат по-мащабни промени. </w:t>
      </w:r>
    </w:p>
    <w:p>
      <w:pPr>
        <w:pStyle w:val="ManualHeading2"/>
        <w:rPr>
          <w:rFonts w:eastAsia="Arial Unicode MS"/>
          <w:noProof/>
          <w:u w:color="000000"/>
          <w:bdr w:val="nil"/>
        </w:rPr>
      </w:pPr>
      <w:r>
        <w:rPr>
          <w:noProof/>
          <w:u w:color="000000"/>
          <w:bdr w:val="nil"/>
        </w:rPr>
        <w:t>•</w:t>
      </w:r>
      <w:r>
        <w:rPr>
          <w:noProof/>
        </w:rPr>
        <w:tab/>
      </w:r>
      <w:r>
        <w:rPr>
          <w:noProof/>
          <w:u w:color="000000"/>
          <w:bdr w:val="nil"/>
        </w:rPr>
        <w:t>Избор на инструмент</w:t>
      </w:r>
    </w:p>
    <w:p>
      <w:pPr>
        <w:pBdr>
          <w:top w:val="nil"/>
          <w:left w:val="nil"/>
          <w:bottom w:val="nil"/>
          <w:right w:val="nil"/>
          <w:between w:val="nil"/>
          <w:bar w:val="nil"/>
        </w:pBdr>
        <w:spacing w:before="0" w:after="240"/>
        <w:rPr>
          <w:rFonts w:eastAsia="Arial Unicode MS"/>
          <w:noProof/>
        </w:rPr>
      </w:pPr>
      <w:r>
        <w:rPr>
          <w:noProof/>
        </w:rPr>
        <w:t xml:space="preserve">Настоящото предложение съдържа ограничено изменение във връзка с една много особена конкретна ситуация. Тъй като списъкът на третите държави, обхванати от ЕС001, е установен с Регламента и като се има предвид, че Комисията няма правомощията да добавя други държави в списъка, единственият подходящ нормативен акт с оглед на ситуацията е регламент на Европейския парламент и на Съвета. </w:t>
      </w:r>
    </w:p>
    <w:p>
      <w:pPr>
        <w:pStyle w:val="ManualHeading1"/>
        <w:rPr>
          <w:noProof/>
        </w:rPr>
      </w:pPr>
      <w:r>
        <w:rPr>
          <w:noProof/>
        </w:rPr>
        <w:t>3.</w:t>
      </w:r>
      <w:r>
        <w:rPr>
          <w:noProof/>
        </w:rPr>
        <w:tab/>
        <w:t>РЕЗУЛТАТИ ОТ ПОСЛЕДВАЩИТЕ ОЦЕНКИ, КОНСУЛТАЦИИТЕ СЪС ЗАИНТЕРЕСОВАНИТЕ СТРАНИ И ОЦЕНКИТЕ НА ВЪЗДЕЙСТВИЕТО</w:t>
      </w:r>
    </w:p>
    <w:p>
      <w:pPr>
        <w:pStyle w:val="ManualHeading2"/>
        <w:rPr>
          <w:rFonts w:eastAsia="Arial Unicode MS"/>
          <w:noProof/>
          <w:u w:color="000000"/>
          <w:bdr w:val="nil"/>
        </w:rPr>
      </w:pPr>
      <w:r>
        <w:rPr>
          <w:noProof/>
          <w:u w:color="000000"/>
          <w:bdr w:val="nil"/>
        </w:rPr>
        <w:t>•</w:t>
      </w:r>
      <w:r>
        <w:rPr>
          <w:noProof/>
        </w:rPr>
        <w:tab/>
      </w:r>
      <w:r>
        <w:rPr>
          <w:noProof/>
          <w:u w:color="000000"/>
          <w:bdr w:val="nil"/>
        </w:rPr>
        <w:t>Последващи оценки/проверки за пригодност на действащото законодателство</w:t>
      </w:r>
    </w:p>
    <w:p>
      <w:pPr>
        <w:pBdr>
          <w:top w:val="nil"/>
          <w:left w:val="nil"/>
          <w:bottom w:val="nil"/>
          <w:right w:val="nil"/>
          <w:between w:val="nil"/>
          <w:bar w:val="nil"/>
        </w:pBdr>
        <w:spacing w:before="0" w:after="240"/>
        <w:rPr>
          <w:rFonts w:eastAsia="Arial Unicode MS"/>
          <w:noProof/>
        </w:rPr>
      </w:pPr>
      <w:r>
        <w:rPr>
          <w:noProof/>
        </w:rPr>
        <w:t>Не се прилага, тъй като събитието, заради което е необходимо настоящото предложение, е извънредно и еднократно.</w:t>
      </w:r>
    </w:p>
    <w:p>
      <w:pPr>
        <w:pStyle w:val="ManualHeading2"/>
        <w:rPr>
          <w:rFonts w:eastAsia="Arial Unicode MS"/>
          <w:noProof/>
          <w:u w:color="000000"/>
          <w:bdr w:val="nil"/>
        </w:rPr>
      </w:pPr>
      <w:r>
        <w:rPr>
          <w:noProof/>
          <w:u w:color="000000"/>
          <w:bdr w:val="nil"/>
        </w:rPr>
        <w:t>•</w:t>
      </w:r>
      <w:r>
        <w:rPr>
          <w:noProof/>
        </w:rPr>
        <w:tab/>
      </w:r>
      <w:r>
        <w:rPr>
          <w:noProof/>
          <w:u w:color="000000"/>
          <w:bdr w:val="nil"/>
        </w:rPr>
        <w:t>Консултации със заинтересованите страни</w:t>
      </w:r>
    </w:p>
    <w:p>
      <w:pPr>
        <w:pBdr>
          <w:top w:val="nil"/>
          <w:left w:val="nil"/>
          <w:bottom w:val="nil"/>
          <w:right w:val="nil"/>
          <w:between w:val="nil"/>
          <w:bar w:val="nil"/>
        </w:pBdr>
        <w:spacing w:before="0" w:after="240"/>
        <w:rPr>
          <w:noProof/>
        </w:rPr>
      </w:pPr>
      <w:r>
        <w:rPr>
          <w:noProof/>
        </w:rPr>
        <w:t>Особените обстоятелства във връзка с оттеглянето на Обединеното кралство от Съюза и постоянно променящото се положение създадоха значителни ограничения за възможността да се проведе обществена консултация по предложението. Все пак предизвикателствата, възникващи поради това оттегляне, и възможните решения бяха поставяни за обсъждане от множество заинтересовани страни и представители на държавите членки.</w:t>
      </w:r>
    </w:p>
    <w:p>
      <w:pPr>
        <w:pStyle w:val="ManualHeading2"/>
        <w:rPr>
          <w:rFonts w:eastAsia="Arial Unicode MS"/>
          <w:noProof/>
          <w:u w:color="000000"/>
          <w:bdr w:val="nil"/>
        </w:rPr>
      </w:pPr>
      <w:r>
        <w:rPr>
          <w:noProof/>
          <w:u w:color="000000"/>
          <w:bdr w:val="nil"/>
        </w:rPr>
        <w:t>•</w:t>
      </w:r>
      <w:r>
        <w:rPr>
          <w:noProof/>
        </w:rPr>
        <w:tab/>
      </w:r>
      <w:r>
        <w:rPr>
          <w:noProof/>
          <w:u w:color="000000"/>
          <w:bdr w:val="nil"/>
        </w:rPr>
        <w:t>Оценка на въздействието</w:t>
      </w:r>
    </w:p>
    <w:p>
      <w:pPr>
        <w:pBdr>
          <w:top w:val="nil"/>
          <w:left w:val="nil"/>
          <w:bottom w:val="nil"/>
          <w:right w:val="nil"/>
          <w:between w:val="nil"/>
          <w:bar w:val="nil"/>
        </w:pBdr>
        <w:spacing w:before="0" w:after="240"/>
        <w:rPr>
          <w:rFonts w:eastAsia="Arial Unicode MS"/>
          <w:noProof/>
        </w:rPr>
      </w:pPr>
      <w:r>
        <w:rPr>
          <w:noProof/>
        </w:rPr>
        <w:t xml:space="preserve">Съгласно Насоките за по-добро законотворчество поради извънредното естество на положението не е необходима оценка на въздействието. Няма други възможности, които да се различават по същество от настоящото предложение. </w:t>
      </w:r>
    </w:p>
    <w:p>
      <w:pPr>
        <w:pStyle w:val="ManualHeading2"/>
        <w:rPr>
          <w:rFonts w:eastAsia="Arial Unicode MS"/>
          <w:noProof/>
          <w:u w:color="000000"/>
          <w:bdr w:val="nil"/>
        </w:rPr>
      </w:pPr>
      <w:r>
        <w:rPr>
          <w:noProof/>
          <w:u w:color="000000"/>
          <w:bdr w:val="nil"/>
        </w:rPr>
        <w:t>•</w:t>
      </w:r>
      <w:r>
        <w:rPr>
          <w:noProof/>
        </w:rPr>
        <w:tab/>
      </w:r>
      <w:r>
        <w:rPr>
          <w:noProof/>
          <w:u w:color="000000"/>
          <w:bdr w:val="nil"/>
        </w:rPr>
        <w:t>Основни права</w:t>
      </w:r>
    </w:p>
    <w:p>
      <w:pPr>
        <w:pBdr>
          <w:top w:val="nil"/>
          <w:left w:val="nil"/>
          <w:bottom w:val="nil"/>
          <w:right w:val="nil"/>
          <w:between w:val="nil"/>
          <w:bar w:val="nil"/>
        </w:pBdr>
        <w:spacing w:before="0" w:after="240"/>
        <w:rPr>
          <w:rFonts w:eastAsia="Arial Unicode MS"/>
          <w:noProof/>
        </w:rPr>
      </w:pPr>
      <w:r>
        <w:rPr>
          <w:noProof/>
        </w:rPr>
        <w:t xml:space="preserve">Предложението не оказва въздействие върху прилагането или опазването на основните права. </w:t>
      </w:r>
    </w:p>
    <w:p>
      <w:pPr>
        <w:pStyle w:val="ManualHeading1"/>
        <w:rPr>
          <w:noProof/>
        </w:rPr>
      </w:pPr>
      <w:r>
        <w:rPr>
          <w:noProof/>
        </w:rPr>
        <w:t>4.</w:t>
      </w:r>
      <w:r>
        <w:rPr>
          <w:noProof/>
        </w:rPr>
        <w:tab/>
        <w:t>ОТРАЖЕНИЕ ВЪРХУ БЮДЖЕТА</w:t>
      </w:r>
    </w:p>
    <w:p>
      <w:pPr>
        <w:pBdr>
          <w:top w:val="nil"/>
          <w:left w:val="nil"/>
          <w:bottom w:val="nil"/>
          <w:right w:val="nil"/>
          <w:between w:val="nil"/>
          <w:bar w:val="nil"/>
        </w:pBdr>
        <w:spacing w:before="0" w:after="240"/>
        <w:rPr>
          <w:rFonts w:eastAsia="Arial Unicode MS"/>
          <w:noProof/>
        </w:rPr>
      </w:pPr>
      <w:r>
        <w:rPr>
          <w:noProof/>
        </w:rPr>
        <w:t xml:space="preserve">Не се прилага. </w:t>
      </w:r>
    </w:p>
    <w:p>
      <w:pPr>
        <w:pStyle w:val="ManualHeading1"/>
        <w:rPr>
          <w:noProof/>
        </w:rPr>
      </w:pPr>
      <w:r>
        <w:rPr>
          <w:noProof/>
        </w:rPr>
        <w:t>5.</w:t>
      </w:r>
      <w:r>
        <w:rPr>
          <w:noProof/>
        </w:rPr>
        <w:tab/>
        <w:t>ДРУГИ ЕЛЕМЕНТИ</w:t>
      </w:r>
    </w:p>
    <w:p>
      <w:pPr>
        <w:pStyle w:val="ManualHeading2"/>
        <w:rPr>
          <w:rFonts w:eastAsia="Arial Unicode MS"/>
          <w:noProof/>
          <w:u w:color="000000"/>
          <w:bdr w:val="nil"/>
        </w:rPr>
      </w:pPr>
      <w:r>
        <w:rPr>
          <w:noProof/>
          <w:u w:color="000000"/>
          <w:bdr w:val="nil"/>
        </w:rPr>
        <w:t>•</w:t>
      </w:r>
      <w:r>
        <w:rPr>
          <w:noProof/>
        </w:rPr>
        <w:tab/>
      </w:r>
      <w:r>
        <w:rPr>
          <w:noProof/>
          <w:u w:color="000000"/>
          <w:bdr w:val="nil"/>
        </w:rPr>
        <w:t>Планове за изпълнение и ред за наблюдение, оценяване и докладване</w:t>
      </w:r>
    </w:p>
    <w:p>
      <w:pPr>
        <w:pBdr>
          <w:top w:val="nil"/>
          <w:left w:val="nil"/>
          <w:bottom w:val="nil"/>
          <w:right w:val="nil"/>
          <w:between w:val="nil"/>
          <w:bar w:val="nil"/>
        </w:pBdr>
        <w:spacing w:before="0" w:after="240"/>
        <w:rPr>
          <w:rFonts w:eastAsia="Arial Unicode MS"/>
          <w:noProof/>
        </w:rPr>
      </w:pPr>
      <w:r>
        <w:rPr>
          <w:noProof/>
        </w:rPr>
        <w:t xml:space="preserve">Не се прилага. </w:t>
      </w:r>
    </w:p>
    <w:p>
      <w:pPr>
        <w:rPr>
          <w:noProof/>
        </w:rPr>
        <w:sectPr>
          <w:footerReference w:type="default" r:id="rId15"/>
          <w:footerReference w:type="first" r:id="rId16"/>
          <w:pgSz w:w="11907" w:h="16839"/>
          <w:pgMar w:top="1134" w:right="1417" w:bottom="1134" w:left="1417" w:header="709" w:footer="709" w:gutter="0"/>
          <w:cols w:space="708"/>
          <w:docGrid w:linePitch="360"/>
        </w:sectPr>
      </w:pPr>
    </w:p>
    <w:p>
      <w:pPr>
        <w:pStyle w:val="Rfrenceinterinstitutionnelle"/>
        <w:rPr>
          <w:noProof/>
        </w:rPr>
      </w:pPr>
      <w:r>
        <w:rPr>
          <w:noProof/>
        </w:rPr>
        <w:t>2020/0313 (COD)</w:t>
      </w:r>
    </w:p>
    <w:p>
      <w:pPr>
        <w:pStyle w:val="Statut"/>
        <w:rPr>
          <w:noProof/>
        </w:rPr>
      </w:pPr>
      <w:r>
        <w:rPr>
          <w:noProof/>
        </w:rPr>
        <w:t>Предложение за</w:t>
      </w:r>
    </w:p>
    <w:p>
      <w:pPr>
        <w:pStyle w:val="Typedudocument"/>
        <w:rPr>
          <w:noProof/>
        </w:rPr>
      </w:pPr>
      <w:r>
        <w:rPr>
          <w:noProof/>
        </w:rPr>
        <w:t>РЕГЛАМЕНТ НА ЕВРОПЕЙСКИЯ ПАРЛАМЕНТ И НА СЪВЕТА</w:t>
      </w:r>
    </w:p>
    <w:p>
      <w:pPr>
        <w:pStyle w:val="Titreobjet"/>
        <w:rPr>
          <w:noProof/>
        </w:rPr>
      </w:pPr>
      <w:r>
        <w:rPr>
          <w:noProof/>
        </w:rPr>
        <w:t>за изменение на Регламент (ЕО) № 428/2009 на Съвета чрез издаване на генерално разрешение на Съюза за износ на определени изделия с двойна употреба от Съюза за Обединеното кралство Великобритания и Северна Ирландия</w:t>
      </w:r>
    </w:p>
    <w:p>
      <w:pPr>
        <w:pStyle w:val="Institutionquiagit"/>
        <w:rPr>
          <w:noProof/>
        </w:rPr>
      </w:pPr>
      <w:r>
        <w:rPr>
          <w:noProof/>
        </w:rPr>
        <w:t>ЕВРОПЕЙСКИЯТ ПАРЛАМЕНТ И СЪВЕТЪТ НА ЕВРОПЕЙСКИЯ СЪЮЗ,</w:t>
      </w:r>
    </w:p>
    <w:p>
      <w:pPr>
        <w:rPr>
          <w:noProof/>
        </w:rPr>
      </w:pPr>
      <w:r>
        <w:rPr>
          <w:noProof/>
        </w:rPr>
        <w:t>като взеха предвид Договора за функционирането на Европейския съюз, и по-специално член 207, параграф 2 от него,</w:t>
      </w:r>
    </w:p>
    <w:p>
      <w:pPr>
        <w:rPr>
          <w:noProof/>
        </w:rPr>
      </w:pPr>
      <w:r>
        <w:rPr>
          <w:noProof/>
        </w:rPr>
        <w:t>като взеха предвид предложението на Европейската комисия,</w:t>
      </w:r>
    </w:p>
    <w:p>
      <w:pPr>
        <w:rPr>
          <w:noProof/>
        </w:rPr>
      </w:pPr>
      <w:r>
        <w:rPr>
          <w:noProof/>
        </w:rPr>
        <w:t>след предаване на проекта на законодателния акт на националните парламенти,</w:t>
      </w:r>
    </w:p>
    <w:p>
      <w:pPr>
        <w:rPr>
          <w:noProof/>
        </w:rPr>
      </w:pPr>
      <w:r>
        <w:rPr>
          <w:noProof/>
        </w:rPr>
        <w:t>в съответствие с обикновената законодателна процедура,</w:t>
      </w:r>
    </w:p>
    <w:p>
      <w:pPr>
        <w:rPr>
          <w:noProof/>
        </w:rPr>
      </w:pPr>
      <w:r>
        <w:rPr>
          <w:noProof/>
        </w:rPr>
        <w:t>като имат предвид, че:</w:t>
      </w:r>
    </w:p>
    <w:p>
      <w:pPr>
        <w:pStyle w:val="ManualConsidrant"/>
        <w:rPr>
          <w:noProof/>
        </w:rPr>
      </w:pPr>
      <w:r>
        <w:rPr>
          <w:noProof/>
        </w:rPr>
        <w:t>(1)</w:t>
      </w:r>
      <w:r>
        <w:rPr>
          <w:noProof/>
        </w:rPr>
        <w:tab/>
        <w:t>На 29 март 2017 г. Обединеното кралство представи уведомление за намерението си да се оттегли от Съюза съгласно член 50 от Договора за Европейския съюз. В съответствие с член 50 Съюзът договори с Обединеното кралство Споразумението за оттегляне</w:t>
      </w:r>
      <w:r>
        <w:rPr>
          <w:rStyle w:val="FootnoteReference"/>
          <w:noProof/>
        </w:rPr>
        <w:footnoteReference w:id="3"/>
      </w:r>
      <w:r>
        <w:rPr>
          <w:noProof/>
        </w:rPr>
        <w:t xml:space="preserve">. Съгласно условията на Споразумението за оттегляне Обединеното кралство вече не е държава — членка на Европейския съюз, считано от 31 януари 2020 г., и първичното и вторичното право на Съюза ще престанат да се прилагат спрямо и в Обединеното кралство след края на преходния етап на 31 декември 2020 г. </w:t>
      </w:r>
    </w:p>
    <w:p>
      <w:pPr>
        <w:pStyle w:val="ManualConsidrant"/>
        <w:rPr>
          <w:noProof/>
        </w:rPr>
      </w:pPr>
      <w:r>
        <w:rPr>
          <w:noProof/>
        </w:rPr>
        <w:t>(2)</w:t>
      </w:r>
      <w:r>
        <w:rPr>
          <w:noProof/>
        </w:rPr>
        <w:tab/>
        <w:t>С Регламент (ЕО) № 428/2009 на Съвета</w:t>
      </w:r>
      <w:r>
        <w:rPr>
          <w:rStyle w:val="FootnoteReference"/>
          <w:noProof/>
        </w:rPr>
        <w:footnoteReference w:id="4"/>
      </w:r>
      <w:r>
        <w:rPr>
          <w:noProof/>
        </w:rPr>
        <w:t xml:space="preserve"> се създава обща система за контрол върху износа на изделия с двойна употреба, за да се гарантира сигурността в Съюза и на международно равнище и за да се осигурят еднакви условия на конкуренция за износителите от Съюза.</w:t>
      </w:r>
    </w:p>
    <w:p>
      <w:pPr>
        <w:pStyle w:val="ManualConsidrant"/>
        <w:rPr>
          <w:noProof/>
        </w:rPr>
      </w:pPr>
      <w:r>
        <w:rPr>
          <w:noProof/>
        </w:rPr>
        <w:t>(3)</w:t>
      </w:r>
      <w:r>
        <w:rPr>
          <w:noProof/>
        </w:rPr>
        <w:tab/>
        <w:t>В Регламент (ЕО) № 428/2009 са предвидени генерални разрешения на Съюза за износ, с които се улеснява контролът върху нискорисковия износ на изделия с двойна употреба за определени трети държави. Понастоящем от генерално разрешение на Съюза за износ № EС001 са обхванати Австралия, Канада, Япония, Нова Зеландия, Норвегия, Швейцария, включително Лихтенщайн, и Съединените американски щати.</w:t>
      </w:r>
    </w:p>
    <w:p>
      <w:pPr>
        <w:pStyle w:val="ManualConsidrant"/>
        <w:rPr>
          <w:noProof/>
        </w:rPr>
      </w:pPr>
      <w:r>
        <w:rPr>
          <w:noProof/>
        </w:rPr>
        <w:t>(4)</w:t>
      </w:r>
      <w:r>
        <w:rPr>
          <w:noProof/>
        </w:rPr>
        <w:tab/>
        <w:t>Обединеното кралство е страна по относими международни договори и член на международни организации за неразпространение и спазва изцяло съответните задължения и ангажименти.</w:t>
      </w:r>
    </w:p>
    <w:p>
      <w:pPr>
        <w:pStyle w:val="ManualConsidrant"/>
        <w:rPr>
          <w:noProof/>
        </w:rPr>
      </w:pPr>
      <w:r>
        <w:rPr>
          <w:noProof/>
        </w:rPr>
        <w:t>(5)</w:t>
      </w:r>
      <w:r>
        <w:rPr>
          <w:noProof/>
        </w:rPr>
        <w:tab/>
        <w:t>Обединеното кралство осъществява пропорционален и целесъобразен контрол, за да взема надлежно под внимание съображенията относно крайното предназначение и риска от отклоняване в съответствие с разпоредбите и целите на Регламент (ЕО) № 428/2009.</w:t>
      </w:r>
    </w:p>
    <w:p>
      <w:pPr>
        <w:pStyle w:val="ManualConsidrant"/>
        <w:rPr>
          <w:noProof/>
        </w:rPr>
      </w:pPr>
      <w:r>
        <w:rPr>
          <w:noProof/>
        </w:rPr>
        <w:t>(6)</w:t>
      </w:r>
      <w:r>
        <w:rPr>
          <w:noProof/>
        </w:rPr>
        <w:tab/>
        <w:t>Добавянето на Обединеното кралство в списъка на държавите с разрешение ЕС001 не следва да окаже отрицателно въздействие върху сигурността в Съюза или на международно равнище.</w:t>
      </w:r>
    </w:p>
    <w:p>
      <w:pPr>
        <w:pStyle w:val="ManualConsidrant"/>
        <w:rPr>
          <w:noProof/>
        </w:rPr>
      </w:pPr>
      <w:r>
        <w:rPr>
          <w:noProof/>
        </w:rPr>
        <w:t>(7)</w:t>
      </w:r>
      <w:r>
        <w:rPr>
          <w:noProof/>
        </w:rPr>
        <w:tab/>
        <w:t xml:space="preserve">Като се има предвид, че Обединеното кралство е важно местоназначение за изделията с двойна употреба, произвеждани в Съюза, е целесъобразно тази държава да се добави в списъка на местоназначенията, обхванати от генерално разрешение на Съюза за износ № EС001, за да се осигури еднакво и последователно осъществяване на контрол в целия Съюз, да се гарантират еднакви условия на конкуренция за износителите от Съюза и да се предотврати излишна административна тежест, като същевременно се обезпечи сигурността в Съюза и на международно равнище. </w:t>
      </w:r>
    </w:p>
    <w:p>
      <w:pPr>
        <w:pStyle w:val="ManualConsidrant"/>
        <w:rPr>
          <w:noProof/>
        </w:rPr>
      </w:pPr>
      <w:r>
        <w:rPr>
          <w:noProof/>
        </w:rPr>
        <w:t>(8)</w:t>
      </w:r>
      <w:r>
        <w:rPr>
          <w:noProof/>
        </w:rPr>
        <w:tab/>
        <w:t xml:space="preserve">С оглед на неотложността на случая, дължаща се на обстоятелствата във връзка с оттеглянето на Обединеното кралство от Европейския съюз, е необходимо да се предвиди бързо прилагане на разпоредбите на настоящия регламент, отнасящи се до включването на тази държава в генерално разрешение на Съюза за износ № EС001. Поради това настоящият регламент следва да влезе в сила в деня след деня на публикуването му в </w:t>
      </w:r>
      <w:r>
        <w:rPr>
          <w:i/>
          <w:noProof/>
        </w:rPr>
        <w:t>Официален вестник на Европейския съюз</w:t>
      </w:r>
      <w:r>
        <w:rPr>
          <w:noProof/>
        </w:rPr>
        <w:t>,</w:t>
      </w:r>
    </w:p>
    <w:p>
      <w:pPr>
        <w:pStyle w:val="Formuledadoption"/>
        <w:rPr>
          <w:noProof/>
        </w:rPr>
      </w:pPr>
      <w:r>
        <w:rPr>
          <w:noProof/>
        </w:rPr>
        <w:t>ПРИЕХА НАСТОЯЩИЯ РЕГЛАМЕНТ:</w:t>
      </w:r>
    </w:p>
    <w:p>
      <w:pPr>
        <w:pStyle w:val="Titrearticle"/>
        <w:rPr>
          <w:noProof/>
        </w:rPr>
      </w:pPr>
      <w:r>
        <w:rPr>
          <w:noProof/>
        </w:rPr>
        <w:t>Член 1</w:t>
      </w:r>
    </w:p>
    <w:p>
      <w:pPr>
        <w:rPr>
          <w:noProof/>
        </w:rPr>
      </w:pPr>
      <w:r>
        <w:rPr>
          <w:noProof/>
        </w:rPr>
        <w:t xml:space="preserve">Приложение ІІа към Регламент (ЕО) № 428/2009 на Съвета се изменя, както следва: </w:t>
      </w:r>
    </w:p>
    <w:p>
      <w:pPr>
        <w:pStyle w:val="Point0"/>
        <w:rPr>
          <w:noProof/>
        </w:rPr>
      </w:pPr>
      <w:r>
        <w:rPr>
          <w:noProof/>
        </w:rPr>
        <w:t>(1)</w:t>
      </w:r>
      <w:r>
        <w:rPr>
          <w:noProof/>
        </w:rPr>
        <w:tab/>
        <w:t>заглавието „Износ за Австралия, Канада, Япония, Нова Зеландия, Норвегия, Швейцария, включително Лихтенщайн, и САЩ“ се заменя със следното:</w:t>
      </w:r>
    </w:p>
    <w:p>
      <w:pPr>
        <w:pStyle w:val="Text1"/>
        <w:rPr>
          <w:noProof/>
        </w:rPr>
      </w:pPr>
      <w:r>
        <w:rPr>
          <w:noProof/>
        </w:rPr>
        <w:t>„Износ за Австралия, Канада, Япония, Нова Зеландия, Норвегия, Швейцария, включително Лихтенщайн, Обединеното кралство и САЩ“;</w:t>
      </w:r>
    </w:p>
    <w:p>
      <w:pPr>
        <w:pStyle w:val="Point0"/>
        <w:rPr>
          <w:noProof/>
        </w:rPr>
      </w:pPr>
      <w:r>
        <w:rPr>
          <w:noProof/>
        </w:rPr>
        <w:t>(2)</w:t>
      </w:r>
      <w:r>
        <w:rPr>
          <w:noProof/>
        </w:rPr>
        <w:tab/>
        <w:t xml:space="preserve">в част 2 след текста „Швейцария, включително Лихтенщайн“ се добавя следният текст: </w:t>
      </w:r>
    </w:p>
    <w:p>
      <w:pPr>
        <w:pStyle w:val="Text1"/>
        <w:rPr>
          <w:noProof/>
        </w:rPr>
      </w:pPr>
      <w:r>
        <w:rPr>
          <w:noProof/>
        </w:rPr>
        <w:t>„— Обединеното кралство (без да се засяга прилагането на настоящия регламент спрямо и в Обединеното кралство по отношение на Северна Ирландия в съответствие с приложение 2, точка 47 от Протокола за Ирландия/Северна Ирландия, в което се изброяват разпоредбите на правото на Съюза, посочени в член 5, параграф 4 от Споразумението за оттегляне)</w:t>
      </w:r>
      <w:r>
        <w:rPr>
          <w:rStyle w:val="FootnoteReference"/>
          <w:noProof/>
        </w:rPr>
        <w:footnoteReference w:id="5"/>
      </w:r>
      <w:r>
        <w:rPr>
          <w:noProof/>
        </w:rPr>
        <w:t xml:space="preserve">“. </w:t>
      </w:r>
    </w:p>
    <w:p>
      <w:pPr>
        <w:pStyle w:val="Titrearticle"/>
        <w:rPr>
          <w:noProof/>
        </w:rPr>
      </w:pPr>
      <w:r>
        <w:rPr>
          <w:noProof/>
        </w:rPr>
        <w:t>Член 2</w:t>
      </w:r>
    </w:p>
    <w:p>
      <w:pPr>
        <w:pStyle w:val="Titrearticle"/>
        <w:rPr>
          <w:b/>
          <w:i w:val="0"/>
          <w:noProof/>
        </w:rPr>
      </w:pPr>
      <w:r>
        <w:rPr>
          <w:b/>
          <w:i w:val="0"/>
          <w:noProof/>
        </w:rPr>
        <w:t>Влизане в сила и прилагане</w:t>
      </w:r>
    </w:p>
    <w:p>
      <w:pPr>
        <w:rPr>
          <w:noProof/>
        </w:rPr>
      </w:pPr>
      <w:r>
        <w:rPr>
          <w:noProof/>
        </w:rPr>
        <w:t xml:space="preserve">Настоящият регламент влиза в сила в деня след деня на публикуването му в </w:t>
      </w:r>
      <w:r>
        <w:rPr>
          <w:i/>
          <w:noProof/>
        </w:rPr>
        <w:t>Официален вестник на Европейския съюз</w:t>
      </w:r>
      <w:r>
        <w:rPr>
          <w:noProof/>
        </w:rPr>
        <w:t xml:space="preserve">. </w:t>
      </w:r>
    </w:p>
    <w:p>
      <w:pPr>
        <w:pStyle w:val="Applicationdirecte"/>
        <w:keepNext/>
        <w:keepLines/>
        <w:rPr>
          <w:noProof/>
        </w:rPr>
      </w:pPr>
      <w:r>
        <w:rPr>
          <w:noProof/>
        </w:rPr>
        <w:t>Настоящият регламент е задължителен в своята цялост и се прилага пряко във всички държави членки.</w:t>
      </w:r>
    </w:p>
    <w:p>
      <w:pPr>
        <w:pStyle w:val="Fait"/>
        <w:rPr>
          <w:noProof/>
        </w:rPr>
      </w:pPr>
      <w:r>
        <w:t xml:space="preserve">Съставено в Брюксел на </w:t>
      </w:r>
      <w:r>
        <w:rPr>
          <w:rStyle w:val="Marker"/>
        </w:rPr>
        <w:t>[…]</w:t>
      </w:r>
      <w:r>
        <w:t xml:space="preserve"> година.</w:t>
      </w:r>
    </w:p>
    <w:p>
      <w:pPr>
        <w:pStyle w:val="Institutionquisigne"/>
        <w:rPr>
          <w:noProof/>
        </w:rPr>
      </w:pPr>
      <w:r>
        <w:rPr>
          <w:noProof/>
        </w:rPr>
        <w:t>За Европейския парламент</w:t>
      </w:r>
      <w:r>
        <w:rPr>
          <w:noProof/>
        </w:rPr>
        <w:tab/>
        <w:t>За Съвета</w:t>
      </w:r>
    </w:p>
    <w:p>
      <w:pPr>
        <w:pStyle w:val="Personnequisigne"/>
        <w:rPr>
          <w:noProof/>
        </w:rPr>
      </w:pPr>
      <w:r>
        <w:rPr>
          <w:noProof/>
        </w:rPr>
        <w:t>Председател</w:t>
      </w:r>
      <w:r>
        <w:rPr>
          <w:noProof/>
        </w:rPr>
        <w:tab/>
        <w:t>Председател</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BG</w:t>
    </w:r>
    <w:r>
      <w:rPr>
        <w:rFonts w:ascii="Arial" w:hAnsi="Arial" w:cs="Arial"/>
        <w:b/>
        <w:sz w:val="48"/>
      </w:rPr>
      <w:tab/>
    </w:r>
    <w:r>
      <w:rPr>
        <w:rFonts w:ascii="Arial" w:hAnsi="Arial" w:cs="Arial"/>
        <w:b/>
        <w:sz w:val="48"/>
      </w:rPr>
      <w:tab/>
    </w:r>
    <w:r>
      <w:tab/>
    </w:r>
    <w:r>
      <w:rPr>
        <w:rFonts w:ascii="Arial" w:hAnsi="Arial" w:cs="Arial"/>
        <w:b/>
        <w:sz w:val="48"/>
      </w:rPr>
      <w:t>BG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BG</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tab/>
    </w:r>
    <w:r>
      <w:rPr>
        <w:rFonts w:ascii="Arial" w:hAnsi="Arial" w:cs="Arial"/>
        <w:b/>
        <w:sz w:val="48"/>
      </w:rPr>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0" w:firstLine="0"/>
      </w:pPr>
      <w:r>
        <w:rPr>
          <w:rStyle w:val="FootnoteReference"/>
        </w:rPr>
        <w:footnoteRef/>
      </w:r>
      <w:r>
        <w:tab/>
        <w:t xml:space="preserve">Споразумение за оттеглянето на Обединеното кралство Великобритания и Северна </w:t>
      </w:r>
    </w:p>
    <w:p>
      <w:pPr>
        <w:pStyle w:val="FootnoteText"/>
        <w:ind w:left="0" w:firstLine="0"/>
      </w:pPr>
      <w:r>
        <w:t>Ирландия от Европейския съюз и Европейската общност за атомна енергия (OВ L 29, 31.1.2020 г., стр.7) („Споразумението за оттегляне“).</w:t>
      </w:r>
    </w:p>
  </w:footnote>
  <w:footnote w:id="2">
    <w:p>
      <w:pPr>
        <w:pStyle w:val="FootnoteText"/>
      </w:pPr>
      <w:r>
        <w:rPr>
          <w:rStyle w:val="FootnoteReference"/>
        </w:rPr>
        <w:footnoteRef/>
      </w:r>
      <w:r>
        <w:tab/>
        <w:t>OB L 134, 29.5.2009 г., стр. 1.</w:t>
      </w:r>
    </w:p>
  </w:footnote>
  <w:footnote w:id="3">
    <w:p>
      <w:pPr>
        <w:pStyle w:val="FootnoteText"/>
      </w:pPr>
      <w:r>
        <w:rPr>
          <w:rStyle w:val="FootnoteReference"/>
        </w:rPr>
        <w:footnoteRef/>
      </w:r>
      <w:r>
        <w:tab/>
        <w:t>Споразумение за оттеглянето на Обединеното кралство Великобритания и Северна</w:t>
      </w:r>
    </w:p>
    <w:p>
      <w:pPr>
        <w:pStyle w:val="FootnoteText"/>
      </w:pPr>
      <w:r>
        <w:tab/>
        <w:t>Ирландия от Европейския съюз и Европейската общност за атомна енергия (OВ L 29, 31.1.2020 г., стр.</w:t>
      </w:r>
    </w:p>
    <w:p>
      <w:pPr>
        <w:pStyle w:val="FootnoteText"/>
      </w:pPr>
      <w:r>
        <w:tab/>
        <w:t>7).</w:t>
      </w:r>
    </w:p>
  </w:footnote>
  <w:footnote w:id="4">
    <w:p>
      <w:pPr>
        <w:pStyle w:val="FootnoteText"/>
      </w:pPr>
      <w:r>
        <w:rPr>
          <w:rStyle w:val="FootnoteReference"/>
        </w:rPr>
        <w:footnoteRef/>
      </w:r>
      <w:r>
        <w:tab/>
        <w:t>Регламент (ЕО) № 428/2009 на Съвета от 5 май 2009 г. за въвеждане режим на Общността за контрол на износа, трансфера, брокерската дейност и транзита на изделия и технологии с двойна употреба (ОВ L 134, 29.5.2009 г., стр. 1).</w:t>
      </w:r>
    </w:p>
  </w:footnote>
  <w:footnote w:id="5">
    <w:p>
      <w:pPr>
        <w:pStyle w:val="FootnoteText"/>
      </w:pPr>
      <w:r>
        <w:rPr>
          <w:rStyle w:val="FootnoteReference"/>
        </w:rPr>
        <w:footnoteRef/>
      </w:r>
      <w:r>
        <w:tab/>
        <w:t xml:space="preserve">ОВ C 66 I, 19.2.2019 г., стр. 1.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E26851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CA898F8"/>
    <w:lvl w:ilvl="0">
      <w:start w:val="1"/>
      <w:numFmt w:val="decimal"/>
      <w:pStyle w:val="ListNumber3"/>
      <w:lvlText w:val="%1."/>
      <w:lvlJc w:val="left"/>
      <w:pPr>
        <w:tabs>
          <w:tab w:val="num" w:pos="926"/>
        </w:tabs>
        <w:ind w:left="926" w:hanging="360"/>
      </w:pPr>
    </w:lvl>
  </w:abstractNum>
  <w:abstractNum w:abstractNumId="2">
    <w:nsid w:val="FFFFFF7F"/>
    <w:multiLevelType w:val="singleLevel"/>
    <w:tmpl w:val="0E28577C"/>
    <w:lvl w:ilvl="0">
      <w:start w:val="1"/>
      <w:numFmt w:val="decimal"/>
      <w:pStyle w:val="ListNumber2"/>
      <w:lvlText w:val="%1."/>
      <w:lvlJc w:val="left"/>
      <w:pPr>
        <w:tabs>
          <w:tab w:val="num" w:pos="643"/>
        </w:tabs>
        <w:ind w:left="643" w:hanging="360"/>
      </w:pPr>
    </w:lvl>
  </w:abstractNum>
  <w:abstractNum w:abstractNumId="3">
    <w:nsid w:val="FFFFFF81"/>
    <w:multiLevelType w:val="singleLevel"/>
    <w:tmpl w:val="19A431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ACC003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098B8D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A70ECEA"/>
    <w:lvl w:ilvl="0">
      <w:start w:val="1"/>
      <w:numFmt w:val="decimal"/>
      <w:pStyle w:val="ListNumber"/>
      <w:lvlText w:val="%1."/>
      <w:lvlJc w:val="left"/>
      <w:pPr>
        <w:tabs>
          <w:tab w:val="num" w:pos="360"/>
        </w:tabs>
        <w:ind w:left="360" w:hanging="360"/>
      </w:pPr>
    </w:lvl>
  </w:abstractNum>
  <w:abstractNum w:abstractNumId="7">
    <w:nsid w:val="FFFFFF89"/>
    <w:multiLevelType w:val="singleLevel"/>
    <w:tmpl w:val="182461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4"/>
    <w:lvlOverride w:ilvl="0">
      <w:startOverride w:val="1"/>
    </w:lvlOverride>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activeWritingStyle w:appName="MSWord" w:lang="da-DK" w:vendorID="64" w:dllVersion="131078" w:nlCheck="1" w:checkStyle="0"/>
  <w:activeWritingStyle w:appName="MSWord" w:lang="en-GB" w:vendorID="64" w:dllVersion="131078" w:nlCheck="1" w:checkStyle="1"/>
  <w:activeWritingStyle w:appName="MSWord" w:lang="pt-PT" w:vendorID="64" w:dllVersion="131078" w:nlCheck="1" w:checkStyle="0"/>
  <w:activeWritingStyle w:appName="MSWord" w:lang="fr-BE" w:vendorID="64" w:dllVersion="131078" w:nlCheck="1" w:checkStyle="0"/>
  <w:activeWritingStyle w:appName="MSWord" w:lang="en-IE" w:vendorID="64" w:dllVersion="131078" w:nlCheck="1" w:checkStyle="1"/>
  <w:activeWritingStyle w:appName="MSWord" w:lang="en-US" w:vendorID="64" w:dllVersion="131078" w:nlCheck="1" w:checkStyle="1"/>
  <w:attachedTemplate r:id="rId1"/>
  <w:revisionView w:markup="0"/>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0-11-03 11:04:53"/>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87C21E31-A18E-4D27-BD47-26DA85CEB599"/>
    <w:docVar w:name="LW_COVERPAGE_TYPE" w:val="1"/>
    <w:docVar w:name="LW_CROSSREFERENCE" w:val="&lt;UNUSED&gt;"/>
    <w:docVar w:name="LW_DocType" w:val="COM"/>
    <w:docVar w:name="LW_EMISSION" w:val="4.11.2020"/>
    <w:docVar w:name="LW_EMISSION_ISODATE" w:val="2020-11-04"/>
    <w:docVar w:name="LW_EMISSION_LOCATION" w:val="BRX"/>
    <w:docVar w:name="LW_EMISSION_PREFIX" w:val="Брюксел, "/>
    <w:docVar w:name="LW_EMISSION_SUFFIX" w:val=" \u1075?."/>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I.NEW.CP" w:val="COD"/>
    <w:docVar w:name="LW_REF.II.NEW.CP_NUMBER" w:val="0313"/>
    <w:docVar w:name="LW_REF.II.NEW.CP_YEAR" w:val="2020"/>
    <w:docVar w:name="LW_REF.INST.NEW" w:val="COM"/>
    <w:docVar w:name="LW_REF.INST.NEW_ADOPTED" w:val="final"/>
    <w:docVar w:name="LW_REF.INST.NEW_TEXT" w:val="(2020) 6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u1055?\u1088?\u1077?\u1076?\u1083?\u1086?\u1078?\u1077?\u1085?\u1080?\u1077? \u1079?\u1072?"/>
    <w:docVar w:name="LW_SUPERTITRE" w:val="&lt;UNUSED&gt;"/>
    <w:docVar w:name="LW_TITRE.OBJ.CP" w:val="\u1079?\u1072? \u1080?\u1079?\u1084?\u1077?\u1085?\u1077?\u1085?\u1080?\u1077? \u1085?\u1072? \u1056?\u1077?\u1075?\u1083?\u1072?\u1084?\u1077?\u1085?\u1090? (\u1045?\u1054?) \u8470? 428/2009 \u1085?\u1072? \u1057?\u1098?\u1074?\u1077?\u1090?\u1072? \u1095?\u1088?\u1077?\u1079? \u1080?\u1079?\u1076?\u1072?\u1074?\u1072?\u1085?\u1077? \u1085?\u1072? \u1075?\u1077?\u1085?\u1077?\u1088?\u1072?\u1083?\u1085?\u1086? \u1088?\u1072?\u1079?\u1088?\u1077?\u1096?\u1077?\u1085?\u1080?\u1077? \u1085?\u1072? \u1057?\u1098?\u1102?\u1079?\u1072? \u1079?\u1072? \u1080?\u1079?\u1085?\u1086?\u1089? \u1085?\u1072? \u1086?\u1087?\u1088?\u1077?\u1076?\u1077?\u1083?\u1077?\u1085?\u1080? \u1080?\u1079?\u1076?\u1077?\u1083?\u1080?\u1103? \u1089? \u1076?\u1074?\u1086?\u1081?\u1085?\u1072? \u1091?\u1087?\u1086?\u1090?\u1088?\u1077?\u1073?\u1072? \u1086?\u1090? \u1057?\u1098?\u1102?\u1079?\u1072? \u1079?\u1072? \u1054?\u1073?\u1077?\u1076?\u1080?\u1085?\u1077?\u1085?\u1086?\u1090?\u1086? \u1082?\u1088?\u1072?\u1083?\u1089?\u1090?\u1074?\u1086? \u1042?\u1077?\u1083?\u1080?\u1082?\u1086?\u1073?\u1088?\u1080?\u1090?\u1072?\u1085?\u1080?\u1103? \u1080? \u1057?\u1077?\u1074?\u1077?\u1088?\u1085?\u1072? \u1048?\u1088?\u1083?\u1072?\u1085?\u1076?\u1080?\u1103?"/>
    <w:docVar w:name="LW_TYPE.DOC.CP" w:val="\u1056?\u1045?\u1043?\u1051?\u1040?\u1052?\u1045?\u1053?\u1058? \u1053?\u1040? \u1045?\u1042?\u1056?\u1054?\u1055?\u1045?\u1049?\u1057?\u1050?\u1048?\u1071? \u1055?\u1040?\u1056?\u1051?\u1040?\u1052?\u1045?\u1053?\u1058? \u1048? \u1053?\u1040? \u1057?\u1066?\u1042?\u1045?\u1058?\u1040?"/>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bg-BG"/>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bg-BG"/>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bg-BG"/>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bg-BG"/>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bg-BG"/>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bg-BG"/>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bg-BG"/>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bg-BG"/>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bg-BG"/>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bg-BG"/>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32388AC-A339-4CE4-BCDD-F7970EEFCA77}">
  <ds:schemaRefs>
    <ds:schemaRef ds:uri="http://schemas.microsoft.com/sharepoint/v3/contenttype/forms"/>
  </ds:schemaRefs>
</ds:datastoreItem>
</file>

<file path=customXml/itemProps2.xml><?xml version="1.0" encoding="utf-8"?>
<ds:datastoreItem xmlns:ds="http://schemas.openxmlformats.org/officeDocument/2006/customXml" ds:itemID="{0139F15F-A997-4CC5-A0FC-A742076DE003}">
  <ds:schemaRefs>
    <ds:schemaRef ds:uri="25173920-bf43-43cc-9123-1897e847dfc2"/>
    <ds:schemaRef ds:uri="http://schemas.microsoft.com/sharepoint/v3"/>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http://schemas.microsoft.com/sharepoint/v3/fields"/>
    <ds:schemaRef ds:uri="http://www.w3.org/XML/1998/namespace"/>
    <ds:schemaRef ds:uri="http://purl.org/dc/terms/"/>
  </ds:schemaRefs>
</ds:datastoreItem>
</file>

<file path=customXml/itemProps3.xml><?xml version="1.0" encoding="utf-8"?>
<ds:datastoreItem xmlns:ds="http://schemas.openxmlformats.org/officeDocument/2006/customXml" ds:itemID="{51CA19B2-6676-4FA3-BE99-3515B93FE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A90993-F1B4-45A0-9993-6D391BCDC650}">
  <ds:schemaRefs>
    <ds:schemaRef ds:uri="office.server.policy"/>
  </ds:schemaRefs>
</ds:datastoreItem>
</file>

<file path=customXml/itemProps5.xml><?xml version="1.0" encoding="utf-8"?>
<ds:datastoreItem xmlns:ds="http://schemas.openxmlformats.org/officeDocument/2006/customXml" ds:itemID="{834045A9-30B5-4247-AB26-DE4241077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Pages>
  <Words>1789</Words>
  <Characters>10542</Characters>
  <Application>Microsoft Office Word</Application>
  <DocSecurity>0</DocSecurity>
  <Lines>202</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cp:lastPrinted>2018-12-12T15:19:00Z</cp:lastPrinted>
  <dcterms:created xsi:type="dcterms:W3CDTF">2020-10-30T09:06:00Z</dcterms:created>
  <dcterms:modified xsi:type="dcterms:W3CDTF">2020-11-03T10:04:00Z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7.0.1, Build 20190916</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ContentTypeId">
    <vt:lpwstr>0x010100258AA79CEB83498886A3A0868112325000D33D44CF0C8FEB45875F235DEEF2E1B9</vt:lpwstr>
  </property>
  <property fmtid="{D5CDD505-2E9C-101B-9397-08002B2CF9AE}" pid="11" name="DQCStatus">
    <vt:lpwstr>Green (DQC version 03)</vt:lpwstr>
  </property>
  <property name="OP_sanitized" fmtid="{D5CDD505-2E9C-101B-9397-08002B2CF9AE}" pid="12">
    <vt:lpwstr>True</vt:lpwstr>
  </property>
</Properties>
</file>