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B5118DB3-C182-4958-AFBB-110DD5D4EB6C" style="width:450.75pt;height:351.75pt">
            <v:imagedata r:id="rId8" o:title=""/>
          </v:shape>
        </w:pict>
      </w:r>
    </w:p>
    <w:p>
      <w:pPr>
        <w:rPr>
          <w:noProof/>
        </w:rPr>
        <w:sectPr>
          <w:footerReference w:type="default" r:id="rId9"/>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ОБЯСНИТЕЛЕН МЕМОРАНДУМ</w:t>
      </w:r>
    </w:p>
    <w:p>
      <w:pPr>
        <w:pStyle w:val="ManualHeading1"/>
        <w:rPr>
          <w:noProof/>
        </w:rPr>
      </w:pPr>
      <w:r>
        <w:rPr>
          <w:noProof/>
        </w:rPr>
        <w:t>1.</w:t>
      </w:r>
      <w:r>
        <w:rPr>
          <w:noProof/>
        </w:rPr>
        <w:tab/>
        <w:t>КОНТЕКСТ НА ПРЕДЛОЖЕНИЕТО</w:t>
      </w:r>
    </w:p>
    <w:p>
      <w:pPr>
        <w:pStyle w:val="ManualHeading2"/>
        <w:rPr>
          <w:rFonts w:eastAsia="Arial Unicode MS"/>
          <w:noProof/>
        </w:rPr>
      </w:pPr>
      <w:r>
        <w:rPr>
          <w:noProof/>
          <w:color w:val="000000"/>
          <w:u w:color="000000"/>
          <w:bdr w:val="nil"/>
        </w:rPr>
        <w:t>•</w:t>
      </w:r>
      <w:r>
        <w:rPr>
          <w:noProof/>
        </w:rPr>
        <w:tab/>
        <w:t>Основания и цели на предложението</w:t>
      </w:r>
    </w:p>
    <w:p>
      <w:pPr>
        <w:pBdr>
          <w:top w:val="nil"/>
          <w:left w:val="nil"/>
          <w:bottom w:val="nil"/>
          <w:right w:val="nil"/>
          <w:between w:val="nil"/>
          <w:bar w:val="nil"/>
        </w:pBdr>
        <w:spacing w:before="0" w:after="240"/>
        <w:rPr>
          <w:rFonts w:eastAsia="Arial Unicode MS"/>
          <w:noProof/>
        </w:rPr>
      </w:pPr>
      <w:r>
        <w:rPr>
          <w:noProof/>
        </w:rPr>
        <w:t>С Регламент (ЕС) 2020/123 на Съвета се определят възможностите за риболов за 2020 г. на определени рибни запаси и групи от рибни запаси, приложими във водите на Съюза, както и за корабите на Съюза в някои води извън Съюза. Обичайна практика е тези възможности за риболов да се изменят неколкократно по време на периода, за който са в сила.</w:t>
      </w:r>
    </w:p>
    <w:p>
      <w:pPr>
        <w:pStyle w:val="ManualHeading2"/>
        <w:rPr>
          <w:rFonts w:eastAsia="Arial Unicode MS"/>
          <w:noProof/>
          <w:color w:val="000000"/>
          <w:u w:color="000000"/>
          <w:bdr w:val="nil"/>
        </w:rPr>
      </w:pPr>
      <w:r>
        <w:rPr>
          <w:noProof/>
          <w:color w:val="000000"/>
          <w:u w:color="000000"/>
          <w:bdr w:val="nil"/>
        </w:rPr>
        <w:t>•</w:t>
      </w:r>
      <w:r>
        <w:rPr>
          <w:noProof/>
        </w:rPr>
        <w:tab/>
        <w:t>Съгласуваност с действащите разпоредби в тази област на политиката</w:t>
      </w:r>
    </w:p>
    <w:p>
      <w:pPr>
        <w:rPr>
          <w:noProof/>
        </w:rPr>
      </w:pPr>
      <w:r>
        <w:rPr>
          <w:noProof/>
        </w:rPr>
        <w:t>Предложените мерки са разработени в съответствие с целите и правилата на общата политика в областта на рибарството (ОПОР) и са съгласувани с политиката на Съюза за устойчиво развитие.</w:t>
      </w:r>
    </w:p>
    <w:p>
      <w:pPr>
        <w:pStyle w:val="ManualHeading2"/>
        <w:rPr>
          <w:rFonts w:eastAsia="Arial Unicode MS"/>
          <w:noProof/>
        </w:rPr>
      </w:pPr>
      <w:r>
        <w:rPr>
          <w:noProof/>
          <w:color w:val="000000"/>
          <w:u w:color="000000"/>
          <w:bdr w:val="nil"/>
        </w:rPr>
        <w:t>•</w:t>
      </w:r>
      <w:r>
        <w:rPr>
          <w:noProof/>
        </w:rPr>
        <w:tab/>
        <w:t>Съгласуваност с други политики на Съюза</w:t>
      </w:r>
    </w:p>
    <w:p>
      <w:pPr>
        <w:rPr>
          <w:noProof/>
        </w:rPr>
      </w:pPr>
      <w:r>
        <w:rPr>
          <w:noProof/>
        </w:rPr>
        <w:t>Предложените мерки са съгласувани с политиките на Съюза в други области — по-специално в областта на околната среда.</w:t>
      </w:r>
    </w:p>
    <w:p>
      <w:pPr>
        <w:pStyle w:val="ManualHeading1"/>
        <w:rPr>
          <w:noProof/>
        </w:rPr>
      </w:pPr>
      <w:r>
        <w:rPr>
          <w:noProof/>
        </w:rPr>
        <w:t>2.</w:t>
      </w:r>
      <w:r>
        <w:rPr>
          <w:noProof/>
        </w:rPr>
        <w:tab/>
        <w:t>ПРАВНО ОСНОВАНИЕ, СУБСИДИАРНОСТ И ПРОПОРЦИОНАЛНОСТ</w:t>
      </w:r>
    </w:p>
    <w:p>
      <w:pPr>
        <w:pStyle w:val="ManualHeading2"/>
        <w:rPr>
          <w:rFonts w:eastAsia="Arial Unicode MS"/>
          <w:noProof/>
          <w:u w:color="000000"/>
          <w:bdr w:val="nil"/>
        </w:rPr>
      </w:pPr>
      <w:r>
        <w:rPr>
          <w:noProof/>
          <w:u w:color="000000"/>
          <w:bdr w:val="nil"/>
        </w:rPr>
        <w:t>•</w:t>
      </w:r>
      <w:r>
        <w:rPr>
          <w:noProof/>
        </w:rPr>
        <w:tab/>
      </w:r>
      <w:r>
        <w:rPr>
          <w:noProof/>
          <w:u w:color="000000"/>
          <w:bdr w:val="nil"/>
        </w:rPr>
        <w:t>Правно основание</w:t>
      </w:r>
    </w:p>
    <w:p>
      <w:pPr>
        <w:rPr>
          <w:noProof/>
        </w:rPr>
      </w:pPr>
      <w:r>
        <w:rPr>
          <w:noProof/>
        </w:rPr>
        <w:t>Правното основание на настоящото предложение е член 43, параграф 3 от Договора за функционирането на Европейския съюз.</w:t>
      </w:r>
    </w:p>
    <w:p>
      <w:pPr>
        <w:rPr>
          <w:noProof/>
        </w:rPr>
      </w:pPr>
      <w:r>
        <w:rPr>
          <w:noProof/>
        </w:rPr>
        <w:t>Ангажиментът на Съюза към устойчивата експлоатация на живите водни ресурси произтича от задълженията съгласно член 2 от новия Основен регламент относно ОПОР.</w:t>
      </w:r>
    </w:p>
    <w:p>
      <w:pPr>
        <w:pStyle w:val="ManualHeading2"/>
        <w:rPr>
          <w:rFonts w:eastAsia="Arial Unicode MS"/>
          <w:noProof/>
          <w:u w:color="000000"/>
          <w:bdr w:val="nil"/>
        </w:rPr>
      </w:pPr>
      <w:r>
        <w:rPr>
          <w:noProof/>
          <w:u w:color="000000"/>
          <w:bdr w:val="nil"/>
        </w:rPr>
        <w:t>•</w:t>
      </w:r>
      <w:r>
        <w:rPr>
          <w:noProof/>
        </w:rPr>
        <w:tab/>
      </w:r>
      <w:r>
        <w:rPr>
          <w:noProof/>
          <w:u w:color="000000"/>
          <w:bdr w:val="nil"/>
        </w:rPr>
        <w:t xml:space="preserve">Субсидиарност (при неизключителна компетентност) </w:t>
      </w:r>
    </w:p>
    <w:p>
      <w:pPr>
        <w:spacing w:after="0"/>
        <w:rPr>
          <w:noProof/>
        </w:rPr>
      </w:pPr>
      <w:r>
        <w:rPr>
          <w:noProof/>
        </w:rPr>
        <w:t>Предложението попада в обхвата на изключителната компетентност на Съюза в съответствие с член 3, параграф 1, буква г) от Договора. Следователно принципът на субсидиарност не се прилага.</w:t>
      </w:r>
    </w:p>
    <w:p>
      <w:pPr>
        <w:pStyle w:val="ManualHeading2"/>
        <w:rPr>
          <w:rFonts w:eastAsia="Arial Unicode MS"/>
          <w:noProof/>
          <w:u w:color="000000"/>
          <w:bdr w:val="nil"/>
        </w:rPr>
      </w:pPr>
      <w:r>
        <w:rPr>
          <w:noProof/>
          <w:u w:color="000000"/>
          <w:bdr w:val="nil"/>
        </w:rPr>
        <w:t>•</w:t>
      </w:r>
      <w:r>
        <w:rPr>
          <w:noProof/>
        </w:rPr>
        <w:tab/>
      </w:r>
      <w:r>
        <w:rPr>
          <w:noProof/>
          <w:u w:color="000000"/>
          <w:bdr w:val="nil"/>
        </w:rPr>
        <w:t>Пропорционалност</w:t>
      </w:r>
    </w:p>
    <w:p>
      <w:pPr>
        <w:pBdr>
          <w:top w:val="nil"/>
          <w:left w:val="nil"/>
          <w:bottom w:val="nil"/>
          <w:right w:val="nil"/>
          <w:between w:val="nil"/>
          <w:bar w:val="nil"/>
        </w:pBdr>
        <w:spacing w:before="0" w:after="240"/>
        <w:rPr>
          <w:rFonts w:eastAsia="Arial Unicode MS"/>
          <w:noProof/>
        </w:rPr>
      </w:pPr>
      <w:r>
        <w:rPr>
          <w:noProof/>
        </w:rPr>
        <w:t>Предложението отговаря на принципа на пропорционалност поради следната причина: ОПОР е обща политика. Съгласно член 43, параграф 3 от Договора мерките за определянето и разпределянето на възможностите за риболов се приемат от Съвета.</w:t>
      </w:r>
    </w:p>
    <w:p>
      <w:pPr>
        <w:pStyle w:val="ManualHeading2"/>
        <w:rPr>
          <w:rFonts w:eastAsia="Arial Unicode MS"/>
          <w:noProof/>
          <w:u w:color="000000"/>
          <w:bdr w:val="nil"/>
        </w:rPr>
      </w:pPr>
      <w:r>
        <w:rPr>
          <w:noProof/>
          <w:u w:color="000000"/>
          <w:bdr w:val="nil"/>
        </w:rPr>
        <w:t>•</w:t>
      </w:r>
      <w:r>
        <w:rPr>
          <w:noProof/>
        </w:rPr>
        <w:tab/>
      </w:r>
      <w:r>
        <w:rPr>
          <w:noProof/>
          <w:u w:color="000000"/>
          <w:bdr w:val="nil"/>
        </w:rPr>
        <w:t>Избор на инструмент</w:t>
      </w:r>
    </w:p>
    <w:p>
      <w:pPr>
        <w:spacing w:after="0"/>
        <w:rPr>
          <w:noProof/>
        </w:rPr>
      </w:pPr>
      <w:r>
        <w:rPr>
          <w:noProof/>
        </w:rPr>
        <w:t xml:space="preserve">Предложен инструмент: регламент. </w:t>
      </w:r>
    </w:p>
    <w:p>
      <w:pPr>
        <w:pStyle w:val="ManualHeading1"/>
        <w:rPr>
          <w:noProof/>
        </w:rPr>
      </w:pPr>
      <w:r>
        <w:rPr>
          <w:noProof/>
        </w:rPr>
        <w:t>3.</w:t>
      </w:r>
      <w:r>
        <w:rPr>
          <w:noProof/>
        </w:rPr>
        <w:tab/>
        <w:t>РЕЗУЛТАТИ ОТ ПОСЛЕДВАЩИТЕ ОЦЕНКИ, КОНСУЛТАЦИИТЕ СЪС ЗАИНТЕРЕСОВАНИТЕ СТРАНИ И ОЦЕНКИТЕ НА ВЪЗДЕЙСТВИЕТО</w:t>
      </w:r>
    </w:p>
    <w:p>
      <w:pPr>
        <w:pStyle w:val="ManualHeading2"/>
        <w:rPr>
          <w:rFonts w:eastAsia="Arial Unicode MS"/>
          <w:noProof/>
          <w:u w:color="000000"/>
          <w:bdr w:val="nil"/>
        </w:rPr>
      </w:pPr>
      <w:r>
        <w:rPr>
          <w:noProof/>
          <w:u w:color="000000"/>
          <w:bdr w:val="nil"/>
        </w:rPr>
        <w:t>•</w:t>
      </w:r>
      <w:r>
        <w:rPr>
          <w:noProof/>
        </w:rPr>
        <w:tab/>
      </w:r>
      <w:r>
        <w:rPr>
          <w:noProof/>
          <w:u w:color="000000"/>
          <w:bdr w:val="nil"/>
        </w:rPr>
        <w:t>Последващи оценки/проверки за пригодност на действащото законодателство</w:t>
      </w:r>
    </w:p>
    <w:p>
      <w:pPr>
        <w:pBdr>
          <w:top w:val="nil"/>
          <w:left w:val="nil"/>
          <w:bottom w:val="nil"/>
          <w:right w:val="nil"/>
          <w:between w:val="nil"/>
          <w:bar w:val="nil"/>
        </w:pBdr>
        <w:spacing w:before="0" w:after="240"/>
        <w:rPr>
          <w:rFonts w:eastAsia="Arial Unicode MS"/>
          <w:noProof/>
        </w:rPr>
      </w:pPr>
      <w:r>
        <w:rPr>
          <w:noProof/>
        </w:rPr>
        <w:t>Не е приложимо.</w:t>
      </w:r>
    </w:p>
    <w:p>
      <w:pPr>
        <w:pStyle w:val="ManualHeading2"/>
        <w:rPr>
          <w:rFonts w:eastAsia="Arial Unicode MS"/>
          <w:noProof/>
          <w:u w:color="000000"/>
          <w:bdr w:val="nil"/>
        </w:rPr>
      </w:pPr>
      <w:r>
        <w:rPr>
          <w:noProof/>
          <w:u w:color="000000"/>
          <w:bdr w:val="nil"/>
        </w:rPr>
        <w:lastRenderedPageBreak/>
        <w:t>•</w:t>
      </w:r>
      <w:r>
        <w:rPr>
          <w:noProof/>
        </w:rPr>
        <w:tab/>
      </w:r>
      <w:r>
        <w:rPr>
          <w:noProof/>
          <w:u w:color="000000"/>
          <w:bdr w:val="nil"/>
        </w:rPr>
        <w:t>Консултации със заинтересованите страни</w:t>
      </w:r>
    </w:p>
    <w:p>
      <w:pPr>
        <w:pBdr>
          <w:top w:val="nil"/>
          <w:left w:val="nil"/>
          <w:bottom w:val="nil"/>
          <w:right w:val="nil"/>
          <w:between w:val="nil"/>
          <w:bar w:val="nil"/>
        </w:pBdr>
        <w:spacing w:before="0" w:after="240"/>
        <w:rPr>
          <w:noProof/>
        </w:rPr>
      </w:pPr>
      <w:r>
        <w:rPr>
          <w:noProof/>
        </w:rPr>
        <w:t>Както при изготвянето на предложението, така и при определянето на възможностите за риболов са взети предвид отзивите, изпращани през цялата година от заинтересованите страни, консултативните съвети, националните администрации, рибарските организации и неправителствените организации.</w:t>
      </w:r>
    </w:p>
    <w:p>
      <w:pPr>
        <w:pStyle w:val="ManualHeading2"/>
        <w:rPr>
          <w:rFonts w:eastAsia="Arial Unicode MS"/>
          <w:noProof/>
          <w:u w:color="000000"/>
          <w:bdr w:val="nil"/>
        </w:rPr>
      </w:pPr>
      <w:r>
        <w:rPr>
          <w:noProof/>
          <w:u w:color="000000"/>
          <w:bdr w:val="nil"/>
        </w:rPr>
        <w:t>•</w:t>
      </w:r>
      <w:r>
        <w:rPr>
          <w:noProof/>
        </w:rPr>
        <w:tab/>
      </w:r>
      <w:r>
        <w:rPr>
          <w:noProof/>
          <w:u w:color="000000"/>
          <w:bdr w:val="nil"/>
        </w:rPr>
        <w:t>Събиране и използване на експертни становища</w:t>
      </w:r>
    </w:p>
    <w:p>
      <w:pPr>
        <w:pBdr>
          <w:top w:val="nil"/>
          <w:left w:val="nil"/>
          <w:bottom w:val="nil"/>
          <w:right w:val="nil"/>
          <w:between w:val="nil"/>
          <w:bar w:val="nil"/>
        </w:pBdr>
        <w:spacing w:before="0" w:after="240"/>
        <w:rPr>
          <w:rFonts w:eastAsia="Arial Unicode MS"/>
          <w:noProof/>
        </w:rPr>
      </w:pPr>
      <w:r>
        <w:rPr>
          <w:noProof/>
        </w:rPr>
        <w:t>Предложението се основава на научните становища</w:t>
      </w:r>
      <w:r>
        <w:rPr>
          <w:rStyle w:val="FootnoteReference"/>
          <w:noProof/>
        </w:rPr>
        <w:footnoteReference w:id="1"/>
      </w:r>
      <w:r>
        <w:rPr>
          <w:noProof/>
        </w:rPr>
        <w:t xml:space="preserve"> на Международния съвет за изследване на морето (ICES) и на Научния, технически и икономически комитет по рибарство (НТИКР).</w:t>
      </w:r>
    </w:p>
    <w:p>
      <w:pPr>
        <w:pStyle w:val="ManualHeading2"/>
        <w:rPr>
          <w:rFonts w:eastAsia="Arial Unicode MS"/>
          <w:noProof/>
          <w:u w:color="000000"/>
          <w:bdr w:val="nil"/>
        </w:rPr>
      </w:pPr>
      <w:r>
        <w:rPr>
          <w:noProof/>
          <w:u w:color="000000"/>
          <w:bdr w:val="nil"/>
        </w:rPr>
        <w:t>•</w:t>
      </w:r>
      <w:r>
        <w:rPr>
          <w:noProof/>
        </w:rPr>
        <w:tab/>
      </w:r>
      <w:r>
        <w:rPr>
          <w:noProof/>
          <w:u w:color="000000"/>
          <w:bdr w:val="nil"/>
        </w:rPr>
        <w:t>Оценка на въздействието</w:t>
      </w:r>
    </w:p>
    <w:p>
      <w:pPr>
        <w:rPr>
          <w:noProof/>
        </w:rPr>
      </w:pPr>
      <w:r>
        <w:rPr>
          <w:noProof/>
        </w:rPr>
        <w:t>Обхватът на Регламента относно възможностите за риболов е ограничен от член 43, параграф 3 от Договора.</w:t>
      </w:r>
    </w:p>
    <w:p>
      <w:pPr>
        <w:pStyle w:val="ManualHeading2"/>
        <w:rPr>
          <w:rFonts w:eastAsia="Arial Unicode MS"/>
          <w:noProof/>
          <w:u w:color="000000"/>
          <w:bdr w:val="nil"/>
        </w:rPr>
      </w:pPr>
      <w:r>
        <w:rPr>
          <w:noProof/>
          <w:u w:color="000000"/>
          <w:bdr w:val="nil"/>
        </w:rPr>
        <w:t>•</w:t>
      </w:r>
      <w:r>
        <w:rPr>
          <w:noProof/>
        </w:rPr>
        <w:tab/>
      </w:r>
      <w:r>
        <w:rPr>
          <w:noProof/>
          <w:u w:color="000000"/>
          <w:bdr w:val="nil"/>
        </w:rPr>
        <w:t>Пригодност и опростяване на законодателството</w:t>
      </w:r>
    </w:p>
    <w:p>
      <w:pPr>
        <w:pBdr>
          <w:top w:val="nil"/>
          <w:left w:val="nil"/>
          <w:bottom w:val="nil"/>
          <w:right w:val="nil"/>
          <w:between w:val="nil"/>
          <w:bar w:val="nil"/>
        </w:pBdr>
        <w:spacing w:before="0" w:after="240"/>
        <w:rPr>
          <w:rFonts w:eastAsia="Arial Unicode MS"/>
          <w:noProof/>
        </w:rPr>
      </w:pPr>
      <w:r>
        <w:rPr>
          <w:noProof/>
        </w:rPr>
        <w:t>Не е приложимо.</w:t>
      </w:r>
    </w:p>
    <w:p>
      <w:pPr>
        <w:pStyle w:val="ManualHeading2"/>
        <w:rPr>
          <w:rFonts w:eastAsia="Arial Unicode MS"/>
          <w:noProof/>
          <w:u w:color="000000"/>
          <w:bdr w:val="nil"/>
        </w:rPr>
      </w:pPr>
      <w:r>
        <w:rPr>
          <w:noProof/>
          <w:u w:color="000000"/>
          <w:bdr w:val="nil"/>
        </w:rPr>
        <w:t>•</w:t>
      </w:r>
      <w:r>
        <w:rPr>
          <w:noProof/>
        </w:rPr>
        <w:tab/>
      </w:r>
      <w:r>
        <w:rPr>
          <w:noProof/>
          <w:u w:color="000000"/>
          <w:bdr w:val="nil"/>
        </w:rPr>
        <w:t>Основни права</w:t>
      </w:r>
    </w:p>
    <w:p>
      <w:pPr>
        <w:pBdr>
          <w:top w:val="nil"/>
          <w:left w:val="nil"/>
          <w:bottom w:val="nil"/>
          <w:right w:val="nil"/>
          <w:between w:val="nil"/>
          <w:bar w:val="nil"/>
        </w:pBdr>
        <w:spacing w:before="0" w:after="240"/>
        <w:rPr>
          <w:rFonts w:eastAsia="Arial Unicode MS"/>
          <w:noProof/>
        </w:rPr>
      </w:pPr>
      <w:r>
        <w:rPr>
          <w:noProof/>
        </w:rPr>
        <w:t>Не е приложимо.</w:t>
      </w:r>
    </w:p>
    <w:p>
      <w:pPr>
        <w:pStyle w:val="ManualHeading1"/>
        <w:rPr>
          <w:noProof/>
        </w:rPr>
      </w:pPr>
      <w:r>
        <w:rPr>
          <w:noProof/>
        </w:rPr>
        <w:t>4.</w:t>
      </w:r>
      <w:r>
        <w:rPr>
          <w:noProof/>
        </w:rPr>
        <w:tab/>
        <w:t>ОТРАЖЕНИЕ ВЪРХУ БЮДЖЕТА</w:t>
      </w:r>
    </w:p>
    <w:p>
      <w:pPr>
        <w:pBdr>
          <w:top w:val="nil"/>
          <w:left w:val="nil"/>
          <w:bottom w:val="nil"/>
          <w:right w:val="nil"/>
          <w:between w:val="nil"/>
          <w:bar w:val="nil"/>
        </w:pBdr>
        <w:spacing w:before="0" w:after="240"/>
        <w:rPr>
          <w:noProof/>
        </w:rPr>
      </w:pPr>
      <w:r>
        <w:rPr>
          <w:noProof/>
        </w:rPr>
        <w:t>Предложените мерки няма да имат отражение върху бюджета.</w:t>
      </w:r>
    </w:p>
    <w:p>
      <w:pPr>
        <w:pStyle w:val="ManualHeading1"/>
        <w:rPr>
          <w:noProof/>
        </w:rPr>
      </w:pPr>
      <w:r>
        <w:rPr>
          <w:noProof/>
        </w:rPr>
        <w:t>5.</w:t>
      </w:r>
      <w:r>
        <w:rPr>
          <w:noProof/>
        </w:rPr>
        <w:tab/>
        <w:t>ДРУГИ ЕЛЕМЕНТИ</w:t>
      </w:r>
    </w:p>
    <w:p>
      <w:pPr>
        <w:pStyle w:val="ManualHeading2"/>
        <w:rPr>
          <w:rFonts w:eastAsia="Arial Unicode MS"/>
          <w:noProof/>
          <w:u w:color="000000"/>
          <w:bdr w:val="nil"/>
        </w:rPr>
      </w:pPr>
      <w:r>
        <w:rPr>
          <w:noProof/>
          <w:u w:color="000000"/>
          <w:bdr w:val="nil"/>
        </w:rPr>
        <w:t>•</w:t>
      </w:r>
      <w:r>
        <w:rPr>
          <w:noProof/>
        </w:rPr>
        <w:tab/>
      </w:r>
      <w:r>
        <w:rPr>
          <w:noProof/>
          <w:u w:color="000000"/>
          <w:bdr w:val="nil"/>
        </w:rPr>
        <w:t>Подробно разяснение на отделните разпоредби на предложението</w:t>
      </w:r>
    </w:p>
    <w:p>
      <w:pPr>
        <w:rPr>
          <w:noProof/>
          <w:szCs w:val="24"/>
        </w:rPr>
      </w:pPr>
      <w:r>
        <w:rPr>
          <w:noProof/>
        </w:rPr>
        <w:t>Целта на предложените изменения е Регламент (ЕС) 2020/123 на Съвета да бъде изменен, както е описано по-долу.</w:t>
      </w:r>
    </w:p>
    <w:p>
      <w:pPr>
        <w:rPr>
          <w:noProof/>
          <w:szCs w:val="24"/>
          <w:u w:val="single"/>
        </w:rPr>
      </w:pPr>
      <w:r>
        <w:rPr>
          <w:noProof/>
          <w:szCs w:val="24"/>
          <w:u w:val="single"/>
        </w:rPr>
        <w:t>Хамсия в подзони 9 и 10</w:t>
      </w:r>
    </w:p>
    <w:p>
      <w:pPr>
        <w:rPr>
          <w:noProof/>
          <w:szCs w:val="24"/>
        </w:rPr>
      </w:pPr>
      <w:r>
        <w:rPr>
          <w:noProof/>
        </w:rPr>
        <w:t>Хамсията (</w:t>
      </w:r>
      <w:r>
        <w:rPr>
          <w:i/>
          <w:noProof/>
          <w:szCs w:val="24"/>
        </w:rPr>
        <w:t>Engraulis encrasicolus</w:t>
      </w:r>
      <w:r>
        <w:rPr>
          <w:noProof/>
        </w:rPr>
        <w:t>) в подзони 9 и 10 на ICES и във водите на Съюза от участък 34.1.1 на CECAF е вид с кратък живот, за който наблюденията приключват през месец май. Периодът за общия допустим улов (ОДУ) трае от 1 юли до 30 юни следващата година.  Благодарение на това възможностите за риболов се основават върху възможно най-прецизната оценка на годишното възпроизводство на този вид с кратък живот.</w:t>
      </w:r>
    </w:p>
    <w:p>
      <w:pPr>
        <w:rPr>
          <w:noProof/>
          <w:szCs w:val="24"/>
        </w:rPr>
      </w:pPr>
      <w:r>
        <w:rPr>
          <w:noProof/>
        </w:rPr>
        <w:t>В Регламент (ЕС) 2020/123 на Съвета ОДУ за хамсия в подзони 9 и 10 на ICES и във водите на Съюза от участък 34.1.1 на CECAF, приложим от 1 юли 2020 г. до 30 юни 2021 г., беше определен на нула в очакване на новото научно становище. С второто изменение на възможностите за риболов за 2020 г. беше установен временен ОДУ от 4 018 тона до 30 септември 2020 г., за да може риболовът да продължи. Научното становище беше издадено на 18 юни 2020 г. Поради това ОДУ за периода с начало 1 юли 2020 г. следва да бъде изменен с оглед на най-новото научно становище на ICES.</w:t>
      </w:r>
    </w:p>
    <w:p>
      <w:pPr>
        <w:rPr>
          <w:noProof/>
          <w:szCs w:val="24"/>
          <w:u w:val="single"/>
        </w:rPr>
      </w:pPr>
      <w:r>
        <w:rPr>
          <w:noProof/>
          <w:szCs w:val="24"/>
          <w:u w:val="single"/>
        </w:rPr>
        <w:t>Достъп до син меджид във водите на Фарьорските острови</w:t>
      </w:r>
    </w:p>
    <w:p>
      <w:pPr>
        <w:rPr>
          <w:noProof/>
          <w:szCs w:val="24"/>
        </w:rPr>
      </w:pPr>
      <w:r>
        <w:rPr>
          <w:noProof/>
        </w:rPr>
        <w:lastRenderedPageBreak/>
        <w:t>В Съгласувания протокол от консултациите в областта на риболова между Фарьорските острови и Европейския съюз за 2020 г., двете страни се споразумяха всяка от тях да предостави на другата реципрочен достъп до своите води за риболов на син меджид (</w:t>
      </w:r>
      <w:r>
        <w:rPr>
          <w:i/>
          <w:noProof/>
        </w:rPr>
        <w:t>Micromesistius poutassou</w:t>
      </w:r>
      <w:r>
        <w:rPr>
          <w:noProof/>
        </w:rPr>
        <w:t xml:space="preserve">) във водите на Съюза и международните води от 1, 2, 3, 4, 5, 6, 7, 8a, 8b, 8d, 8e, 12 и 14 в рамките на 37 500 тона за всяка страна. Чрез специално условие количеството син меджид, което държавите членки могат да ловят от собствените си квоти във водите на Фарьорските острови, се ограничава до определен процент от общия дял на ЕС. Този процент следва да представлява съотношението между правата на достъп на ЕС, които възлизат на 37 500 тона, и общия дял на ЕС, който възлиза на 326 484 тона. Това се равнява на 11,4 % и е количеството, което държавите членки могат да ловят в рамките на собствените си квоти във водите на Фарьорските острови. Процентът, който понастоящем е определен на 7 %, следва да бъде съответно изменен. </w:t>
      </w:r>
    </w:p>
    <w:p>
      <w:pPr>
        <w:rPr>
          <w:noProof/>
          <w:szCs w:val="24"/>
          <w:u w:val="single"/>
        </w:rPr>
      </w:pPr>
      <w:r>
        <w:rPr>
          <w:noProof/>
          <w:szCs w:val="24"/>
          <w:u w:val="single"/>
        </w:rPr>
        <w:t>Достъп до син меджид във водите на ЕС</w:t>
      </w:r>
    </w:p>
    <w:p>
      <w:pPr>
        <w:pStyle w:val="ManualHeading2"/>
        <w:tabs>
          <w:tab w:val="clear" w:pos="850"/>
          <w:tab w:val="left" w:pos="0"/>
        </w:tabs>
        <w:ind w:left="0" w:firstLine="0"/>
        <w:rPr>
          <w:b w:val="0"/>
          <w:noProof/>
          <w:szCs w:val="24"/>
        </w:rPr>
      </w:pPr>
      <w:r>
        <w:rPr>
          <w:b w:val="0"/>
          <w:noProof/>
          <w:szCs w:val="24"/>
        </w:rPr>
        <w:t xml:space="preserve">В Съгласувания протокол от консултациите в областта на риболова между Норвегия и Европейския съюз относно </w:t>
      </w:r>
      <w:r>
        <w:rPr>
          <w:b w:val="0"/>
          <w:i/>
          <w:iCs/>
          <w:noProof/>
          <w:szCs w:val="24"/>
        </w:rPr>
        <w:t>ad hoc</w:t>
      </w:r>
      <w:r>
        <w:rPr>
          <w:b w:val="0"/>
          <w:noProof/>
          <w:szCs w:val="24"/>
        </w:rPr>
        <w:t xml:space="preserve"> договореностите за риболов във връзка с управлението на синия меджид и норвежката (атлантическо-скандинавската) херинга, размножаваща се през пролетта, за 2020 г., на всяка от двете страни се предоставя правото да улови 190 809 тона син меджид във водите на другата страна. Чрез специално условие достъпът на Норвегия до риболов във водите на Съюза от 4а се ограничава на 40 000 тона (в съответствие със Съгласувания протокол от консултациите в областта на риболова между Норвегия и Европейския съюз за 2020 г.). Това ограничение на улова в 4а възлиза на 21 % от общата квота за достъп на Норвегия във водите на Съюза от 2, 4a, 5, 6 на север от 56°30′ с.ш. и 7 на запад от 12° з.д. Процентът, който понастоящем е определен на 18 %, следва да бъде съответно изменен. </w:t>
      </w:r>
    </w:p>
    <w:p>
      <w:pPr>
        <w:rPr>
          <w:noProof/>
          <w:szCs w:val="24"/>
          <w:u w:val="single"/>
        </w:rPr>
      </w:pPr>
      <w:r>
        <w:rPr>
          <w:noProof/>
          <w:szCs w:val="24"/>
          <w:u w:val="single"/>
        </w:rPr>
        <w:t>Възможности за улов на мойва във водите на Гренландия</w:t>
      </w:r>
    </w:p>
    <w:p>
      <w:pPr>
        <w:rPr>
          <w:b/>
          <w:noProof/>
          <w:szCs w:val="24"/>
        </w:rPr>
      </w:pPr>
      <w:r>
        <w:rPr>
          <w:noProof/>
        </w:rPr>
        <w:t>Съгласно протокола към Спогодбата за партньорство в областта на рибарството между Европейския съюз и Гренландия Съюзът получава 7,7 % от общия допустим улов на мойва (</w:t>
      </w:r>
      <w:r>
        <w:rPr>
          <w:i/>
          <w:noProof/>
        </w:rPr>
        <w:t>Mallotus villosus</w:t>
      </w:r>
      <w:r>
        <w:rPr>
          <w:noProof/>
        </w:rPr>
        <w:t xml:space="preserve">) в гренландските води от подзони 5 и 14 на ICES. В съответствие със становището на ICES за 169 520 тона и гореспоменатия протокол, на 12 юни 2020 г. Гренландия предложи на Европейския съюз 13 053 тона мойва. Риболовният сезон за този ОДУ започна на 20 юни 2020 г. и ще завърши на 15 април 2021 г. В Регламент (ЕС) 2020/123 на Съвета в таблицата относно ОДУ за мойва за периода 20 юни 2019 г. — 30 април 2020 г. беше посочена нула, поради което за периода 20 юни 2020 — 15 април 2021 г. тази таблица следва да бъде съответно изменена. </w:t>
      </w:r>
    </w:p>
    <w:p>
      <w:pPr>
        <w:pStyle w:val="ManualHeading2"/>
        <w:rPr>
          <w:b w:val="0"/>
          <w:noProof/>
          <w:u w:val="single"/>
        </w:rPr>
      </w:pPr>
      <w:r>
        <w:rPr>
          <w:b w:val="0"/>
          <w:noProof/>
          <w:u w:val="single"/>
          <w:bdr w:val="nil"/>
        </w:rPr>
        <w:t>Консултации с Обединеното кралство</w:t>
      </w:r>
    </w:p>
    <w:p>
      <w:pPr>
        <w:rPr>
          <w:noProof/>
        </w:rPr>
      </w:pPr>
      <w:r>
        <w:rPr>
          <w:noProof/>
        </w:rPr>
        <w:t>Тъй като настоящият регламент следва да бъде приет по време на преходния период, предвиден в Споразумението за оттеглянето на Обединеното кралство Великобритания и Северна Ирландия от Европейския съюз и Европейската общност за атомна енергия, Комисията ще проведе консултации с Обединеното кралство в съответствие с член 130, параграф 1 от посоченото споразумение.</w:t>
      </w:r>
    </w:p>
    <w:p>
      <w:pPr>
        <w:rPr>
          <w:noProof/>
        </w:rPr>
        <w:sectPr>
          <w:footerReference w:type="default" r:id="rId10"/>
          <w:footerReference w:type="first" r:id="rId11"/>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2020/0159 (NLE)</w:t>
      </w:r>
    </w:p>
    <w:p>
      <w:pPr>
        <w:pStyle w:val="Statut"/>
        <w:rPr>
          <w:noProof/>
        </w:rPr>
      </w:pPr>
      <w:r>
        <w:rPr>
          <w:noProof/>
        </w:rPr>
        <w:t>Предложение за</w:t>
      </w:r>
    </w:p>
    <w:p>
      <w:pPr>
        <w:pStyle w:val="Typedudocument"/>
        <w:rPr>
          <w:noProof/>
        </w:rPr>
      </w:pPr>
      <w:r>
        <w:rPr>
          <w:noProof/>
        </w:rPr>
        <w:t>РЕГЛАМЕНТ НА СЪВЕТА</w:t>
      </w:r>
    </w:p>
    <w:p>
      <w:pPr>
        <w:pStyle w:val="Titreobjet"/>
        <w:rPr>
          <w:noProof/>
        </w:rPr>
      </w:pPr>
      <w:r>
        <w:rPr>
          <w:noProof/>
        </w:rPr>
        <w:t>за изменение на Регламент (ЕС) 2020/123 по отношение на определени възможности за риболов през 2020 г. във води на Съюза и води извън Съюза</w:t>
      </w:r>
    </w:p>
    <w:p>
      <w:pPr>
        <w:pStyle w:val="Institutionquiagit"/>
        <w:rPr>
          <w:noProof/>
        </w:rPr>
      </w:pPr>
      <w:r>
        <w:rPr>
          <w:noProof/>
        </w:rPr>
        <w:t>СЪВЕТЪТ НА ЕВРОПЕЙСКИЯ СЪЮЗ,</w:t>
      </w:r>
    </w:p>
    <w:p>
      <w:pPr>
        <w:rPr>
          <w:noProof/>
        </w:rPr>
      </w:pPr>
      <w:r>
        <w:rPr>
          <w:noProof/>
        </w:rPr>
        <w:t>като взе предвид Договора за функционирането на Европейския съюз, и по-специално член 43, параграф 3 от него,</w:t>
      </w:r>
    </w:p>
    <w:p>
      <w:pPr>
        <w:rPr>
          <w:noProof/>
        </w:rPr>
      </w:pPr>
      <w:r>
        <w:rPr>
          <w:noProof/>
        </w:rPr>
        <w:t>като взе предвид предложението на Европейската комисия,</w:t>
      </w:r>
    </w:p>
    <w:p>
      <w:pPr>
        <w:rPr>
          <w:noProof/>
        </w:rPr>
      </w:pPr>
      <w:r>
        <w:rPr>
          <w:noProof/>
        </w:rPr>
        <w:t>като има предвид, че:</w:t>
      </w:r>
    </w:p>
    <w:p>
      <w:pPr>
        <w:pStyle w:val="ManualConsidrant"/>
        <w:rPr>
          <w:noProof/>
        </w:rPr>
      </w:pPr>
      <w:r>
        <w:t>(1)</w:t>
      </w:r>
      <w:r>
        <w:tab/>
      </w:r>
      <w:r>
        <w:rPr>
          <w:noProof/>
        </w:rPr>
        <w:t>С Регламент (ЕС) 2020/123 на Съвета</w:t>
      </w:r>
      <w:r>
        <w:rPr>
          <w:rStyle w:val="FootnoteReference"/>
          <w:noProof/>
        </w:rPr>
        <w:footnoteReference w:customMarkFollows="1" w:id="2"/>
        <w:t>1</w:t>
      </w:r>
      <w:r>
        <w:rPr>
          <w:noProof/>
        </w:rPr>
        <w:t xml:space="preserve"> се определят възможностите за риболов за 2020 г. на определени рибни запаси и групи от рибни запаси, приложими във водите на Съюза, както и за корабите на Съюза в някои води извън Съюза.</w:t>
      </w:r>
    </w:p>
    <w:p>
      <w:pPr>
        <w:pStyle w:val="ManualConsidrant"/>
        <w:rPr>
          <w:noProof/>
        </w:rPr>
      </w:pPr>
      <w:r>
        <w:t>(2)</w:t>
      </w:r>
      <w:r>
        <w:tab/>
      </w:r>
      <w:r>
        <w:rPr>
          <w:noProof/>
        </w:rPr>
        <w:t>В Регламент (ЕС) 2020/123 общият допустим улов (ОДУ) на хамсия (</w:t>
      </w:r>
      <w:r>
        <w:rPr>
          <w:i/>
          <w:iCs/>
          <w:noProof/>
        </w:rPr>
        <w:t>Engraulis encrasicolus</w:t>
      </w:r>
      <w:r>
        <w:rPr>
          <w:noProof/>
        </w:rPr>
        <w:t>) в подзони 9 и 10 на ICES и във водите на Съюза от участък 34.1.1 на CECAF е определен на нула. С второто изменение</w:t>
      </w:r>
      <w:r>
        <w:rPr>
          <w:rStyle w:val="FootnoteReference"/>
          <w:noProof/>
        </w:rPr>
        <w:footnoteReference w:id="3"/>
      </w:r>
      <w:r>
        <w:rPr>
          <w:noProof/>
        </w:rPr>
        <w:t xml:space="preserve"> на Регламент (ЕС) 2020/123 на Съвета беше установен временен ОДУ, за да може риболовът да продължи. Хамсията е вид с кратък живот, за който научното становище беше издадено на 18 юни 2020 г. Ограниченията на улова на хамсия в подзони 9 и 10 на ICES и във водите на Съюза от участък 34.1.1 на CECAF следва да бъдат изменени в съответствие с най-новото научно становище на Международния съвет за изследване на морето (ICES) и да бъдат определени на 15 699 тона. </w:t>
      </w:r>
    </w:p>
    <w:p>
      <w:pPr>
        <w:pStyle w:val="ManualConsidrant"/>
        <w:rPr>
          <w:noProof/>
        </w:rPr>
      </w:pPr>
      <w:r>
        <w:t>(3)</w:t>
      </w:r>
      <w:r>
        <w:tab/>
      </w:r>
      <w:r>
        <w:rPr>
          <w:noProof/>
        </w:rPr>
        <w:t>В Съгласувания протокол от консултациите в областта на риболова между Фарьорските острови и Европейския съюз за 2020 г., двете страни се споразумяха всяка от тях да предостави на другата реципрочен достъп до своите води за риболов на син меджид (</w:t>
      </w:r>
      <w:r>
        <w:rPr>
          <w:i/>
          <w:noProof/>
        </w:rPr>
        <w:t>Micromesistius poutassou</w:t>
      </w:r>
      <w:r>
        <w:rPr>
          <w:noProof/>
        </w:rPr>
        <w:t xml:space="preserve">) във водите на Съюза и международните води от 1, 2, 3, 4, 5, 6, 7, 8a, 8b, 8d, 8e, 12 и 14 в рамките на 37 500 тона. Специално условие в таблицата за ОДУ предоставя на Съюза достъп до водите на Фарьорските острови и ограничава (под формата на процент от общия дял на Съюза) количеството син меджид, което държавите членки могат да ловят в рамките на собствените си квоти във водите на Фарьорските острови. Този процент следва да представлява съотношението между правата на достъп на Съюза, които възлизат на 37 500 тона, и общия дял на Съюза, който възлиза на 326 484 тона син меджид. Това се равнява на 11,4 % и е количеството, </w:t>
      </w:r>
      <w:r>
        <w:rPr>
          <w:noProof/>
        </w:rPr>
        <w:lastRenderedPageBreak/>
        <w:t>което държавите членки могат да ловят в рамките на собствените си квоти във водите на Фарьорските острови. Процентът, който понастоящем е определен на 7 %, следва да бъде съответно изменен.</w:t>
      </w:r>
    </w:p>
    <w:p>
      <w:pPr>
        <w:pStyle w:val="ManualConsidrant"/>
        <w:rPr>
          <w:noProof/>
        </w:rPr>
      </w:pPr>
      <w:r>
        <w:t>(4)</w:t>
      </w:r>
      <w:r>
        <w:tab/>
      </w:r>
      <w:r>
        <w:rPr>
          <w:noProof/>
        </w:rPr>
        <w:t xml:space="preserve">В Съгласувания протокол от консултациите в областта на риболова между Норвегия и Европейския съюз относно </w:t>
      </w:r>
      <w:r>
        <w:rPr>
          <w:i/>
          <w:iCs/>
          <w:noProof/>
        </w:rPr>
        <w:t>ad hoc</w:t>
      </w:r>
      <w:r>
        <w:rPr>
          <w:noProof/>
        </w:rPr>
        <w:t xml:space="preserve"> договореностите за риболов във връзка с управлението на синия меджид (</w:t>
      </w:r>
      <w:r>
        <w:rPr>
          <w:i/>
          <w:noProof/>
        </w:rPr>
        <w:t>Micromesistius poutassou</w:t>
      </w:r>
      <w:r>
        <w:rPr>
          <w:noProof/>
        </w:rPr>
        <w:t xml:space="preserve">) и норвежката (атлантическо-скандинавската) херинга, размножаваща се през пролетта, за 2020 г., на всяка от двете страни се предоставя правото да улови 190 809 тона син меджид във водите на другата страна. В таблицата относно ОДУ за син меджид, съгласно която Норвегия има право да извършва риболов във водите на Съюза от 2, 4a, 5, 6 на север от 56°30′ с.ш. и 7 на запад от 12° з.д., чрез специално условие уловът в 4а се ограничава на 40 000 тона (в съответствие със Съгласувания протокол от консултациите в областта на риболова между Норвегия и Европейския съюз за 2020 г.). Това ограничение на улова в 4а възлиза на 21 % от общата квота за достъп на Норвегия. Процентът, който понастоящем е определен на 18 %, следва да бъде съответно изменен. </w:t>
      </w:r>
    </w:p>
    <w:p>
      <w:pPr>
        <w:pStyle w:val="ManualConsidrant"/>
        <w:rPr>
          <w:noProof/>
        </w:rPr>
      </w:pPr>
      <w:r>
        <w:t>(5)</w:t>
      </w:r>
      <w:r>
        <w:tab/>
      </w:r>
      <w:r>
        <w:rPr>
          <w:noProof/>
        </w:rPr>
        <w:t>В Спогодбата за партньорство в областта на рибарството между Европейската общност, от една страна, и правителството на Дания и автономното правителство на Гренландия, от друга страна</w:t>
      </w:r>
      <w:r>
        <w:rPr>
          <w:rStyle w:val="FootnoteReference"/>
          <w:noProof/>
        </w:rPr>
        <w:footnoteReference w:id="4"/>
      </w:r>
      <w:r>
        <w:rPr>
          <w:noProof/>
        </w:rPr>
        <w:t>, както и в протокола</w:t>
      </w:r>
      <w:r>
        <w:rPr>
          <w:rStyle w:val="FootnoteReference"/>
          <w:noProof/>
        </w:rPr>
        <w:footnoteReference w:id="5"/>
      </w:r>
      <w:r>
        <w:rPr>
          <w:noProof/>
        </w:rPr>
        <w:t xml:space="preserve"> към нея, се предвижда, че Съюзът получава 7,7 % от общия допустим улов на мойва (</w:t>
      </w:r>
      <w:r>
        <w:rPr>
          <w:i/>
          <w:noProof/>
        </w:rPr>
        <w:t>Mallotus villosus</w:t>
      </w:r>
      <w:r>
        <w:rPr>
          <w:noProof/>
        </w:rPr>
        <w:t xml:space="preserve">) във водите на Гренландия от подзони 5 и 14 на ICES. В съответствие с протокола на 12 юни 2020 г. Гренландия предложи на Европейския съюз възможности за риболов на 13 053 тона мойва през периода от 20 юни 2020 г. до 15 април 2021 г. Поради това таблицата относно възможностите за риболов на мойва следва да бъде съответно изменена. </w:t>
      </w:r>
    </w:p>
    <w:p>
      <w:pPr>
        <w:pStyle w:val="ManualConsidrant"/>
        <w:rPr>
          <w:noProof/>
        </w:rPr>
      </w:pPr>
      <w:r>
        <w:t>(6)</w:t>
      </w:r>
      <w:r>
        <w:tab/>
      </w:r>
      <w:r>
        <w:rPr>
          <w:noProof/>
        </w:rPr>
        <w:t>С оглед на гореизложените съображения Регламент (ЕС) 2020/123 следва да бъде съответно изменен.</w:t>
      </w:r>
    </w:p>
    <w:p>
      <w:pPr>
        <w:pStyle w:val="ManualConsidrant"/>
        <w:rPr>
          <w:noProof/>
        </w:rPr>
      </w:pPr>
      <w:r>
        <w:t>(7)</w:t>
      </w:r>
      <w:r>
        <w:tab/>
      </w:r>
      <w:r>
        <w:rPr>
          <w:noProof/>
        </w:rPr>
        <w:t>Ограниченията на улова, предвидени в Регламент (ЕС) 2020/123, се прилагат, както следва: от 1 януари 2020 г. за син меджид във водите на Съюза от 2, 4a, 5, 6 на север от 56°30′ с.ш. и 7 на запад от 12° з.д.; от 20 юни 2020 г. за мойва в гренландските води от подзони 5 и 14 на ICES; от 1 юли 2020 г. за хамсия в подзони 9 и 10 на ICES и водите на Съюза от участък 34.1.1 на CECAF. Поради това разпоредбите, които се въвеждат с настоящия регламент по отношение на ограниченията на улова, следва да влязат в сила възможно най-скоро и следва да се прилагат с обратно действие за синия меджид — от 1 януари 2020 г., за мойвата — от 20 юни 2020 г. и за хамсията — от 1 юли 2020 г. Това обратно действие не засяга принципите на правната сигурност и защитата на оправданите правни очаквания, тъй като съответните възможности за риболов все още не са изчерпани.</w:t>
      </w:r>
    </w:p>
    <w:p>
      <w:pPr>
        <w:pStyle w:val="ManualConsidrant"/>
        <w:rPr>
          <w:noProof/>
        </w:rPr>
      </w:pPr>
      <w:r>
        <w:t>(8)</w:t>
      </w:r>
      <w:r>
        <w:tab/>
      </w:r>
      <w:r>
        <w:rPr>
          <w:noProof/>
        </w:rPr>
        <w:t xml:space="preserve">В съответствие с член 130, параграф 1 от Споразумението за оттеглянето на Обединеното кралство Великобритания и Северна Ирландия от Европейския съюз и Европейската общност за атомна енергия бяха проведени консултации с Обединеното кралство, </w:t>
      </w:r>
    </w:p>
    <w:p>
      <w:pPr>
        <w:pStyle w:val="ManualConsidrant"/>
        <w:rPr>
          <w:noProof/>
        </w:rPr>
      </w:pPr>
    </w:p>
    <w:p>
      <w:pPr>
        <w:pStyle w:val="Formuledadoption"/>
        <w:rPr>
          <w:noProof/>
        </w:rPr>
      </w:pPr>
      <w:r>
        <w:rPr>
          <w:noProof/>
        </w:rPr>
        <w:t>ПРИЕ НАСТОЯЩИЯ РЕГЛАМЕНТ:</w:t>
      </w:r>
    </w:p>
    <w:p>
      <w:pPr>
        <w:pStyle w:val="Titrearticle"/>
        <w:rPr>
          <w:noProof/>
        </w:rPr>
      </w:pPr>
      <w:r>
        <w:rPr>
          <w:noProof/>
        </w:rPr>
        <w:t>Член 1</w:t>
      </w:r>
    </w:p>
    <w:p>
      <w:pPr>
        <w:pStyle w:val="Titrearticle"/>
        <w:spacing w:before="0"/>
        <w:rPr>
          <w:b/>
          <w:i w:val="0"/>
          <w:noProof/>
        </w:rPr>
      </w:pPr>
      <w:r>
        <w:rPr>
          <w:b/>
          <w:i w:val="0"/>
          <w:noProof/>
        </w:rPr>
        <w:t>Изменение на Регламент (ЕС) 2020/123</w:t>
      </w:r>
    </w:p>
    <w:p>
      <w:pPr>
        <w:rPr>
          <w:noProof/>
        </w:rPr>
      </w:pPr>
      <w:r>
        <w:rPr>
          <w:noProof/>
        </w:rPr>
        <w:t>Приложения IА и IБ към Регламент (ЕС) 2020/123 се изменят, както следва:</w:t>
      </w:r>
    </w:p>
    <w:p>
      <w:pPr>
        <w:pStyle w:val="Point0"/>
        <w:rPr>
          <w:noProof/>
        </w:rPr>
      </w:pPr>
      <w:r>
        <w:t>(1)</w:t>
      </w:r>
      <w:r>
        <w:tab/>
      </w:r>
      <w:r>
        <w:rPr>
          <w:noProof/>
        </w:rPr>
        <w:t xml:space="preserve">Приложение IA се изменя, както следва: </w:t>
      </w:r>
    </w:p>
    <w:p>
      <w:pPr>
        <w:pStyle w:val="Point1"/>
        <w:rPr>
          <w:noProof/>
        </w:rPr>
      </w:pPr>
      <w:r>
        <w:rPr>
          <w:noProof/>
        </w:rPr>
        <w:t>а)</w:t>
      </w:r>
      <w:r>
        <w:rPr>
          <w:noProof/>
        </w:rPr>
        <w:tab/>
        <w:t>таблицата относно възможностите за риболов на хамсия в 9 и 10 и във водите на Съюза от участък 34.1.1 на CECAF се заменя със следното:</w:t>
      </w:r>
    </w:p>
    <w:p>
      <w:pPr>
        <w:pStyle w:val="Text1"/>
        <w:rPr>
          <w:noProof/>
        </w:rPr>
      </w:pPr>
      <w:r>
        <w:rPr>
          <w:noProof/>
        </w:rPr>
        <w:t>„</w:t>
      </w:r>
    </w:p>
    <w:p>
      <w:pPr>
        <w:pStyle w:val="Text1"/>
        <w:rPr>
          <w:noProof/>
        </w:rPr>
      </w:pPr>
    </w:p>
    <w:tbl>
      <w:tblPr>
        <w:tblW w:w="9181" w:type="dxa"/>
        <w:tblInd w:w="108" w:type="dxa"/>
        <w:tblLook w:val="04A0" w:firstRow="1" w:lastRow="0" w:firstColumn="1" w:lastColumn="0" w:noHBand="0" w:noVBand="1"/>
      </w:tblPr>
      <w:tblGrid>
        <w:gridCol w:w="1136"/>
        <w:gridCol w:w="1941"/>
        <w:gridCol w:w="1186"/>
        <w:gridCol w:w="700"/>
        <w:gridCol w:w="790"/>
        <w:gridCol w:w="890"/>
        <w:gridCol w:w="1135"/>
        <w:gridCol w:w="1403"/>
      </w:tblGrid>
      <w:tr>
        <w:trPr>
          <w:trHeight w:val="255"/>
        </w:trPr>
        <w:tc>
          <w:tcPr>
            <w:tcW w:w="1136" w:type="dxa"/>
            <w:tcBorders>
              <w:top w:val="single" w:sz="8" w:space="0" w:color="000000"/>
              <w:left w:val="nil"/>
              <w:bottom w:val="nil"/>
              <w:right w:val="nil"/>
            </w:tcBorders>
            <w:noWrap/>
            <w:hideMark/>
          </w:tcPr>
          <w:p>
            <w:pPr>
              <w:rPr>
                <w:noProof/>
                <w:sz w:val="18"/>
                <w:szCs w:val="18"/>
              </w:rPr>
            </w:pPr>
            <w:r>
              <w:rPr>
                <w:noProof/>
                <w:sz w:val="18"/>
                <w:szCs w:val="18"/>
              </w:rPr>
              <w:t>Вид:</w:t>
            </w:r>
          </w:p>
        </w:tc>
        <w:tc>
          <w:tcPr>
            <w:tcW w:w="3827" w:type="dxa"/>
            <w:gridSpan w:val="3"/>
            <w:tcBorders>
              <w:top w:val="single" w:sz="8" w:space="0" w:color="000000"/>
              <w:left w:val="nil"/>
              <w:bottom w:val="nil"/>
              <w:right w:val="nil"/>
            </w:tcBorders>
            <w:noWrap/>
            <w:hideMark/>
          </w:tcPr>
          <w:p>
            <w:pPr>
              <w:rPr>
                <w:noProof/>
                <w:sz w:val="18"/>
                <w:szCs w:val="18"/>
              </w:rPr>
            </w:pPr>
            <w:r>
              <w:rPr>
                <w:noProof/>
                <w:sz w:val="18"/>
                <w:szCs w:val="18"/>
              </w:rPr>
              <w:t>Хамсия</w:t>
            </w:r>
          </w:p>
        </w:tc>
        <w:tc>
          <w:tcPr>
            <w:tcW w:w="790" w:type="dxa"/>
            <w:tcBorders>
              <w:top w:val="single" w:sz="8" w:space="0" w:color="000000"/>
              <w:left w:val="single" w:sz="8" w:space="0" w:color="000000"/>
              <w:bottom w:val="nil"/>
              <w:right w:val="nil"/>
            </w:tcBorders>
            <w:noWrap/>
            <w:hideMark/>
          </w:tcPr>
          <w:p>
            <w:pPr>
              <w:rPr>
                <w:noProof/>
                <w:sz w:val="18"/>
                <w:szCs w:val="18"/>
              </w:rPr>
            </w:pPr>
            <w:r>
              <w:rPr>
                <w:noProof/>
                <w:sz w:val="18"/>
                <w:szCs w:val="18"/>
              </w:rPr>
              <w:t>Зона:</w:t>
            </w:r>
          </w:p>
        </w:tc>
        <w:tc>
          <w:tcPr>
            <w:tcW w:w="3428" w:type="dxa"/>
            <w:gridSpan w:val="3"/>
            <w:tcBorders>
              <w:top w:val="single" w:sz="8" w:space="0" w:color="000000"/>
              <w:left w:val="nil"/>
              <w:bottom w:val="nil"/>
              <w:right w:val="nil"/>
            </w:tcBorders>
            <w:noWrap/>
            <w:hideMark/>
          </w:tcPr>
          <w:p>
            <w:pPr>
              <w:rPr>
                <w:noProof/>
                <w:sz w:val="18"/>
                <w:szCs w:val="18"/>
              </w:rPr>
            </w:pPr>
            <w:r>
              <w:rPr>
                <w:noProof/>
                <w:sz w:val="18"/>
                <w:szCs w:val="18"/>
              </w:rPr>
              <w:t>9 и 10; води на Съюза от CECAF 34.1.1</w:t>
            </w:r>
          </w:p>
        </w:tc>
      </w:tr>
      <w:tr>
        <w:trPr>
          <w:trHeight w:val="270"/>
        </w:trPr>
        <w:tc>
          <w:tcPr>
            <w:tcW w:w="1136" w:type="dxa"/>
            <w:tcBorders>
              <w:top w:val="nil"/>
              <w:left w:val="nil"/>
              <w:bottom w:val="single" w:sz="8" w:space="0" w:color="000000"/>
              <w:right w:val="nil"/>
            </w:tcBorders>
            <w:noWrap/>
            <w:hideMark/>
          </w:tcPr>
          <w:p>
            <w:pPr>
              <w:rPr>
                <w:noProof/>
                <w:sz w:val="18"/>
                <w:szCs w:val="18"/>
              </w:rPr>
            </w:pPr>
            <w:r>
              <w:rPr>
                <w:noProof/>
                <w:sz w:val="18"/>
                <w:szCs w:val="18"/>
              </w:rPr>
              <w:t xml:space="preserve"> </w:t>
            </w:r>
          </w:p>
        </w:tc>
        <w:tc>
          <w:tcPr>
            <w:tcW w:w="3827" w:type="dxa"/>
            <w:gridSpan w:val="3"/>
            <w:tcBorders>
              <w:top w:val="nil"/>
              <w:left w:val="nil"/>
              <w:bottom w:val="single" w:sz="8" w:space="0" w:color="000000"/>
              <w:right w:val="nil"/>
            </w:tcBorders>
            <w:noWrap/>
            <w:hideMark/>
          </w:tcPr>
          <w:p>
            <w:pPr>
              <w:rPr>
                <w:i/>
                <w:iCs/>
                <w:noProof/>
                <w:sz w:val="18"/>
                <w:szCs w:val="18"/>
              </w:rPr>
            </w:pPr>
            <w:r>
              <w:rPr>
                <w:i/>
                <w:iCs/>
                <w:noProof/>
                <w:sz w:val="18"/>
                <w:szCs w:val="18"/>
              </w:rPr>
              <w:t>Engraulis encrasicolus</w:t>
            </w:r>
          </w:p>
        </w:tc>
        <w:tc>
          <w:tcPr>
            <w:tcW w:w="790" w:type="dxa"/>
            <w:tcBorders>
              <w:top w:val="nil"/>
              <w:left w:val="single" w:sz="8" w:space="0" w:color="000000"/>
              <w:bottom w:val="single" w:sz="8" w:space="0" w:color="000000"/>
              <w:right w:val="nil"/>
            </w:tcBorders>
            <w:noWrap/>
            <w:hideMark/>
          </w:tcPr>
          <w:p>
            <w:pPr>
              <w:rPr>
                <w:noProof/>
                <w:sz w:val="18"/>
                <w:szCs w:val="18"/>
              </w:rPr>
            </w:pPr>
            <w:r>
              <w:rPr>
                <w:noProof/>
                <w:sz w:val="18"/>
                <w:szCs w:val="18"/>
              </w:rPr>
              <w:t xml:space="preserve"> </w:t>
            </w:r>
          </w:p>
        </w:tc>
        <w:tc>
          <w:tcPr>
            <w:tcW w:w="2025" w:type="dxa"/>
            <w:gridSpan w:val="2"/>
            <w:tcBorders>
              <w:top w:val="nil"/>
              <w:left w:val="nil"/>
              <w:bottom w:val="single" w:sz="8" w:space="0" w:color="000000"/>
              <w:right w:val="nil"/>
            </w:tcBorders>
            <w:noWrap/>
            <w:hideMark/>
          </w:tcPr>
          <w:p>
            <w:pPr>
              <w:rPr>
                <w:noProof/>
                <w:sz w:val="18"/>
                <w:szCs w:val="18"/>
              </w:rPr>
            </w:pPr>
            <w:r>
              <w:rPr>
                <w:noProof/>
                <w:sz w:val="18"/>
                <w:szCs w:val="18"/>
              </w:rPr>
              <w:t>(ANE/9/3411)</w:t>
            </w:r>
          </w:p>
        </w:tc>
        <w:tc>
          <w:tcPr>
            <w:tcW w:w="1403" w:type="dxa"/>
            <w:tcBorders>
              <w:top w:val="nil"/>
              <w:left w:val="nil"/>
              <w:bottom w:val="single" w:sz="8" w:space="0" w:color="000000"/>
              <w:right w:val="nil"/>
            </w:tcBorders>
            <w:noWrap/>
            <w:hideMark/>
          </w:tcPr>
          <w:p>
            <w:pPr>
              <w:rPr>
                <w:noProof/>
                <w:sz w:val="18"/>
                <w:szCs w:val="18"/>
              </w:rPr>
            </w:pPr>
            <w:r>
              <w:rPr>
                <w:noProof/>
                <w:sz w:val="18"/>
                <w:szCs w:val="18"/>
              </w:rPr>
              <w:t xml:space="preserve"> </w:t>
            </w:r>
          </w:p>
        </w:tc>
      </w:tr>
      <w:tr>
        <w:trPr>
          <w:trHeight w:val="270"/>
        </w:trPr>
        <w:tc>
          <w:tcPr>
            <w:tcW w:w="1136" w:type="dxa"/>
            <w:noWrap/>
            <w:hideMark/>
          </w:tcPr>
          <w:p>
            <w:pPr>
              <w:rPr>
                <w:noProof/>
                <w:sz w:val="18"/>
                <w:szCs w:val="18"/>
              </w:rPr>
            </w:pPr>
            <w:r>
              <w:rPr>
                <w:noProof/>
                <w:sz w:val="18"/>
                <w:szCs w:val="18"/>
              </w:rPr>
              <w:t>Испания</w:t>
            </w:r>
          </w:p>
        </w:tc>
        <w:tc>
          <w:tcPr>
            <w:tcW w:w="1941" w:type="dxa"/>
            <w:noWrap/>
            <w:hideMark/>
          </w:tcPr>
          <w:p>
            <w:pPr>
              <w:rPr>
                <w:noProof/>
                <w:sz w:val="18"/>
                <w:szCs w:val="18"/>
              </w:rPr>
            </w:pPr>
            <w:r>
              <w:rPr>
                <w:noProof/>
                <w:sz w:val="18"/>
                <w:szCs w:val="18"/>
              </w:rPr>
              <w:t xml:space="preserve"> </w:t>
            </w:r>
          </w:p>
        </w:tc>
        <w:tc>
          <w:tcPr>
            <w:tcW w:w="1186" w:type="dxa"/>
            <w:noWrap/>
            <w:hideMark/>
          </w:tcPr>
          <w:p>
            <w:pPr>
              <w:jc w:val="right"/>
              <w:rPr>
                <w:noProof/>
                <w:sz w:val="18"/>
                <w:szCs w:val="18"/>
              </w:rPr>
            </w:pPr>
            <w:r>
              <w:rPr>
                <w:noProof/>
                <w:sz w:val="18"/>
                <w:szCs w:val="18"/>
              </w:rPr>
              <w:t>7 494</w:t>
            </w:r>
          </w:p>
        </w:tc>
        <w:tc>
          <w:tcPr>
            <w:tcW w:w="700" w:type="dxa"/>
            <w:noWrap/>
            <w:hideMark/>
          </w:tcPr>
          <w:p>
            <w:pPr>
              <w:rPr>
                <w:noProof/>
                <w:sz w:val="18"/>
                <w:szCs w:val="18"/>
              </w:rPr>
            </w:pPr>
            <w:r>
              <w:rPr>
                <w:noProof/>
                <w:sz w:val="18"/>
                <w:szCs w:val="18"/>
                <w:vertAlign w:val="superscript"/>
              </w:rPr>
              <w:t>(1)</w:t>
            </w:r>
          </w:p>
        </w:tc>
        <w:tc>
          <w:tcPr>
            <w:tcW w:w="1680" w:type="dxa"/>
            <w:gridSpan w:val="2"/>
            <w:tcBorders>
              <w:top w:val="single" w:sz="8" w:space="0" w:color="000000"/>
              <w:left w:val="nil"/>
              <w:bottom w:val="nil"/>
              <w:right w:val="nil"/>
            </w:tcBorders>
            <w:noWrap/>
            <w:hideMark/>
          </w:tcPr>
          <w:p>
            <w:pPr>
              <w:rPr>
                <w:noProof/>
                <w:sz w:val="18"/>
                <w:szCs w:val="18"/>
              </w:rPr>
            </w:pPr>
            <w:r>
              <w:rPr>
                <w:noProof/>
                <w:sz w:val="18"/>
                <w:szCs w:val="18"/>
              </w:rPr>
              <w:t>Предпазен ОДУ</w:t>
            </w:r>
          </w:p>
        </w:tc>
        <w:tc>
          <w:tcPr>
            <w:tcW w:w="1135" w:type="dxa"/>
            <w:noWrap/>
            <w:hideMark/>
          </w:tcPr>
          <w:p>
            <w:pPr>
              <w:rPr>
                <w:noProof/>
                <w:sz w:val="18"/>
                <w:szCs w:val="18"/>
              </w:rPr>
            </w:pPr>
            <w:r>
              <w:rPr>
                <w:noProof/>
                <w:sz w:val="18"/>
                <w:szCs w:val="18"/>
              </w:rPr>
              <w:t xml:space="preserve"> </w:t>
            </w:r>
          </w:p>
        </w:tc>
        <w:tc>
          <w:tcPr>
            <w:tcW w:w="1403" w:type="dxa"/>
            <w:noWrap/>
            <w:hideMark/>
          </w:tcPr>
          <w:p>
            <w:pPr>
              <w:rPr>
                <w:noProof/>
                <w:sz w:val="18"/>
                <w:szCs w:val="18"/>
              </w:rPr>
            </w:pPr>
            <w:r>
              <w:rPr>
                <w:noProof/>
                <w:sz w:val="18"/>
                <w:szCs w:val="18"/>
              </w:rPr>
              <w:t xml:space="preserve"> </w:t>
            </w:r>
          </w:p>
        </w:tc>
      </w:tr>
      <w:tr>
        <w:trPr>
          <w:trHeight w:val="270"/>
        </w:trPr>
        <w:tc>
          <w:tcPr>
            <w:tcW w:w="1136" w:type="dxa"/>
            <w:noWrap/>
            <w:hideMark/>
          </w:tcPr>
          <w:p>
            <w:pPr>
              <w:rPr>
                <w:noProof/>
                <w:sz w:val="18"/>
                <w:szCs w:val="18"/>
              </w:rPr>
            </w:pPr>
            <w:r>
              <w:rPr>
                <w:noProof/>
                <w:sz w:val="18"/>
                <w:szCs w:val="18"/>
              </w:rPr>
              <w:t>Португалия</w:t>
            </w:r>
          </w:p>
        </w:tc>
        <w:tc>
          <w:tcPr>
            <w:tcW w:w="1941" w:type="dxa"/>
            <w:noWrap/>
            <w:hideMark/>
          </w:tcPr>
          <w:p>
            <w:pPr>
              <w:rPr>
                <w:noProof/>
                <w:sz w:val="18"/>
                <w:szCs w:val="18"/>
              </w:rPr>
            </w:pPr>
          </w:p>
        </w:tc>
        <w:tc>
          <w:tcPr>
            <w:tcW w:w="1186" w:type="dxa"/>
            <w:noWrap/>
            <w:hideMark/>
          </w:tcPr>
          <w:p>
            <w:pPr>
              <w:jc w:val="right"/>
              <w:rPr>
                <w:noProof/>
                <w:sz w:val="18"/>
                <w:szCs w:val="18"/>
              </w:rPr>
            </w:pPr>
            <w:r>
              <w:rPr>
                <w:noProof/>
                <w:sz w:val="18"/>
                <w:szCs w:val="18"/>
              </w:rPr>
              <w:t>8 175</w:t>
            </w:r>
          </w:p>
        </w:tc>
        <w:tc>
          <w:tcPr>
            <w:tcW w:w="700" w:type="dxa"/>
            <w:noWrap/>
            <w:hideMark/>
          </w:tcPr>
          <w:p>
            <w:pPr>
              <w:rPr>
                <w:noProof/>
                <w:sz w:val="18"/>
                <w:szCs w:val="18"/>
              </w:rPr>
            </w:pPr>
            <w:r>
              <w:rPr>
                <w:noProof/>
                <w:sz w:val="18"/>
                <w:szCs w:val="18"/>
                <w:vertAlign w:val="superscript"/>
              </w:rPr>
              <w:t>(1)</w:t>
            </w:r>
          </w:p>
        </w:tc>
        <w:tc>
          <w:tcPr>
            <w:tcW w:w="790" w:type="dxa"/>
            <w:noWrap/>
            <w:hideMark/>
          </w:tcPr>
          <w:p>
            <w:pPr>
              <w:rPr>
                <w:noProof/>
                <w:sz w:val="18"/>
                <w:szCs w:val="18"/>
              </w:rPr>
            </w:pPr>
          </w:p>
        </w:tc>
        <w:tc>
          <w:tcPr>
            <w:tcW w:w="890" w:type="dxa"/>
            <w:noWrap/>
            <w:hideMark/>
          </w:tcPr>
          <w:p>
            <w:pPr>
              <w:rPr>
                <w:noProof/>
                <w:sz w:val="18"/>
                <w:szCs w:val="18"/>
              </w:rPr>
            </w:pPr>
          </w:p>
        </w:tc>
        <w:tc>
          <w:tcPr>
            <w:tcW w:w="1135" w:type="dxa"/>
            <w:noWrap/>
            <w:hideMark/>
          </w:tcPr>
          <w:p>
            <w:pPr>
              <w:rPr>
                <w:noProof/>
                <w:sz w:val="18"/>
                <w:szCs w:val="18"/>
              </w:rPr>
            </w:pPr>
          </w:p>
        </w:tc>
        <w:tc>
          <w:tcPr>
            <w:tcW w:w="1403" w:type="dxa"/>
            <w:noWrap/>
            <w:hideMark/>
          </w:tcPr>
          <w:p>
            <w:pPr>
              <w:rPr>
                <w:noProof/>
                <w:sz w:val="18"/>
                <w:szCs w:val="18"/>
              </w:rPr>
            </w:pPr>
          </w:p>
        </w:tc>
      </w:tr>
      <w:tr>
        <w:trPr>
          <w:trHeight w:val="270"/>
        </w:trPr>
        <w:tc>
          <w:tcPr>
            <w:tcW w:w="1136" w:type="dxa"/>
            <w:noWrap/>
            <w:hideMark/>
          </w:tcPr>
          <w:p>
            <w:pPr>
              <w:rPr>
                <w:noProof/>
                <w:sz w:val="18"/>
                <w:szCs w:val="18"/>
              </w:rPr>
            </w:pPr>
            <w:r>
              <w:rPr>
                <w:noProof/>
                <w:sz w:val="18"/>
                <w:szCs w:val="18"/>
              </w:rPr>
              <w:t>Съюз</w:t>
            </w:r>
          </w:p>
        </w:tc>
        <w:tc>
          <w:tcPr>
            <w:tcW w:w="1941" w:type="dxa"/>
            <w:noWrap/>
            <w:hideMark/>
          </w:tcPr>
          <w:p>
            <w:pPr>
              <w:rPr>
                <w:noProof/>
                <w:sz w:val="18"/>
                <w:szCs w:val="18"/>
              </w:rPr>
            </w:pPr>
          </w:p>
        </w:tc>
        <w:tc>
          <w:tcPr>
            <w:tcW w:w="1186" w:type="dxa"/>
            <w:noWrap/>
            <w:hideMark/>
          </w:tcPr>
          <w:p>
            <w:pPr>
              <w:jc w:val="right"/>
              <w:rPr>
                <w:noProof/>
                <w:sz w:val="18"/>
                <w:szCs w:val="18"/>
              </w:rPr>
            </w:pPr>
            <w:r>
              <w:rPr>
                <w:noProof/>
                <w:sz w:val="18"/>
                <w:szCs w:val="18"/>
              </w:rPr>
              <w:t>15 669</w:t>
            </w:r>
          </w:p>
        </w:tc>
        <w:tc>
          <w:tcPr>
            <w:tcW w:w="700" w:type="dxa"/>
            <w:noWrap/>
            <w:hideMark/>
          </w:tcPr>
          <w:p>
            <w:pPr>
              <w:rPr>
                <w:noProof/>
                <w:sz w:val="18"/>
                <w:szCs w:val="18"/>
              </w:rPr>
            </w:pPr>
            <w:r>
              <w:rPr>
                <w:noProof/>
                <w:sz w:val="18"/>
                <w:szCs w:val="18"/>
                <w:vertAlign w:val="superscript"/>
              </w:rPr>
              <w:t>(1)</w:t>
            </w:r>
          </w:p>
        </w:tc>
        <w:tc>
          <w:tcPr>
            <w:tcW w:w="790" w:type="dxa"/>
            <w:noWrap/>
            <w:hideMark/>
          </w:tcPr>
          <w:p>
            <w:pPr>
              <w:rPr>
                <w:noProof/>
                <w:sz w:val="18"/>
                <w:szCs w:val="18"/>
              </w:rPr>
            </w:pPr>
          </w:p>
        </w:tc>
        <w:tc>
          <w:tcPr>
            <w:tcW w:w="890" w:type="dxa"/>
            <w:noWrap/>
            <w:hideMark/>
          </w:tcPr>
          <w:p>
            <w:pPr>
              <w:rPr>
                <w:noProof/>
                <w:sz w:val="18"/>
                <w:szCs w:val="18"/>
              </w:rPr>
            </w:pPr>
          </w:p>
        </w:tc>
        <w:tc>
          <w:tcPr>
            <w:tcW w:w="1135" w:type="dxa"/>
            <w:noWrap/>
            <w:hideMark/>
          </w:tcPr>
          <w:p>
            <w:pPr>
              <w:rPr>
                <w:noProof/>
                <w:sz w:val="18"/>
                <w:szCs w:val="18"/>
              </w:rPr>
            </w:pPr>
          </w:p>
        </w:tc>
        <w:tc>
          <w:tcPr>
            <w:tcW w:w="1403" w:type="dxa"/>
            <w:noWrap/>
            <w:hideMark/>
          </w:tcPr>
          <w:p>
            <w:pPr>
              <w:rPr>
                <w:noProof/>
                <w:sz w:val="18"/>
                <w:szCs w:val="18"/>
              </w:rPr>
            </w:pPr>
          </w:p>
        </w:tc>
      </w:tr>
      <w:tr>
        <w:trPr>
          <w:trHeight w:val="255"/>
        </w:trPr>
        <w:tc>
          <w:tcPr>
            <w:tcW w:w="1136" w:type="dxa"/>
            <w:noWrap/>
            <w:hideMark/>
          </w:tcPr>
          <w:p>
            <w:pPr>
              <w:rPr>
                <w:noProof/>
                <w:sz w:val="18"/>
                <w:szCs w:val="18"/>
              </w:rPr>
            </w:pPr>
          </w:p>
        </w:tc>
        <w:tc>
          <w:tcPr>
            <w:tcW w:w="1941" w:type="dxa"/>
            <w:noWrap/>
            <w:hideMark/>
          </w:tcPr>
          <w:p>
            <w:pPr>
              <w:rPr>
                <w:noProof/>
                <w:sz w:val="18"/>
                <w:szCs w:val="18"/>
              </w:rPr>
            </w:pPr>
          </w:p>
        </w:tc>
        <w:tc>
          <w:tcPr>
            <w:tcW w:w="1186" w:type="dxa"/>
            <w:noWrap/>
            <w:hideMark/>
          </w:tcPr>
          <w:p>
            <w:pPr>
              <w:jc w:val="right"/>
              <w:rPr>
                <w:noProof/>
                <w:sz w:val="18"/>
                <w:szCs w:val="18"/>
              </w:rPr>
            </w:pPr>
          </w:p>
        </w:tc>
        <w:tc>
          <w:tcPr>
            <w:tcW w:w="700" w:type="dxa"/>
            <w:noWrap/>
            <w:hideMark/>
          </w:tcPr>
          <w:p>
            <w:pPr>
              <w:rPr>
                <w:noProof/>
                <w:sz w:val="18"/>
                <w:szCs w:val="18"/>
              </w:rPr>
            </w:pPr>
          </w:p>
        </w:tc>
        <w:tc>
          <w:tcPr>
            <w:tcW w:w="790" w:type="dxa"/>
            <w:noWrap/>
            <w:hideMark/>
          </w:tcPr>
          <w:p>
            <w:pPr>
              <w:rPr>
                <w:noProof/>
                <w:sz w:val="18"/>
                <w:szCs w:val="18"/>
              </w:rPr>
            </w:pPr>
          </w:p>
        </w:tc>
        <w:tc>
          <w:tcPr>
            <w:tcW w:w="890" w:type="dxa"/>
            <w:noWrap/>
            <w:hideMark/>
          </w:tcPr>
          <w:p>
            <w:pPr>
              <w:rPr>
                <w:noProof/>
                <w:sz w:val="18"/>
                <w:szCs w:val="18"/>
              </w:rPr>
            </w:pPr>
          </w:p>
        </w:tc>
        <w:tc>
          <w:tcPr>
            <w:tcW w:w="1135" w:type="dxa"/>
            <w:noWrap/>
            <w:hideMark/>
          </w:tcPr>
          <w:p>
            <w:pPr>
              <w:rPr>
                <w:noProof/>
                <w:sz w:val="18"/>
                <w:szCs w:val="18"/>
              </w:rPr>
            </w:pPr>
          </w:p>
        </w:tc>
        <w:tc>
          <w:tcPr>
            <w:tcW w:w="1403" w:type="dxa"/>
            <w:noWrap/>
            <w:hideMark/>
          </w:tcPr>
          <w:p>
            <w:pPr>
              <w:rPr>
                <w:noProof/>
                <w:sz w:val="18"/>
                <w:szCs w:val="18"/>
              </w:rPr>
            </w:pPr>
          </w:p>
        </w:tc>
      </w:tr>
      <w:tr>
        <w:trPr>
          <w:trHeight w:val="270"/>
        </w:trPr>
        <w:tc>
          <w:tcPr>
            <w:tcW w:w="1136" w:type="dxa"/>
            <w:noWrap/>
            <w:hideMark/>
          </w:tcPr>
          <w:p>
            <w:pPr>
              <w:rPr>
                <w:noProof/>
                <w:sz w:val="18"/>
                <w:szCs w:val="18"/>
              </w:rPr>
            </w:pPr>
            <w:r>
              <w:rPr>
                <w:noProof/>
                <w:sz w:val="18"/>
                <w:szCs w:val="18"/>
              </w:rPr>
              <w:t>ОДУ</w:t>
            </w:r>
          </w:p>
        </w:tc>
        <w:tc>
          <w:tcPr>
            <w:tcW w:w="1941" w:type="dxa"/>
            <w:noWrap/>
            <w:hideMark/>
          </w:tcPr>
          <w:p>
            <w:pPr>
              <w:rPr>
                <w:noProof/>
                <w:sz w:val="18"/>
                <w:szCs w:val="18"/>
              </w:rPr>
            </w:pPr>
          </w:p>
        </w:tc>
        <w:tc>
          <w:tcPr>
            <w:tcW w:w="1186" w:type="dxa"/>
            <w:noWrap/>
            <w:hideMark/>
          </w:tcPr>
          <w:p>
            <w:pPr>
              <w:jc w:val="right"/>
              <w:rPr>
                <w:noProof/>
                <w:sz w:val="18"/>
                <w:szCs w:val="18"/>
              </w:rPr>
            </w:pPr>
            <w:r>
              <w:rPr>
                <w:noProof/>
                <w:sz w:val="18"/>
                <w:szCs w:val="18"/>
              </w:rPr>
              <w:t>15 669</w:t>
            </w:r>
          </w:p>
        </w:tc>
        <w:tc>
          <w:tcPr>
            <w:tcW w:w="700" w:type="dxa"/>
            <w:noWrap/>
            <w:hideMark/>
          </w:tcPr>
          <w:p>
            <w:pPr>
              <w:rPr>
                <w:noProof/>
                <w:sz w:val="18"/>
                <w:szCs w:val="18"/>
              </w:rPr>
            </w:pPr>
            <w:r>
              <w:rPr>
                <w:noProof/>
                <w:sz w:val="18"/>
                <w:szCs w:val="18"/>
                <w:vertAlign w:val="superscript"/>
              </w:rPr>
              <w:t>(1)</w:t>
            </w:r>
          </w:p>
        </w:tc>
        <w:tc>
          <w:tcPr>
            <w:tcW w:w="790" w:type="dxa"/>
            <w:noWrap/>
            <w:hideMark/>
          </w:tcPr>
          <w:p>
            <w:pPr>
              <w:rPr>
                <w:noProof/>
                <w:sz w:val="18"/>
                <w:szCs w:val="18"/>
              </w:rPr>
            </w:pPr>
          </w:p>
        </w:tc>
        <w:tc>
          <w:tcPr>
            <w:tcW w:w="890" w:type="dxa"/>
            <w:noWrap/>
            <w:hideMark/>
          </w:tcPr>
          <w:p>
            <w:pPr>
              <w:rPr>
                <w:noProof/>
                <w:sz w:val="18"/>
                <w:szCs w:val="18"/>
              </w:rPr>
            </w:pPr>
          </w:p>
        </w:tc>
        <w:tc>
          <w:tcPr>
            <w:tcW w:w="1135" w:type="dxa"/>
            <w:noWrap/>
            <w:hideMark/>
          </w:tcPr>
          <w:p>
            <w:pPr>
              <w:rPr>
                <w:noProof/>
                <w:sz w:val="18"/>
                <w:szCs w:val="18"/>
              </w:rPr>
            </w:pPr>
          </w:p>
        </w:tc>
        <w:tc>
          <w:tcPr>
            <w:tcW w:w="1403" w:type="dxa"/>
            <w:noWrap/>
            <w:hideMark/>
          </w:tcPr>
          <w:p>
            <w:pPr>
              <w:rPr>
                <w:noProof/>
                <w:sz w:val="18"/>
                <w:szCs w:val="18"/>
              </w:rPr>
            </w:pPr>
          </w:p>
        </w:tc>
      </w:tr>
      <w:tr>
        <w:trPr>
          <w:trHeight w:val="270"/>
        </w:trPr>
        <w:tc>
          <w:tcPr>
            <w:tcW w:w="1136" w:type="dxa"/>
            <w:tcBorders>
              <w:top w:val="single" w:sz="8" w:space="0" w:color="000000"/>
              <w:left w:val="nil"/>
              <w:bottom w:val="single" w:sz="8" w:space="0" w:color="000000"/>
              <w:right w:val="nil"/>
            </w:tcBorders>
            <w:noWrap/>
            <w:hideMark/>
          </w:tcPr>
          <w:p>
            <w:pPr>
              <w:rPr>
                <w:noProof/>
              </w:rPr>
            </w:pPr>
            <w:r>
              <w:rPr>
                <w:noProof/>
              </w:rPr>
              <w:t xml:space="preserve"> </w:t>
            </w:r>
            <w:r>
              <w:rPr>
                <w:noProof/>
                <w:vertAlign w:val="superscript"/>
              </w:rPr>
              <w:t>(1)</w:t>
            </w:r>
          </w:p>
        </w:tc>
        <w:tc>
          <w:tcPr>
            <w:tcW w:w="8045" w:type="dxa"/>
            <w:gridSpan w:val="7"/>
            <w:tcBorders>
              <w:top w:val="single" w:sz="8" w:space="0" w:color="000000"/>
              <w:left w:val="nil"/>
              <w:bottom w:val="single" w:sz="8" w:space="0" w:color="000000"/>
              <w:right w:val="nil"/>
            </w:tcBorders>
            <w:noWrap/>
            <w:hideMark/>
          </w:tcPr>
          <w:p>
            <w:pPr>
              <w:rPr>
                <w:noProof/>
              </w:rPr>
            </w:pPr>
            <w:r>
              <w:rPr>
                <w:noProof/>
              </w:rPr>
              <w:t xml:space="preserve"> </w:t>
            </w:r>
            <w:r>
              <w:rPr>
                <w:noProof/>
                <w:vertAlign w:val="superscript"/>
              </w:rPr>
              <w:t>Риболов по тази квота може да се извършва само от 1 юли 2020 г. до 30 юни 2021 г.</w:t>
            </w:r>
          </w:p>
        </w:tc>
      </w:tr>
    </w:tbl>
    <w:p>
      <w:pPr>
        <w:pStyle w:val="Text1"/>
        <w:ind w:left="0"/>
        <w:jc w:val="center"/>
        <w:rPr>
          <w:noProof/>
        </w:rPr>
      </w:pPr>
      <w:r>
        <w:rPr>
          <w:noProof/>
        </w:rPr>
        <w:t>“;</w:t>
      </w:r>
    </w:p>
    <w:p>
      <w:pPr>
        <w:pStyle w:val="Point1"/>
        <w:rPr>
          <w:noProof/>
        </w:rPr>
      </w:pPr>
      <w:r>
        <w:rPr>
          <w:noProof/>
        </w:rPr>
        <w:t>б)</w:t>
      </w:r>
      <w:r>
        <w:rPr>
          <w:noProof/>
        </w:rPr>
        <w:tab/>
        <w:t>в таблицата относно възможностите за риболов на син меджид (</w:t>
      </w:r>
      <w:r>
        <w:rPr>
          <w:i/>
          <w:noProof/>
        </w:rPr>
        <w:t>Micromesistius poutassou</w:t>
      </w:r>
      <w:r>
        <w:rPr>
          <w:noProof/>
        </w:rPr>
        <w:t xml:space="preserve">) във водите на Съюза и международните води от 1, 2, 3, 4, 5, 6, 7, 8a, 8b, 8d, 8e, 12 и 14 бележка под линия 1 се заменя със следното: </w:t>
      </w:r>
    </w:p>
    <w:p>
      <w:pPr>
        <w:ind w:left="970"/>
        <w:rPr>
          <w:noProof/>
        </w:rPr>
      </w:pPr>
      <w:r>
        <w:rPr>
          <w:noProof/>
        </w:rPr>
        <w:t>„(1) Специално условие: в рамките на общото количество за достъп от 37 500 тона за Съюза, държавите членки могат да извършват улов до следния процент от съответните им квоти във фарьорски води (WHB/*05-F.): 11,4 %.“;</w:t>
      </w:r>
    </w:p>
    <w:p>
      <w:pPr>
        <w:pStyle w:val="Point1"/>
        <w:rPr>
          <w:noProof/>
        </w:rPr>
      </w:pPr>
      <w:r>
        <w:rPr>
          <w:noProof/>
        </w:rPr>
        <w:t>в)</w:t>
      </w:r>
      <w:r>
        <w:rPr>
          <w:noProof/>
        </w:rPr>
        <w:tab/>
        <w:t>в таблицата относно възможностите за риболов на син меджид (</w:t>
      </w:r>
      <w:r>
        <w:rPr>
          <w:i/>
          <w:noProof/>
        </w:rPr>
        <w:t>Micromesistius poutassou</w:t>
      </w:r>
      <w:r>
        <w:rPr>
          <w:noProof/>
        </w:rPr>
        <w:t>) във водите на Съюза от 2, 4a, 5, 6 на север от 56°30′ с.ш. и 7 на запад от 12° з.д. бележка под линия 2 се заменя със следното:</w:t>
      </w:r>
    </w:p>
    <w:p>
      <w:pPr>
        <w:ind w:left="1014"/>
        <w:rPr>
          <w:noProof/>
        </w:rPr>
      </w:pPr>
      <w:r>
        <w:rPr>
          <w:noProof/>
        </w:rPr>
        <w:t>„(2) Специално условие: уловът в 4a не може да надвишава следното количество (WHB/*04A-C): 40 000</w:t>
      </w:r>
    </w:p>
    <w:p>
      <w:pPr>
        <w:ind w:left="1014"/>
        <w:rPr>
          <w:noProof/>
        </w:rPr>
      </w:pPr>
      <w:r>
        <w:rPr>
          <w:noProof/>
        </w:rPr>
        <w:t>Това ограничение на улова в 4а възлиза на следния процент от квотата за достъп на Норвегия:</w:t>
      </w:r>
    </w:p>
    <w:p>
      <w:pPr>
        <w:ind w:left="720" w:firstLine="294"/>
        <w:rPr>
          <w:noProof/>
        </w:rPr>
      </w:pPr>
      <w:r>
        <w:rPr>
          <w:noProof/>
        </w:rPr>
        <w:t>21 %“.</w:t>
      </w:r>
    </w:p>
    <w:p>
      <w:pPr>
        <w:pStyle w:val="Point0"/>
        <w:rPr>
          <w:noProof/>
        </w:rPr>
      </w:pPr>
      <w:r>
        <w:t>(2)</w:t>
      </w:r>
      <w:r>
        <w:tab/>
      </w:r>
      <w:r>
        <w:rPr>
          <w:noProof/>
        </w:rPr>
        <w:t xml:space="preserve">В приложение IБ таблицата относно възможностите за риболов на мойва в гренландските води от 5 и 14 се заменя със следното: </w:t>
      </w:r>
    </w:p>
    <w:p>
      <w:pPr>
        <w:pStyle w:val="Text1"/>
        <w:rPr>
          <w:noProof/>
        </w:rPr>
      </w:pPr>
      <w:r>
        <w:rPr>
          <w:noProof/>
        </w:rPr>
        <w:lastRenderedPageBreak/>
        <w:t>„</w:t>
      </w:r>
    </w:p>
    <w:tbl>
      <w:tblPr>
        <w:tblW w:w="9055" w:type="dxa"/>
        <w:tblInd w:w="108" w:type="dxa"/>
        <w:tblLook w:val="04A0" w:firstRow="1" w:lastRow="0" w:firstColumn="1" w:lastColumn="0" w:noHBand="0" w:noVBand="1"/>
      </w:tblPr>
      <w:tblGrid>
        <w:gridCol w:w="1418"/>
        <w:gridCol w:w="1559"/>
        <w:gridCol w:w="603"/>
        <w:gridCol w:w="2480"/>
        <w:gridCol w:w="2995"/>
      </w:tblGrid>
      <w:tr>
        <w:trPr>
          <w:trHeight w:val="280"/>
        </w:trPr>
        <w:tc>
          <w:tcPr>
            <w:tcW w:w="1418" w:type="dxa"/>
            <w:tcBorders>
              <w:top w:val="single" w:sz="8" w:space="0" w:color="auto"/>
              <w:left w:val="nil"/>
              <w:bottom w:val="nil"/>
              <w:right w:val="nil"/>
            </w:tcBorders>
            <w:shd w:val="clear" w:color="auto" w:fill="auto"/>
            <w:noWrap/>
            <w:vAlign w:val="bottom"/>
            <w:hideMark/>
          </w:tcPr>
          <w:p>
            <w:pPr>
              <w:spacing w:after="0"/>
              <w:rPr>
                <w:rFonts w:eastAsia="Times New Roman"/>
                <w:noProof/>
                <w:color w:val="000000"/>
                <w:sz w:val="18"/>
                <w:szCs w:val="18"/>
              </w:rPr>
            </w:pPr>
            <w:r>
              <w:rPr>
                <w:noProof/>
                <w:color w:val="000000"/>
                <w:sz w:val="18"/>
                <w:szCs w:val="18"/>
              </w:rPr>
              <w:t>Вид:</w:t>
            </w:r>
          </w:p>
        </w:tc>
        <w:tc>
          <w:tcPr>
            <w:tcW w:w="1559" w:type="dxa"/>
            <w:tcBorders>
              <w:top w:val="single" w:sz="8" w:space="0" w:color="auto"/>
              <w:left w:val="nil"/>
              <w:bottom w:val="nil"/>
              <w:right w:val="nil"/>
            </w:tcBorders>
            <w:shd w:val="clear" w:color="auto" w:fill="auto"/>
            <w:noWrap/>
            <w:vAlign w:val="bottom"/>
            <w:hideMark/>
          </w:tcPr>
          <w:p>
            <w:pPr>
              <w:spacing w:after="0"/>
              <w:rPr>
                <w:rFonts w:eastAsia="Times New Roman"/>
                <w:noProof/>
                <w:color w:val="000000"/>
                <w:sz w:val="18"/>
                <w:szCs w:val="18"/>
              </w:rPr>
            </w:pPr>
            <w:r>
              <w:rPr>
                <w:noProof/>
                <w:color w:val="000000"/>
                <w:sz w:val="18"/>
                <w:szCs w:val="18"/>
              </w:rPr>
              <w:t>Мойва</w:t>
            </w:r>
          </w:p>
        </w:tc>
        <w:tc>
          <w:tcPr>
            <w:tcW w:w="603" w:type="dxa"/>
            <w:tcBorders>
              <w:top w:val="single" w:sz="8" w:space="0" w:color="auto"/>
              <w:left w:val="nil"/>
              <w:bottom w:val="nil"/>
              <w:right w:val="nil"/>
            </w:tcBorders>
            <w:shd w:val="clear" w:color="auto" w:fill="auto"/>
            <w:noWrap/>
            <w:vAlign w:val="bottom"/>
            <w:hideMark/>
          </w:tcPr>
          <w:p>
            <w:pPr>
              <w:spacing w:after="0"/>
              <w:rPr>
                <w:rFonts w:eastAsia="Times New Roman"/>
                <w:noProof/>
                <w:color w:val="000000"/>
                <w:sz w:val="18"/>
                <w:szCs w:val="18"/>
              </w:rPr>
            </w:pPr>
            <w:r>
              <w:rPr>
                <w:noProof/>
                <w:color w:val="000000"/>
                <w:sz w:val="18"/>
                <w:szCs w:val="18"/>
                <w:vertAlign w:val="superscript"/>
              </w:rPr>
              <w:t xml:space="preserve"> </w:t>
            </w:r>
          </w:p>
        </w:tc>
        <w:tc>
          <w:tcPr>
            <w:tcW w:w="2480" w:type="dxa"/>
            <w:tcBorders>
              <w:top w:val="single" w:sz="8" w:space="0" w:color="auto"/>
              <w:left w:val="single" w:sz="8" w:space="0" w:color="auto"/>
              <w:bottom w:val="nil"/>
              <w:right w:val="nil"/>
            </w:tcBorders>
            <w:shd w:val="clear" w:color="auto" w:fill="auto"/>
            <w:noWrap/>
            <w:vAlign w:val="bottom"/>
            <w:hideMark/>
          </w:tcPr>
          <w:p>
            <w:pPr>
              <w:spacing w:after="0"/>
              <w:rPr>
                <w:rFonts w:eastAsia="Times New Roman"/>
                <w:noProof/>
                <w:color w:val="000000"/>
                <w:sz w:val="18"/>
                <w:szCs w:val="18"/>
              </w:rPr>
            </w:pPr>
            <w:r>
              <w:rPr>
                <w:noProof/>
                <w:color w:val="000000"/>
                <w:sz w:val="18"/>
                <w:szCs w:val="18"/>
              </w:rPr>
              <w:t>Зона:</w:t>
            </w:r>
          </w:p>
        </w:tc>
        <w:tc>
          <w:tcPr>
            <w:tcW w:w="2995" w:type="dxa"/>
            <w:tcBorders>
              <w:top w:val="single" w:sz="8" w:space="0" w:color="auto"/>
              <w:left w:val="nil"/>
              <w:bottom w:val="nil"/>
              <w:right w:val="nil"/>
            </w:tcBorders>
            <w:shd w:val="clear" w:color="auto" w:fill="auto"/>
            <w:noWrap/>
            <w:vAlign w:val="bottom"/>
            <w:hideMark/>
          </w:tcPr>
          <w:p>
            <w:pPr>
              <w:spacing w:after="0"/>
              <w:rPr>
                <w:rFonts w:eastAsia="Times New Roman"/>
                <w:noProof/>
                <w:color w:val="000000"/>
                <w:sz w:val="18"/>
                <w:szCs w:val="18"/>
              </w:rPr>
            </w:pPr>
            <w:r>
              <w:rPr>
                <w:noProof/>
                <w:color w:val="000000"/>
                <w:sz w:val="18"/>
                <w:szCs w:val="18"/>
              </w:rPr>
              <w:t>Гренландски води от 5 и 14</w:t>
            </w:r>
          </w:p>
        </w:tc>
      </w:tr>
      <w:tr>
        <w:trPr>
          <w:trHeight w:val="290"/>
        </w:trPr>
        <w:tc>
          <w:tcPr>
            <w:tcW w:w="1418" w:type="dxa"/>
            <w:tcBorders>
              <w:top w:val="nil"/>
              <w:left w:val="nil"/>
              <w:bottom w:val="single" w:sz="8" w:space="0" w:color="auto"/>
              <w:right w:val="nil"/>
            </w:tcBorders>
            <w:shd w:val="clear" w:color="auto" w:fill="auto"/>
            <w:noWrap/>
            <w:vAlign w:val="bottom"/>
            <w:hideMark/>
          </w:tcPr>
          <w:p>
            <w:pPr>
              <w:spacing w:after="0"/>
              <w:rPr>
                <w:rFonts w:eastAsia="Times New Roman"/>
                <w:noProof/>
                <w:color w:val="000000"/>
                <w:sz w:val="18"/>
                <w:szCs w:val="18"/>
              </w:rPr>
            </w:pPr>
            <w:r>
              <w:rPr>
                <w:noProof/>
                <w:color w:val="000000"/>
                <w:sz w:val="18"/>
                <w:szCs w:val="18"/>
              </w:rPr>
              <w:t xml:space="preserve"> </w:t>
            </w:r>
          </w:p>
        </w:tc>
        <w:tc>
          <w:tcPr>
            <w:tcW w:w="2162" w:type="dxa"/>
            <w:gridSpan w:val="2"/>
            <w:tcBorders>
              <w:top w:val="nil"/>
              <w:left w:val="nil"/>
              <w:bottom w:val="single" w:sz="8" w:space="0" w:color="auto"/>
              <w:right w:val="nil"/>
            </w:tcBorders>
            <w:shd w:val="clear" w:color="auto" w:fill="auto"/>
            <w:noWrap/>
            <w:vAlign w:val="bottom"/>
            <w:hideMark/>
          </w:tcPr>
          <w:p>
            <w:pPr>
              <w:spacing w:after="0"/>
              <w:rPr>
                <w:rFonts w:eastAsia="Times New Roman"/>
                <w:i/>
                <w:iCs/>
                <w:noProof/>
                <w:color w:val="000000"/>
                <w:sz w:val="18"/>
                <w:szCs w:val="18"/>
              </w:rPr>
            </w:pPr>
            <w:r>
              <w:rPr>
                <w:i/>
                <w:iCs/>
                <w:noProof/>
                <w:color w:val="000000"/>
                <w:sz w:val="18"/>
                <w:szCs w:val="18"/>
              </w:rPr>
              <w:t>Mallotus villosus</w:t>
            </w:r>
          </w:p>
        </w:tc>
        <w:tc>
          <w:tcPr>
            <w:tcW w:w="2480" w:type="dxa"/>
            <w:tcBorders>
              <w:top w:val="nil"/>
              <w:left w:val="single" w:sz="8" w:space="0" w:color="auto"/>
              <w:bottom w:val="single" w:sz="8" w:space="0" w:color="auto"/>
              <w:right w:val="nil"/>
            </w:tcBorders>
            <w:shd w:val="clear" w:color="auto" w:fill="auto"/>
            <w:noWrap/>
            <w:vAlign w:val="bottom"/>
            <w:hideMark/>
          </w:tcPr>
          <w:p>
            <w:pPr>
              <w:spacing w:after="0"/>
              <w:rPr>
                <w:rFonts w:eastAsia="Times New Roman"/>
                <w:noProof/>
                <w:color w:val="000000"/>
                <w:sz w:val="18"/>
                <w:szCs w:val="18"/>
              </w:rPr>
            </w:pPr>
            <w:r>
              <w:rPr>
                <w:noProof/>
                <w:color w:val="000000"/>
                <w:sz w:val="18"/>
                <w:szCs w:val="18"/>
              </w:rPr>
              <w:t xml:space="preserve"> </w:t>
            </w:r>
          </w:p>
        </w:tc>
        <w:tc>
          <w:tcPr>
            <w:tcW w:w="2995" w:type="dxa"/>
            <w:tcBorders>
              <w:top w:val="nil"/>
              <w:left w:val="nil"/>
              <w:bottom w:val="single" w:sz="8" w:space="0" w:color="auto"/>
              <w:right w:val="nil"/>
            </w:tcBorders>
            <w:shd w:val="clear" w:color="auto" w:fill="auto"/>
            <w:noWrap/>
            <w:vAlign w:val="bottom"/>
            <w:hideMark/>
          </w:tcPr>
          <w:p>
            <w:pPr>
              <w:spacing w:after="0"/>
              <w:rPr>
                <w:rFonts w:eastAsia="Times New Roman"/>
                <w:noProof/>
                <w:color w:val="000000"/>
                <w:sz w:val="18"/>
                <w:szCs w:val="18"/>
              </w:rPr>
            </w:pPr>
            <w:r>
              <w:rPr>
                <w:noProof/>
                <w:color w:val="000000"/>
                <w:sz w:val="18"/>
                <w:szCs w:val="18"/>
              </w:rPr>
              <w:t>(CAP/514GRN)</w:t>
            </w:r>
          </w:p>
        </w:tc>
      </w:tr>
      <w:tr>
        <w:trPr>
          <w:trHeight w:val="280"/>
        </w:trPr>
        <w:tc>
          <w:tcPr>
            <w:tcW w:w="1418" w:type="dxa"/>
            <w:tcBorders>
              <w:top w:val="nil"/>
              <w:left w:val="nil"/>
              <w:bottom w:val="nil"/>
              <w:right w:val="nil"/>
            </w:tcBorders>
            <w:shd w:val="clear" w:color="auto" w:fill="auto"/>
            <w:noWrap/>
            <w:vAlign w:val="bottom"/>
            <w:hideMark/>
          </w:tcPr>
          <w:p>
            <w:pPr>
              <w:spacing w:after="0"/>
              <w:rPr>
                <w:rFonts w:eastAsia="Times New Roman"/>
                <w:noProof/>
                <w:color w:val="000000"/>
                <w:sz w:val="18"/>
                <w:szCs w:val="18"/>
              </w:rPr>
            </w:pPr>
            <w:r>
              <w:rPr>
                <w:noProof/>
                <w:color w:val="000000"/>
                <w:sz w:val="18"/>
                <w:szCs w:val="18"/>
              </w:rPr>
              <w:t>Дания</w:t>
            </w:r>
          </w:p>
        </w:tc>
        <w:tc>
          <w:tcPr>
            <w:tcW w:w="1559"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rPr>
            </w:pPr>
            <w:r>
              <w:rPr>
                <w:noProof/>
                <w:color w:val="000000"/>
                <w:sz w:val="18"/>
                <w:szCs w:val="18"/>
              </w:rPr>
              <w:t xml:space="preserve"> 2 595</w:t>
            </w:r>
          </w:p>
        </w:tc>
        <w:tc>
          <w:tcPr>
            <w:tcW w:w="603" w:type="dxa"/>
            <w:tcBorders>
              <w:top w:val="nil"/>
              <w:left w:val="nil"/>
              <w:bottom w:val="nil"/>
              <w:right w:val="nil"/>
            </w:tcBorders>
            <w:shd w:val="clear" w:color="auto" w:fill="auto"/>
            <w:noWrap/>
            <w:vAlign w:val="bottom"/>
            <w:hideMark/>
          </w:tcPr>
          <w:p>
            <w:pPr>
              <w:spacing w:after="0"/>
              <w:jc w:val="right"/>
              <w:rPr>
                <w:rFonts w:eastAsia="Times New Roman"/>
                <w:noProof/>
                <w:color w:val="000000"/>
                <w:sz w:val="18"/>
                <w:szCs w:val="18"/>
                <w:lang w:eastAsia="en-GB"/>
              </w:rPr>
            </w:pPr>
          </w:p>
        </w:tc>
        <w:tc>
          <w:tcPr>
            <w:tcW w:w="5475" w:type="dxa"/>
            <w:gridSpan w:val="2"/>
            <w:tcBorders>
              <w:top w:val="nil"/>
              <w:left w:val="nil"/>
              <w:bottom w:val="nil"/>
              <w:right w:val="nil"/>
            </w:tcBorders>
            <w:shd w:val="clear" w:color="auto" w:fill="auto"/>
            <w:noWrap/>
            <w:vAlign w:val="center"/>
            <w:hideMark/>
          </w:tcPr>
          <w:p>
            <w:pPr>
              <w:spacing w:after="0"/>
              <w:rPr>
                <w:rFonts w:eastAsia="Times New Roman"/>
                <w:noProof/>
                <w:color w:val="000000"/>
                <w:sz w:val="18"/>
                <w:szCs w:val="18"/>
              </w:rPr>
            </w:pPr>
            <w:r>
              <w:rPr>
                <w:noProof/>
                <w:color w:val="000000"/>
                <w:sz w:val="18"/>
                <w:szCs w:val="18"/>
              </w:rPr>
              <w:t>Аналитичен ОДУ</w:t>
            </w:r>
          </w:p>
        </w:tc>
      </w:tr>
      <w:tr>
        <w:trPr>
          <w:trHeight w:val="280"/>
        </w:trPr>
        <w:tc>
          <w:tcPr>
            <w:tcW w:w="1418" w:type="dxa"/>
            <w:tcBorders>
              <w:top w:val="nil"/>
              <w:left w:val="nil"/>
              <w:bottom w:val="nil"/>
              <w:right w:val="nil"/>
            </w:tcBorders>
            <w:shd w:val="clear" w:color="auto" w:fill="auto"/>
            <w:noWrap/>
            <w:vAlign w:val="bottom"/>
            <w:hideMark/>
          </w:tcPr>
          <w:p>
            <w:pPr>
              <w:spacing w:after="0"/>
              <w:rPr>
                <w:rFonts w:eastAsia="Times New Roman"/>
                <w:noProof/>
                <w:color w:val="000000"/>
                <w:sz w:val="18"/>
                <w:szCs w:val="18"/>
              </w:rPr>
            </w:pPr>
            <w:r>
              <w:rPr>
                <w:noProof/>
                <w:color w:val="000000"/>
                <w:sz w:val="18"/>
                <w:szCs w:val="18"/>
              </w:rPr>
              <w:t>Германия</w:t>
            </w:r>
          </w:p>
        </w:tc>
        <w:tc>
          <w:tcPr>
            <w:tcW w:w="1559"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rPr>
            </w:pPr>
            <w:r>
              <w:rPr>
                <w:noProof/>
                <w:color w:val="000000"/>
                <w:sz w:val="18"/>
                <w:szCs w:val="18"/>
              </w:rPr>
              <w:t xml:space="preserve">  113</w:t>
            </w:r>
          </w:p>
        </w:tc>
        <w:tc>
          <w:tcPr>
            <w:tcW w:w="603" w:type="dxa"/>
            <w:tcBorders>
              <w:top w:val="nil"/>
              <w:left w:val="nil"/>
              <w:bottom w:val="nil"/>
              <w:right w:val="nil"/>
            </w:tcBorders>
            <w:shd w:val="clear" w:color="auto" w:fill="auto"/>
            <w:noWrap/>
            <w:vAlign w:val="bottom"/>
            <w:hideMark/>
          </w:tcPr>
          <w:p>
            <w:pPr>
              <w:spacing w:after="0"/>
              <w:jc w:val="right"/>
              <w:rPr>
                <w:rFonts w:eastAsia="Times New Roman"/>
                <w:noProof/>
                <w:color w:val="000000"/>
                <w:sz w:val="18"/>
                <w:szCs w:val="18"/>
                <w:lang w:eastAsia="en-GB"/>
              </w:rPr>
            </w:pPr>
          </w:p>
        </w:tc>
        <w:tc>
          <w:tcPr>
            <w:tcW w:w="5475" w:type="dxa"/>
            <w:gridSpan w:val="2"/>
            <w:tcBorders>
              <w:top w:val="nil"/>
              <w:left w:val="nil"/>
              <w:bottom w:val="nil"/>
              <w:right w:val="nil"/>
            </w:tcBorders>
            <w:shd w:val="clear" w:color="auto" w:fill="auto"/>
            <w:noWrap/>
            <w:vAlign w:val="center"/>
            <w:hideMark/>
          </w:tcPr>
          <w:p>
            <w:pPr>
              <w:spacing w:after="0"/>
              <w:rPr>
                <w:rFonts w:eastAsia="Times New Roman"/>
                <w:noProof/>
                <w:color w:val="000000"/>
                <w:sz w:val="18"/>
                <w:szCs w:val="18"/>
              </w:rPr>
            </w:pPr>
            <w:r>
              <w:rPr>
                <w:noProof/>
                <w:color w:val="000000"/>
                <w:sz w:val="18"/>
                <w:szCs w:val="18"/>
              </w:rPr>
              <w:t>Член 3 от Регламент (ЕО) № 847/96 не се прилага.</w:t>
            </w:r>
          </w:p>
        </w:tc>
      </w:tr>
      <w:tr>
        <w:trPr>
          <w:trHeight w:val="280"/>
        </w:trPr>
        <w:tc>
          <w:tcPr>
            <w:tcW w:w="1418" w:type="dxa"/>
            <w:tcBorders>
              <w:top w:val="nil"/>
              <w:left w:val="nil"/>
              <w:bottom w:val="nil"/>
              <w:right w:val="nil"/>
            </w:tcBorders>
            <w:shd w:val="clear" w:color="auto" w:fill="auto"/>
            <w:noWrap/>
            <w:vAlign w:val="bottom"/>
            <w:hideMark/>
          </w:tcPr>
          <w:p>
            <w:pPr>
              <w:spacing w:after="0"/>
              <w:rPr>
                <w:rFonts w:eastAsia="Times New Roman"/>
                <w:noProof/>
                <w:color w:val="000000"/>
                <w:sz w:val="18"/>
                <w:szCs w:val="18"/>
              </w:rPr>
            </w:pPr>
            <w:r>
              <w:rPr>
                <w:noProof/>
                <w:color w:val="000000"/>
                <w:sz w:val="18"/>
                <w:szCs w:val="18"/>
              </w:rPr>
              <w:t>Швеция</w:t>
            </w:r>
          </w:p>
        </w:tc>
        <w:tc>
          <w:tcPr>
            <w:tcW w:w="1559"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rPr>
            </w:pPr>
            <w:r>
              <w:rPr>
                <w:noProof/>
                <w:color w:val="000000"/>
                <w:sz w:val="18"/>
                <w:szCs w:val="18"/>
              </w:rPr>
              <w:t xml:space="preserve">  186</w:t>
            </w:r>
          </w:p>
        </w:tc>
        <w:tc>
          <w:tcPr>
            <w:tcW w:w="603" w:type="dxa"/>
            <w:tcBorders>
              <w:top w:val="nil"/>
              <w:left w:val="nil"/>
              <w:bottom w:val="nil"/>
              <w:right w:val="nil"/>
            </w:tcBorders>
            <w:shd w:val="clear" w:color="auto" w:fill="auto"/>
            <w:noWrap/>
            <w:vAlign w:val="bottom"/>
            <w:hideMark/>
          </w:tcPr>
          <w:p>
            <w:pPr>
              <w:spacing w:after="0"/>
              <w:jc w:val="right"/>
              <w:rPr>
                <w:rFonts w:eastAsia="Times New Roman"/>
                <w:noProof/>
                <w:color w:val="000000"/>
                <w:sz w:val="18"/>
                <w:szCs w:val="18"/>
                <w:lang w:eastAsia="en-GB"/>
              </w:rPr>
            </w:pPr>
          </w:p>
        </w:tc>
        <w:tc>
          <w:tcPr>
            <w:tcW w:w="5475" w:type="dxa"/>
            <w:gridSpan w:val="2"/>
            <w:tcBorders>
              <w:top w:val="nil"/>
              <w:left w:val="nil"/>
              <w:bottom w:val="nil"/>
              <w:right w:val="nil"/>
            </w:tcBorders>
            <w:shd w:val="clear" w:color="auto" w:fill="auto"/>
            <w:noWrap/>
            <w:vAlign w:val="center"/>
            <w:hideMark/>
          </w:tcPr>
          <w:p>
            <w:pPr>
              <w:spacing w:after="0"/>
              <w:rPr>
                <w:rFonts w:eastAsia="Times New Roman"/>
                <w:noProof/>
                <w:color w:val="000000"/>
                <w:sz w:val="18"/>
                <w:szCs w:val="18"/>
              </w:rPr>
            </w:pPr>
            <w:r>
              <w:rPr>
                <w:noProof/>
                <w:color w:val="000000"/>
                <w:sz w:val="18"/>
                <w:szCs w:val="18"/>
              </w:rPr>
              <w:t>Член 4 от Регламент (ЕО) № 847/96 не се прилага.</w:t>
            </w:r>
          </w:p>
        </w:tc>
      </w:tr>
      <w:tr>
        <w:trPr>
          <w:trHeight w:val="280"/>
        </w:trPr>
        <w:tc>
          <w:tcPr>
            <w:tcW w:w="1418" w:type="dxa"/>
            <w:tcBorders>
              <w:top w:val="nil"/>
              <w:left w:val="nil"/>
              <w:bottom w:val="nil"/>
              <w:right w:val="nil"/>
            </w:tcBorders>
            <w:shd w:val="clear" w:color="auto" w:fill="auto"/>
            <w:noWrap/>
            <w:vAlign w:val="bottom"/>
            <w:hideMark/>
          </w:tcPr>
          <w:p>
            <w:pPr>
              <w:spacing w:after="0"/>
              <w:rPr>
                <w:rFonts w:eastAsia="Times New Roman"/>
                <w:noProof/>
                <w:color w:val="000000"/>
                <w:sz w:val="18"/>
                <w:szCs w:val="18"/>
              </w:rPr>
            </w:pPr>
            <w:r>
              <w:rPr>
                <w:noProof/>
                <w:color w:val="000000"/>
                <w:sz w:val="18"/>
                <w:szCs w:val="18"/>
              </w:rPr>
              <w:t>Обединено кралство</w:t>
            </w:r>
          </w:p>
        </w:tc>
        <w:tc>
          <w:tcPr>
            <w:tcW w:w="1559"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rPr>
            </w:pPr>
            <w:r>
              <w:rPr>
                <w:noProof/>
                <w:color w:val="000000"/>
                <w:sz w:val="18"/>
                <w:szCs w:val="18"/>
              </w:rPr>
              <w:t xml:space="preserve">  24</w:t>
            </w:r>
          </w:p>
        </w:tc>
        <w:tc>
          <w:tcPr>
            <w:tcW w:w="603" w:type="dxa"/>
            <w:tcBorders>
              <w:top w:val="nil"/>
              <w:left w:val="nil"/>
              <w:bottom w:val="nil"/>
              <w:right w:val="nil"/>
            </w:tcBorders>
            <w:shd w:val="clear" w:color="auto" w:fill="auto"/>
            <w:noWrap/>
            <w:vAlign w:val="bottom"/>
            <w:hideMark/>
          </w:tcPr>
          <w:p>
            <w:pPr>
              <w:spacing w:after="0"/>
              <w:jc w:val="right"/>
              <w:rPr>
                <w:rFonts w:eastAsia="Times New Roman"/>
                <w:noProof/>
                <w:color w:val="000000"/>
                <w:sz w:val="18"/>
                <w:szCs w:val="18"/>
                <w:lang w:eastAsia="en-GB"/>
              </w:rPr>
            </w:pPr>
          </w:p>
        </w:tc>
        <w:tc>
          <w:tcPr>
            <w:tcW w:w="2480" w:type="dxa"/>
            <w:tcBorders>
              <w:top w:val="nil"/>
              <w:left w:val="nil"/>
              <w:bottom w:val="nil"/>
              <w:right w:val="nil"/>
            </w:tcBorders>
            <w:shd w:val="clear" w:color="auto" w:fill="auto"/>
            <w:noWrap/>
            <w:vAlign w:val="center"/>
            <w:hideMark/>
          </w:tcPr>
          <w:p>
            <w:pPr>
              <w:spacing w:after="0"/>
              <w:rPr>
                <w:rFonts w:eastAsia="Times New Roman"/>
                <w:noProof/>
                <w:sz w:val="20"/>
                <w:szCs w:val="20"/>
                <w:lang w:eastAsia="en-GB"/>
              </w:rPr>
            </w:pPr>
          </w:p>
        </w:tc>
        <w:tc>
          <w:tcPr>
            <w:tcW w:w="2995" w:type="dxa"/>
            <w:tcBorders>
              <w:top w:val="nil"/>
              <w:left w:val="nil"/>
              <w:bottom w:val="nil"/>
              <w:right w:val="nil"/>
            </w:tcBorders>
            <w:shd w:val="clear" w:color="auto" w:fill="auto"/>
            <w:noWrap/>
            <w:vAlign w:val="center"/>
            <w:hideMark/>
          </w:tcPr>
          <w:p>
            <w:pPr>
              <w:spacing w:after="0"/>
              <w:rPr>
                <w:rFonts w:eastAsia="Times New Roman"/>
                <w:noProof/>
                <w:sz w:val="20"/>
                <w:szCs w:val="20"/>
                <w:lang w:eastAsia="en-GB"/>
              </w:rPr>
            </w:pPr>
          </w:p>
        </w:tc>
      </w:tr>
      <w:tr>
        <w:trPr>
          <w:trHeight w:val="280"/>
        </w:trPr>
        <w:tc>
          <w:tcPr>
            <w:tcW w:w="1418" w:type="dxa"/>
            <w:tcBorders>
              <w:top w:val="nil"/>
              <w:left w:val="nil"/>
              <w:bottom w:val="nil"/>
              <w:right w:val="nil"/>
            </w:tcBorders>
            <w:shd w:val="clear" w:color="auto" w:fill="auto"/>
            <w:noWrap/>
            <w:vAlign w:val="bottom"/>
            <w:hideMark/>
          </w:tcPr>
          <w:p>
            <w:pPr>
              <w:spacing w:after="0"/>
              <w:rPr>
                <w:rFonts w:eastAsia="Times New Roman"/>
                <w:noProof/>
                <w:color w:val="000000"/>
                <w:sz w:val="18"/>
                <w:szCs w:val="18"/>
              </w:rPr>
            </w:pPr>
            <w:r>
              <w:rPr>
                <w:noProof/>
                <w:color w:val="000000"/>
                <w:sz w:val="18"/>
                <w:szCs w:val="18"/>
              </w:rPr>
              <w:t>Всички държави членки</w:t>
            </w:r>
          </w:p>
        </w:tc>
        <w:tc>
          <w:tcPr>
            <w:tcW w:w="1559"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rPr>
            </w:pPr>
            <w:r>
              <w:rPr>
                <w:noProof/>
                <w:color w:val="000000"/>
                <w:sz w:val="18"/>
                <w:szCs w:val="18"/>
              </w:rPr>
              <w:t xml:space="preserve">  134</w:t>
            </w:r>
          </w:p>
        </w:tc>
        <w:tc>
          <w:tcPr>
            <w:tcW w:w="603" w:type="dxa"/>
            <w:tcBorders>
              <w:top w:val="nil"/>
              <w:left w:val="nil"/>
              <w:bottom w:val="nil"/>
              <w:right w:val="nil"/>
            </w:tcBorders>
            <w:shd w:val="clear" w:color="auto" w:fill="auto"/>
            <w:noWrap/>
            <w:vAlign w:val="bottom"/>
            <w:hideMark/>
          </w:tcPr>
          <w:p>
            <w:pPr>
              <w:spacing w:after="0"/>
              <w:rPr>
                <w:rFonts w:eastAsia="Times New Roman"/>
                <w:noProof/>
                <w:color w:val="000000"/>
                <w:sz w:val="18"/>
                <w:szCs w:val="18"/>
              </w:rPr>
            </w:pPr>
            <w:r>
              <w:rPr>
                <w:noProof/>
                <w:color w:val="000000"/>
                <w:sz w:val="18"/>
                <w:szCs w:val="18"/>
                <w:vertAlign w:val="superscript"/>
              </w:rPr>
              <w:t>(1)</w:t>
            </w:r>
          </w:p>
        </w:tc>
        <w:tc>
          <w:tcPr>
            <w:tcW w:w="2480"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2995" w:type="dxa"/>
            <w:tcBorders>
              <w:top w:val="nil"/>
              <w:left w:val="nil"/>
              <w:bottom w:val="nil"/>
              <w:right w:val="nil"/>
            </w:tcBorders>
            <w:shd w:val="clear" w:color="auto" w:fill="auto"/>
            <w:noWrap/>
            <w:vAlign w:val="center"/>
            <w:hideMark/>
          </w:tcPr>
          <w:p>
            <w:pPr>
              <w:spacing w:after="0"/>
              <w:rPr>
                <w:rFonts w:eastAsia="Times New Roman"/>
                <w:noProof/>
                <w:sz w:val="20"/>
                <w:szCs w:val="20"/>
                <w:lang w:eastAsia="en-GB"/>
              </w:rPr>
            </w:pPr>
          </w:p>
        </w:tc>
      </w:tr>
      <w:tr>
        <w:trPr>
          <w:trHeight w:val="280"/>
        </w:trPr>
        <w:tc>
          <w:tcPr>
            <w:tcW w:w="1418" w:type="dxa"/>
            <w:tcBorders>
              <w:top w:val="nil"/>
              <w:left w:val="nil"/>
              <w:bottom w:val="nil"/>
              <w:right w:val="nil"/>
            </w:tcBorders>
            <w:shd w:val="clear" w:color="auto" w:fill="auto"/>
            <w:noWrap/>
            <w:vAlign w:val="bottom"/>
            <w:hideMark/>
          </w:tcPr>
          <w:p>
            <w:pPr>
              <w:spacing w:after="0"/>
              <w:rPr>
                <w:rFonts w:eastAsia="Times New Roman"/>
                <w:noProof/>
                <w:color w:val="000000"/>
                <w:sz w:val="18"/>
                <w:szCs w:val="18"/>
              </w:rPr>
            </w:pPr>
            <w:r>
              <w:rPr>
                <w:noProof/>
                <w:color w:val="000000"/>
                <w:sz w:val="18"/>
                <w:szCs w:val="18"/>
              </w:rPr>
              <w:t>Съюз</w:t>
            </w:r>
          </w:p>
        </w:tc>
        <w:tc>
          <w:tcPr>
            <w:tcW w:w="1559"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rPr>
            </w:pPr>
            <w:r>
              <w:rPr>
                <w:noProof/>
                <w:color w:val="000000"/>
                <w:sz w:val="18"/>
                <w:szCs w:val="18"/>
              </w:rPr>
              <w:t xml:space="preserve"> 3 053</w:t>
            </w:r>
          </w:p>
        </w:tc>
        <w:tc>
          <w:tcPr>
            <w:tcW w:w="603" w:type="dxa"/>
            <w:tcBorders>
              <w:top w:val="nil"/>
              <w:left w:val="nil"/>
              <w:bottom w:val="nil"/>
              <w:right w:val="nil"/>
            </w:tcBorders>
            <w:shd w:val="clear" w:color="auto" w:fill="auto"/>
            <w:noWrap/>
            <w:vAlign w:val="bottom"/>
            <w:hideMark/>
          </w:tcPr>
          <w:p>
            <w:pPr>
              <w:spacing w:after="0"/>
              <w:rPr>
                <w:rFonts w:eastAsia="Times New Roman"/>
                <w:noProof/>
                <w:color w:val="000000"/>
                <w:sz w:val="18"/>
                <w:szCs w:val="18"/>
              </w:rPr>
            </w:pPr>
            <w:r>
              <w:rPr>
                <w:noProof/>
                <w:color w:val="000000"/>
                <w:sz w:val="18"/>
                <w:szCs w:val="18"/>
                <w:vertAlign w:val="superscript"/>
              </w:rPr>
              <w:t>(2)</w:t>
            </w:r>
          </w:p>
        </w:tc>
        <w:tc>
          <w:tcPr>
            <w:tcW w:w="2480"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2995" w:type="dxa"/>
            <w:tcBorders>
              <w:top w:val="nil"/>
              <w:left w:val="nil"/>
              <w:bottom w:val="nil"/>
              <w:right w:val="nil"/>
            </w:tcBorders>
            <w:shd w:val="clear" w:color="auto" w:fill="auto"/>
            <w:noWrap/>
            <w:vAlign w:val="center"/>
            <w:hideMark/>
          </w:tcPr>
          <w:p>
            <w:pPr>
              <w:spacing w:after="0"/>
              <w:rPr>
                <w:rFonts w:eastAsia="Times New Roman"/>
                <w:noProof/>
                <w:sz w:val="20"/>
                <w:szCs w:val="20"/>
                <w:lang w:eastAsia="en-GB"/>
              </w:rPr>
            </w:pPr>
          </w:p>
        </w:tc>
      </w:tr>
      <w:tr>
        <w:trPr>
          <w:trHeight w:val="280"/>
        </w:trPr>
        <w:tc>
          <w:tcPr>
            <w:tcW w:w="1418" w:type="dxa"/>
            <w:tcBorders>
              <w:top w:val="nil"/>
              <w:left w:val="nil"/>
              <w:bottom w:val="nil"/>
              <w:right w:val="nil"/>
            </w:tcBorders>
            <w:shd w:val="clear" w:color="auto" w:fill="auto"/>
            <w:noWrap/>
            <w:vAlign w:val="bottom"/>
            <w:hideMark/>
          </w:tcPr>
          <w:p>
            <w:pPr>
              <w:spacing w:after="0"/>
              <w:rPr>
                <w:rFonts w:eastAsia="Times New Roman"/>
                <w:noProof/>
                <w:color w:val="000000"/>
                <w:sz w:val="18"/>
                <w:szCs w:val="18"/>
              </w:rPr>
            </w:pPr>
            <w:r>
              <w:rPr>
                <w:noProof/>
                <w:color w:val="000000"/>
                <w:sz w:val="18"/>
                <w:szCs w:val="18"/>
              </w:rPr>
              <w:t>Норвегия</w:t>
            </w:r>
          </w:p>
        </w:tc>
        <w:tc>
          <w:tcPr>
            <w:tcW w:w="1559"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rPr>
            </w:pPr>
            <w:r>
              <w:rPr>
                <w:noProof/>
                <w:color w:val="000000"/>
                <w:sz w:val="18"/>
                <w:szCs w:val="18"/>
              </w:rPr>
              <w:t xml:space="preserve"> 10 000</w:t>
            </w:r>
          </w:p>
        </w:tc>
        <w:tc>
          <w:tcPr>
            <w:tcW w:w="603" w:type="dxa"/>
            <w:tcBorders>
              <w:top w:val="nil"/>
              <w:left w:val="nil"/>
              <w:bottom w:val="nil"/>
              <w:right w:val="nil"/>
            </w:tcBorders>
            <w:shd w:val="clear" w:color="auto" w:fill="auto"/>
            <w:noWrap/>
            <w:vAlign w:val="bottom"/>
            <w:hideMark/>
          </w:tcPr>
          <w:p>
            <w:pPr>
              <w:spacing w:after="0"/>
              <w:rPr>
                <w:rFonts w:eastAsia="Times New Roman"/>
                <w:noProof/>
                <w:color w:val="000000"/>
                <w:sz w:val="18"/>
                <w:szCs w:val="18"/>
              </w:rPr>
            </w:pPr>
            <w:r>
              <w:rPr>
                <w:noProof/>
                <w:color w:val="000000"/>
                <w:sz w:val="18"/>
                <w:szCs w:val="18"/>
                <w:vertAlign w:val="superscript"/>
              </w:rPr>
              <w:t>(2)</w:t>
            </w:r>
          </w:p>
        </w:tc>
        <w:tc>
          <w:tcPr>
            <w:tcW w:w="2480" w:type="dxa"/>
            <w:tcBorders>
              <w:top w:val="nil"/>
              <w:left w:val="nil"/>
              <w:bottom w:val="nil"/>
              <w:right w:val="nil"/>
            </w:tcBorders>
            <w:shd w:val="clear" w:color="auto" w:fill="auto"/>
            <w:noWrap/>
            <w:vAlign w:val="bottom"/>
            <w:hideMark/>
          </w:tcPr>
          <w:p>
            <w:pPr>
              <w:spacing w:after="0"/>
              <w:rPr>
                <w:rFonts w:eastAsia="Times New Roman"/>
                <w:noProof/>
                <w:color w:val="000000"/>
                <w:sz w:val="18"/>
                <w:szCs w:val="18"/>
                <w:lang w:eastAsia="en-GB"/>
              </w:rPr>
            </w:pPr>
          </w:p>
        </w:tc>
        <w:tc>
          <w:tcPr>
            <w:tcW w:w="2995" w:type="dxa"/>
            <w:tcBorders>
              <w:top w:val="nil"/>
              <w:left w:val="nil"/>
              <w:bottom w:val="nil"/>
              <w:right w:val="nil"/>
            </w:tcBorders>
            <w:shd w:val="clear" w:color="auto" w:fill="auto"/>
            <w:noWrap/>
            <w:vAlign w:val="bottom"/>
            <w:hideMark/>
          </w:tcPr>
          <w:p>
            <w:pPr>
              <w:spacing w:after="0"/>
              <w:rPr>
                <w:rFonts w:eastAsia="Times New Roman"/>
                <w:noProof/>
                <w:sz w:val="20"/>
                <w:szCs w:val="20"/>
                <w:lang w:eastAsia="en-GB"/>
              </w:rPr>
            </w:pPr>
          </w:p>
        </w:tc>
      </w:tr>
      <w:tr>
        <w:trPr>
          <w:trHeight w:val="280"/>
        </w:trPr>
        <w:tc>
          <w:tcPr>
            <w:tcW w:w="1418" w:type="dxa"/>
            <w:tcBorders>
              <w:top w:val="nil"/>
              <w:left w:val="nil"/>
              <w:bottom w:val="nil"/>
              <w:right w:val="nil"/>
            </w:tcBorders>
            <w:shd w:val="clear" w:color="auto" w:fill="auto"/>
            <w:noWrap/>
            <w:vAlign w:val="bottom"/>
            <w:hideMark/>
          </w:tcPr>
          <w:p>
            <w:pPr>
              <w:spacing w:after="0"/>
              <w:rPr>
                <w:rFonts w:eastAsia="Times New Roman"/>
                <w:noProof/>
                <w:sz w:val="20"/>
                <w:szCs w:val="20"/>
                <w:lang w:eastAsia="en-GB"/>
              </w:rPr>
            </w:pPr>
          </w:p>
        </w:tc>
        <w:tc>
          <w:tcPr>
            <w:tcW w:w="1559" w:type="dxa"/>
            <w:tcBorders>
              <w:top w:val="nil"/>
              <w:left w:val="nil"/>
              <w:bottom w:val="nil"/>
              <w:right w:val="nil"/>
            </w:tcBorders>
            <w:shd w:val="clear" w:color="auto" w:fill="auto"/>
            <w:noWrap/>
            <w:vAlign w:val="bottom"/>
            <w:hideMark/>
          </w:tcPr>
          <w:p>
            <w:pPr>
              <w:spacing w:after="0"/>
              <w:rPr>
                <w:rFonts w:eastAsia="Times New Roman"/>
                <w:noProof/>
                <w:sz w:val="20"/>
                <w:szCs w:val="20"/>
                <w:lang w:eastAsia="en-GB"/>
              </w:rPr>
            </w:pPr>
          </w:p>
        </w:tc>
        <w:tc>
          <w:tcPr>
            <w:tcW w:w="603" w:type="dxa"/>
            <w:tcBorders>
              <w:top w:val="nil"/>
              <w:left w:val="nil"/>
              <w:bottom w:val="nil"/>
              <w:right w:val="nil"/>
            </w:tcBorders>
            <w:shd w:val="clear" w:color="auto" w:fill="auto"/>
            <w:noWrap/>
            <w:vAlign w:val="bottom"/>
            <w:hideMark/>
          </w:tcPr>
          <w:p>
            <w:pPr>
              <w:spacing w:after="0"/>
              <w:rPr>
                <w:rFonts w:eastAsia="Times New Roman"/>
                <w:noProof/>
                <w:sz w:val="20"/>
                <w:szCs w:val="20"/>
                <w:lang w:eastAsia="en-GB"/>
              </w:rPr>
            </w:pPr>
          </w:p>
        </w:tc>
        <w:tc>
          <w:tcPr>
            <w:tcW w:w="2480" w:type="dxa"/>
            <w:tcBorders>
              <w:top w:val="nil"/>
              <w:left w:val="nil"/>
              <w:bottom w:val="nil"/>
              <w:right w:val="nil"/>
            </w:tcBorders>
            <w:shd w:val="clear" w:color="auto" w:fill="auto"/>
            <w:noWrap/>
            <w:vAlign w:val="center"/>
            <w:hideMark/>
          </w:tcPr>
          <w:p>
            <w:pPr>
              <w:spacing w:after="0"/>
              <w:rPr>
                <w:rFonts w:eastAsia="Times New Roman"/>
                <w:noProof/>
                <w:sz w:val="20"/>
                <w:szCs w:val="20"/>
                <w:lang w:eastAsia="en-GB"/>
              </w:rPr>
            </w:pPr>
          </w:p>
        </w:tc>
        <w:tc>
          <w:tcPr>
            <w:tcW w:w="2995" w:type="dxa"/>
            <w:tcBorders>
              <w:top w:val="nil"/>
              <w:left w:val="nil"/>
              <w:bottom w:val="nil"/>
              <w:right w:val="nil"/>
            </w:tcBorders>
            <w:shd w:val="clear" w:color="auto" w:fill="auto"/>
            <w:noWrap/>
            <w:vAlign w:val="center"/>
            <w:hideMark/>
          </w:tcPr>
          <w:p>
            <w:pPr>
              <w:spacing w:after="0"/>
              <w:rPr>
                <w:rFonts w:eastAsia="Times New Roman"/>
                <w:noProof/>
                <w:sz w:val="20"/>
                <w:szCs w:val="20"/>
                <w:lang w:eastAsia="en-GB"/>
              </w:rPr>
            </w:pPr>
          </w:p>
        </w:tc>
      </w:tr>
      <w:tr>
        <w:trPr>
          <w:trHeight w:val="280"/>
        </w:trPr>
        <w:tc>
          <w:tcPr>
            <w:tcW w:w="1418" w:type="dxa"/>
            <w:tcBorders>
              <w:top w:val="nil"/>
              <w:left w:val="nil"/>
              <w:bottom w:val="nil"/>
              <w:right w:val="nil"/>
            </w:tcBorders>
            <w:shd w:val="clear" w:color="auto" w:fill="auto"/>
            <w:noWrap/>
            <w:vAlign w:val="bottom"/>
            <w:hideMark/>
          </w:tcPr>
          <w:p>
            <w:pPr>
              <w:spacing w:after="0"/>
              <w:rPr>
                <w:rFonts w:eastAsia="Times New Roman"/>
                <w:noProof/>
                <w:color w:val="000000"/>
                <w:sz w:val="18"/>
                <w:szCs w:val="18"/>
              </w:rPr>
            </w:pPr>
            <w:r>
              <w:rPr>
                <w:noProof/>
                <w:color w:val="000000"/>
                <w:sz w:val="18"/>
                <w:szCs w:val="18"/>
              </w:rPr>
              <w:t>ОДУ</w:t>
            </w:r>
          </w:p>
        </w:tc>
        <w:tc>
          <w:tcPr>
            <w:tcW w:w="1559" w:type="dxa"/>
            <w:tcBorders>
              <w:top w:val="nil"/>
              <w:left w:val="nil"/>
              <w:bottom w:val="nil"/>
              <w:right w:val="nil"/>
            </w:tcBorders>
            <w:shd w:val="clear" w:color="auto" w:fill="auto"/>
            <w:noWrap/>
            <w:vAlign w:val="bottom"/>
            <w:hideMark/>
          </w:tcPr>
          <w:p>
            <w:pPr>
              <w:spacing w:after="0"/>
              <w:jc w:val="right"/>
              <w:rPr>
                <w:rFonts w:eastAsia="Times New Roman"/>
                <w:noProof/>
                <w:color w:val="000000"/>
                <w:sz w:val="18"/>
                <w:szCs w:val="18"/>
              </w:rPr>
            </w:pPr>
            <w:r>
              <w:rPr>
                <w:noProof/>
                <w:color w:val="000000"/>
                <w:sz w:val="18"/>
                <w:szCs w:val="18"/>
              </w:rPr>
              <w:t>Не се прилага</w:t>
            </w:r>
          </w:p>
        </w:tc>
        <w:tc>
          <w:tcPr>
            <w:tcW w:w="603" w:type="dxa"/>
            <w:tcBorders>
              <w:top w:val="nil"/>
              <w:left w:val="nil"/>
              <w:bottom w:val="nil"/>
              <w:right w:val="nil"/>
            </w:tcBorders>
            <w:shd w:val="clear" w:color="auto" w:fill="auto"/>
            <w:noWrap/>
            <w:vAlign w:val="bottom"/>
            <w:hideMark/>
          </w:tcPr>
          <w:p>
            <w:pPr>
              <w:spacing w:after="0"/>
              <w:jc w:val="right"/>
              <w:rPr>
                <w:rFonts w:eastAsia="Times New Roman"/>
                <w:noProof/>
                <w:color w:val="000000"/>
                <w:sz w:val="18"/>
                <w:szCs w:val="18"/>
                <w:lang w:eastAsia="en-GB"/>
              </w:rPr>
            </w:pPr>
          </w:p>
        </w:tc>
        <w:tc>
          <w:tcPr>
            <w:tcW w:w="2480" w:type="dxa"/>
            <w:tcBorders>
              <w:top w:val="nil"/>
              <w:left w:val="nil"/>
              <w:bottom w:val="nil"/>
              <w:right w:val="nil"/>
            </w:tcBorders>
            <w:shd w:val="clear" w:color="auto" w:fill="auto"/>
            <w:noWrap/>
            <w:vAlign w:val="center"/>
            <w:hideMark/>
          </w:tcPr>
          <w:p>
            <w:pPr>
              <w:spacing w:after="0"/>
              <w:rPr>
                <w:rFonts w:eastAsia="Times New Roman"/>
                <w:noProof/>
                <w:sz w:val="20"/>
                <w:szCs w:val="20"/>
                <w:lang w:eastAsia="en-GB"/>
              </w:rPr>
            </w:pPr>
          </w:p>
        </w:tc>
        <w:tc>
          <w:tcPr>
            <w:tcW w:w="2995" w:type="dxa"/>
            <w:tcBorders>
              <w:top w:val="nil"/>
              <w:left w:val="nil"/>
              <w:bottom w:val="nil"/>
              <w:right w:val="nil"/>
            </w:tcBorders>
            <w:shd w:val="clear" w:color="auto" w:fill="auto"/>
            <w:noWrap/>
            <w:vAlign w:val="center"/>
            <w:hideMark/>
          </w:tcPr>
          <w:p>
            <w:pPr>
              <w:spacing w:after="0"/>
              <w:rPr>
                <w:rFonts w:eastAsia="Times New Roman"/>
                <w:noProof/>
                <w:sz w:val="20"/>
                <w:szCs w:val="20"/>
                <w:lang w:eastAsia="en-GB"/>
              </w:rPr>
            </w:pPr>
          </w:p>
        </w:tc>
      </w:tr>
      <w:tr>
        <w:trPr>
          <w:trHeight w:val="280"/>
        </w:trPr>
        <w:tc>
          <w:tcPr>
            <w:tcW w:w="1418" w:type="dxa"/>
            <w:tcBorders>
              <w:top w:val="nil"/>
              <w:left w:val="nil"/>
              <w:bottom w:val="nil"/>
              <w:right w:val="nil"/>
            </w:tcBorders>
            <w:shd w:val="clear" w:color="auto" w:fill="auto"/>
            <w:noWrap/>
            <w:hideMark/>
          </w:tcPr>
          <w:p>
            <w:pPr>
              <w:spacing w:after="0"/>
              <w:rPr>
                <w:rFonts w:eastAsia="Times New Roman"/>
                <w:noProof/>
                <w:color w:val="000000"/>
                <w:sz w:val="18"/>
                <w:szCs w:val="18"/>
              </w:rPr>
            </w:pPr>
            <w:r>
              <w:rPr>
                <w:noProof/>
                <w:color w:val="000000"/>
                <w:sz w:val="18"/>
                <w:szCs w:val="18"/>
                <w:vertAlign w:val="superscript"/>
              </w:rPr>
              <w:t>(1)</w:t>
            </w:r>
          </w:p>
        </w:tc>
        <w:tc>
          <w:tcPr>
            <w:tcW w:w="7637" w:type="dxa"/>
            <w:gridSpan w:val="4"/>
            <w:tcBorders>
              <w:top w:val="nil"/>
              <w:left w:val="nil"/>
              <w:bottom w:val="nil"/>
              <w:right w:val="nil"/>
            </w:tcBorders>
            <w:shd w:val="clear" w:color="auto" w:fill="auto"/>
            <w:noWrap/>
            <w:hideMark/>
          </w:tcPr>
          <w:p>
            <w:pPr>
              <w:spacing w:after="0"/>
              <w:rPr>
                <w:rFonts w:eastAsia="Times New Roman"/>
                <w:noProof/>
                <w:color w:val="000000"/>
                <w:sz w:val="18"/>
                <w:szCs w:val="18"/>
              </w:rPr>
            </w:pPr>
            <w:r>
              <w:rPr>
                <w:noProof/>
                <w:color w:val="000000"/>
                <w:sz w:val="18"/>
                <w:szCs w:val="18"/>
                <w:vertAlign w:val="superscript"/>
              </w:rPr>
              <w:t>Дания, Германия, Швеция и Обединеното кралство могат да получат достъп до квотата за всички държави членки единствено след като са изчерпали своята собствена квота. Държавите членки, разполагащи с над 10 % от квотата на Съюза, обаче нямат право на достъп до квотата за всички държави членки.</w:t>
            </w:r>
          </w:p>
        </w:tc>
      </w:tr>
      <w:tr>
        <w:trPr>
          <w:trHeight w:val="290"/>
        </w:trPr>
        <w:tc>
          <w:tcPr>
            <w:tcW w:w="1418" w:type="dxa"/>
            <w:tcBorders>
              <w:top w:val="nil"/>
              <w:left w:val="nil"/>
              <w:bottom w:val="single" w:sz="8" w:space="0" w:color="auto"/>
              <w:right w:val="nil"/>
            </w:tcBorders>
            <w:shd w:val="clear" w:color="auto" w:fill="auto"/>
            <w:noWrap/>
            <w:hideMark/>
          </w:tcPr>
          <w:p>
            <w:pPr>
              <w:spacing w:after="0"/>
              <w:rPr>
                <w:rFonts w:eastAsia="Times New Roman"/>
                <w:noProof/>
                <w:color w:val="000000"/>
                <w:sz w:val="18"/>
                <w:szCs w:val="18"/>
              </w:rPr>
            </w:pPr>
            <w:r>
              <w:rPr>
                <w:noProof/>
                <w:color w:val="000000"/>
                <w:sz w:val="18"/>
                <w:szCs w:val="18"/>
                <w:vertAlign w:val="superscript"/>
              </w:rPr>
              <w:t>(2)</w:t>
            </w:r>
          </w:p>
        </w:tc>
        <w:tc>
          <w:tcPr>
            <w:tcW w:w="4642" w:type="dxa"/>
            <w:gridSpan w:val="3"/>
            <w:tcBorders>
              <w:top w:val="nil"/>
              <w:left w:val="nil"/>
              <w:bottom w:val="single" w:sz="8" w:space="0" w:color="auto"/>
              <w:right w:val="nil"/>
            </w:tcBorders>
            <w:shd w:val="clear" w:color="auto" w:fill="auto"/>
            <w:noWrap/>
            <w:hideMark/>
          </w:tcPr>
          <w:p>
            <w:pPr>
              <w:spacing w:after="0"/>
              <w:rPr>
                <w:rFonts w:eastAsia="Times New Roman"/>
                <w:noProof/>
                <w:color w:val="000000"/>
                <w:sz w:val="18"/>
                <w:szCs w:val="18"/>
              </w:rPr>
            </w:pPr>
            <w:r>
              <w:rPr>
                <w:noProof/>
                <w:color w:val="000000"/>
                <w:sz w:val="18"/>
                <w:szCs w:val="18"/>
                <w:vertAlign w:val="superscript"/>
              </w:rPr>
              <w:t>За риболовния период от 20 юни 2020 г. до 15 април 2021 г.“</w:t>
            </w:r>
          </w:p>
        </w:tc>
        <w:tc>
          <w:tcPr>
            <w:tcW w:w="2995" w:type="dxa"/>
            <w:tcBorders>
              <w:top w:val="nil"/>
              <w:left w:val="nil"/>
              <w:bottom w:val="single" w:sz="8" w:space="0" w:color="auto"/>
              <w:right w:val="nil"/>
            </w:tcBorders>
            <w:shd w:val="clear" w:color="auto" w:fill="auto"/>
            <w:noWrap/>
            <w:vAlign w:val="bottom"/>
            <w:hideMark/>
          </w:tcPr>
          <w:p>
            <w:pPr>
              <w:spacing w:after="0"/>
              <w:rPr>
                <w:rFonts w:eastAsia="Times New Roman"/>
                <w:noProof/>
                <w:color w:val="000000"/>
                <w:sz w:val="18"/>
                <w:szCs w:val="18"/>
              </w:rPr>
            </w:pPr>
            <w:r>
              <w:rPr>
                <w:noProof/>
                <w:color w:val="000000"/>
                <w:sz w:val="18"/>
                <w:szCs w:val="18"/>
              </w:rPr>
              <w:t xml:space="preserve"> </w:t>
            </w:r>
          </w:p>
        </w:tc>
      </w:tr>
      <w:tr>
        <w:trPr>
          <w:trHeight w:val="280"/>
        </w:trPr>
        <w:tc>
          <w:tcPr>
            <w:tcW w:w="1418" w:type="dxa"/>
            <w:tcBorders>
              <w:top w:val="nil"/>
              <w:left w:val="nil"/>
              <w:bottom w:val="nil"/>
              <w:right w:val="nil"/>
            </w:tcBorders>
            <w:shd w:val="clear" w:color="auto" w:fill="auto"/>
            <w:noWrap/>
            <w:vAlign w:val="bottom"/>
            <w:hideMark/>
          </w:tcPr>
          <w:p>
            <w:pPr>
              <w:spacing w:after="0"/>
              <w:rPr>
                <w:rFonts w:eastAsia="Times New Roman"/>
                <w:noProof/>
                <w:color w:val="000000"/>
                <w:sz w:val="18"/>
                <w:szCs w:val="18"/>
                <w:lang w:eastAsia="en-GB"/>
              </w:rPr>
            </w:pPr>
          </w:p>
        </w:tc>
        <w:tc>
          <w:tcPr>
            <w:tcW w:w="1559" w:type="dxa"/>
            <w:tcBorders>
              <w:top w:val="nil"/>
              <w:left w:val="nil"/>
              <w:bottom w:val="nil"/>
              <w:right w:val="nil"/>
            </w:tcBorders>
            <w:shd w:val="clear" w:color="auto" w:fill="auto"/>
            <w:noWrap/>
            <w:vAlign w:val="bottom"/>
            <w:hideMark/>
          </w:tcPr>
          <w:p>
            <w:pPr>
              <w:spacing w:after="0"/>
              <w:rPr>
                <w:rFonts w:eastAsia="Times New Roman"/>
                <w:noProof/>
                <w:sz w:val="20"/>
                <w:szCs w:val="20"/>
                <w:lang w:eastAsia="en-GB"/>
              </w:rPr>
            </w:pPr>
          </w:p>
        </w:tc>
        <w:tc>
          <w:tcPr>
            <w:tcW w:w="603" w:type="dxa"/>
            <w:tcBorders>
              <w:top w:val="nil"/>
              <w:left w:val="nil"/>
              <w:bottom w:val="nil"/>
              <w:right w:val="nil"/>
            </w:tcBorders>
            <w:shd w:val="clear" w:color="auto" w:fill="auto"/>
            <w:noWrap/>
            <w:vAlign w:val="bottom"/>
            <w:hideMark/>
          </w:tcPr>
          <w:p>
            <w:pPr>
              <w:spacing w:after="0"/>
              <w:rPr>
                <w:rFonts w:eastAsia="Times New Roman"/>
                <w:noProof/>
                <w:sz w:val="20"/>
                <w:szCs w:val="20"/>
                <w:lang w:eastAsia="en-GB"/>
              </w:rPr>
            </w:pPr>
          </w:p>
        </w:tc>
        <w:tc>
          <w:tcPr>
            <w:tcW w:w="2480" w:type="dxa"/>
            <w:tcBorders>
              <w:top w:val="nil"/>
              <w:left w:val="nil"/>
              <w:bottom w:val="nil"/>
              <w:right w:val="nil"/>
            </w:tcBorders>
            <w:shd w:val="clear" w:color="auto" w:fill="auto"/>
            <w:noWrap/>
            <w:vAlign w:val="bottom"/>
            <w:hideMark/>
          </w:tcPr>
          <w:p>
            <w:pPr>
              <w:spacing w:after="0"/>
              <w:rPr>
                <w:rFonts w:eastAsia="Times New Roman"/>
                <w:noProof/>
                <w:sz w:val="20"/>
                <w:szCs w:val="20"/>
                <w:lang w:eastAsia="en-GB"/>
              </w:rPr>
            </w:pPr>
          </w:p>
        </w:tc>
        <w:tc>
          <w:tcPr>
            <w:tcW w:w="2995" w:type="dxa"/>
            <w:tcBorders>
              <w:top w:val="nil"/>
              <w:left w:val="nil"/>
              <w:bottom w:val="nil"/>
              <w:right w:val="nil"/>
            </w:tcBorders>
            <w:shd w:val="clear" w:color="auto" w:fill="auto"/>
            <w:noWrap/>
            <w:vAlign w:val="bottom"/>
            <w:hideMark/>
          </w:tcPr>
          <w:p>
            <w:pPr>
              <w:spacing w:after="0"/>
              <w:rPr>
                <w:rFonts w:eastAsia="Times New Roman"/>
                <w:noProof/>
                <w:sz w:val="20"/>
                <w:szCs w:val="20"/>
                <w:lang w:eastAsia="en-GB"/>
              </w:rPr>
            </w:pPr>
          </w:p>
        </w:tc>
      </w:tr>
    </w:tbl>
    <w:p>
      <w:pPr>
        <w:jc w:val="center"/>
        <w:rPr>
          <w:noProof/>
        </w:rPr>
      </w:pPr>
      <w:r>
        <w:rPr>
          <w:noProof/>
        </w:rPr>
        <w:t>“.</w:t>
      </w:r>
    </w:p>
    <w:p>
      <w:pPr>
        <w:pStyle w:val="Titrearticle"/>
        <w:rPr>
          <w:noProof/>
        </w:rPr>
      </w:pPr>
      <w:r>
        <w:rPr>
          <w:noProof/>
        </w:rPr>
        <w:t xml:space="preserve">Член 2 </w:t>
      </w:r>
      <w:r>
        <w:rPr>
          <w:noProof/>
        </w:rPr>
        <w:br/>
        <w:t>Влизане в сила и прилагане</w:t>
      </w:r>
    </w:p>
    <w:p>
      <w:pPr>
        <w:rPr>
          <w:noProof/>
        </w:rPr>
      </w:pPr>
      <w:r>
        <w:rPr>
          <w:noProof/>
        </w:rPr>
        <w:t xml:space="preserve">Настоящият регламент влиза в сила в деня след деня на публикуването му в </w:t>
      </w:r>
      <w:r>
        <w:rPr>
          <w:i/>
          <w:iCs/>
          <w:noProof/>
        </w:rPr>
        <w:t>Официален вестник на Европейския съюз</w:t>
      </w:r>
      <w:r>
        <w:rPr>
          <w:noProof/>
        </w:rPr>
        <w:t>.</w:t>
      </w:r>
    </w:p>
    <w:p>
      <w:pPr>
        <w:rPr>
          <w:noProof/>
        </w:rPr>
      </w:pPr>
      <w:r>
        <w:rPr>
          <w:noProof/>
        </w:rPr>
        <w:t>Член 1, точка 1, буква а) се прилага от 1 юли 2020 г., а букви б) и в) — от 1 януари 2020 г.</w:t>
      </w:r>
    </w:p>
    <w:p>
      <w:pPr>
        <w:rPr>
          <w:noProof/>
        </w:rPr>
      </w:pPr>
      <w:r>
        <w:rPr>
          <w:noProof/>
        </w:rPr>
        <w:t>Член 1, точка 2 се прилага от 20 юни 2020 г.</w:t>
      </w:r>
    </w:p>
    <w:p>
      <w:pPr>
        <w:pStyle w:val="Applicationdirecte"/>
        <w:rPr>
          <w:noProof/>
        </w:rPr>
      </w:pPr>
      <w:r>
        <w:rPr>
          <w:noProof/>
        </w:rPr>
        <w:t>Настоящият регламент е задължителен в своята цялост и се прилага пряко във всички държави членки.</w:t>
      </w:r>
    </w:p>
    <w:p>
      <w:pPr>
        <w:pStyle w:val="Fait"/>
        <w:rPr>
          <w:noProof/>
        </w:rPr>
      </w:pPr>
      <w:r>
        <w:t xml:space="preserve">Съставено в Брюксел на </w:t>
      </w:r>
      <w:r>
        <w:rPr>
          <w:rStyle w:val="Marker"/>
        </w:rPr>
        <w:t>[…]</w:t>
      </w:r>
      <w:r>
        <w:t xml:space="preserve"> година.</w:t>
      </w:r>
    </w:p>
    <w:p>
      <w:pPr>
        <w:pStyle w:val="Institutionquisigne"/>
        <w:rPr>
          <w:noProof/>
        </w:rPr>
      </w:pPr>
      <w:r>
        <w:rPr>
          <w:noProof/>
        </w:rPr>
        <w:tab/>
        <w:t>За Съвета</w:t>
      </w:r>
    </w:p>
    <w:p>
      <w:pPr>
        <w:pStyle w:val="Personnequisigne"/>
        <w:rPr>
          <w:noProof/>
        </w:rPr>
      </w:pPr>
      <w:r>
        <w:rPr>
          <w:noProof/>
        </w:rPr>
        <w:tab/>
        <w:t>Председател</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7</w:t>
    </w:r>
    <w:r>
      <w:fldChar w:fldCharType="end"/>
    </w:r>
    <w: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r>
      <w:hyperlink r:id="rId1" w:history="1">
        <w:r>
          <w:rPr>
            <w:rStyle w:val="Hyperlink"/>
          </w:rPr>
          <w:t>http://www.ices.dk/community/advisory-process/Pages/Latest-advice.aspx</w:t>
        </w:r>
      </w:hyperlink>
      <w:r>
        <w:t xml:space="preserve"> </w:t>
      </w:r>
    </w:p>
  </w:footnote>
  <w:footnote w:id="2">
    <w:p>
      <w:pPr>
        <w:pStyle w:val="FootnoteText"/>
      </w:pPr>
      <w:r>
        <w:rPr>
          <w:rStyle w:val="FootnoteReference"/>
        </w:rPr>
        <w:t>1</w:t>
      </w:r>
      <w:r>
        <w:t xml:space="preserve"> </w:t>
      </w:r>
      <w:r>
        <w:tab/>
        <w:t>Регламент (ЕС) 2020/123 на Съвета от 27 януари 2020 г. за определяне за 2020 г. на възможностите за риболов на определени рибни запаси и групи от рибни запаси, приложими във водите на Съюза, както и за риболовните кораби на Съюза в някои води извън Съюза (ОВ L 25, 30.1.2020 г., стр. 1).</w:t>
      </w:r>
    </w:p>
  </w:footnote>
  <w:footnote w:id="3">
    <w:p>
      <w:pPr>
        <w:pStyle w:val="FootnoteText"/>
      </w:pPr>
      <w:r>
        <w:rPr>
          <w:rStyle w:val="FootnoteReference"/>
        </w:rPr>
        <w:footnoteRef/>
      </w:r>
      <w:r>
        <w:tab/>
        <w:t>Регламент (ЕС) 2020/900 на Съвета от 25 юни 2020 г. за изменение на Регламент (ЕС) 2019/1838 по отношение на определени възможности за риболов за 2020 г. в Балтийско море и за изменение на Регламент (ЕС) 2020/123 по отношение на определени възможности за риболов за 2020 г. във води на Съюза и извън водите на Съюза (OВ L 207, 30.6.2020 г., стр. 4—14).</w:t>
      </w:r>
    </w:p>
  </w:footnote>
  <w:footnote w:id="4">
    <w:p>
      <w:pPr>
        <w:pStyle w:val="FootnoteText"/>
      </w:pPr>
      <w:r>
        <w:rPr>
          <w:rStyle w:val="FootnoteReference"/>
        </w:rPr>
        <w:footnoteRef/>
      </w:r>
      <w:r>
        <w:tab/>
        <w:t>OВ L 172, 30.6.2007 г., стр. 4.</w:t>
      </w:r>
    </w:p>
  </w:footnote>
  <w:footnote w:id="5">
    <w:p>
      <w:pPr>
        <w:pStyle w:val="FootnoteText"/>
        <w:ind w:left="0" w:firstLine="0"/>
      </w:pPr>
      <w:r>
        <w:rPr>
          <w:rStyle w:val="FootnoteReference"/>
        </w:rPr>
        <w:footnoteRef/>
      </w:r>
      <w:r>
        <w:tab/>
        <w:t>Протокол за определяне на възможностите за риболов и финансовите средства, предвидени в Спогодбата за партньорство в областта на рибарството между Европейската общност, от една страна, и правителството на Дания и автономното правителство на Гренландия, от друга страна (ОВ L 305, 21.11.2015 г., стр. 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CB1681B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192CF46A"/>
    <w:lvl w:ilvl="0">
      <w:start w:val="1"/>
      <w:numFmt w:val="decimal"/>
      <w:pStyle w:val="ListNumber3"/>
      <w:lvlText w:val="%1."/>
      <w:lvlJc w:val="left"/>
      <w:pPr>
        <w:tabs>
          <w:tab w:val="num" w:pos="926"/>
        </w:tabs>
        <w:ind w:left="926" w:hanging="360"/>
      </w:pPr>
    </w:lvl>
  </w:abstractNum>
  <w:abstractNum w:abstractNumId="2">
    <w:nsid w:val="FFFFFF7F"/>
    <w:multiLevelType w:val="singleLevel"/>
    <w:tmpl w:val="C57EF482"/>
    <w:lvl w:ilvl="0">
      <w:start w:val="1"/>
      <w:numFmt w:val="decimal"/>
      <w:pStyle w:val="ListNumber2"/>
      <w:lvlText w:val="%1."/>
      <w:lvlJc w:val="left"/>
      <w:pPr>
        <w:tabs>
          <w:tab w:val="num" w:pos="643"/>
        </w:tabs>
        <w:ind w:left="643" w:hanging="360"/>
      </w:pPr>
    </w:lvl>
  </w:abstractNum>
  <w:abstractNum w:abstractNumId="3">
    <w:nsid w:val="FFFFFF81"/>
    <w:multiLevelType w:val="singleLevel"/>
    <w:tmpl w:val="A482B56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D6F033C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46E2DAF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1862EB00"/>
    <w:lvl w:ilvl="0">
      <w:start w:val="1"/>
      <w:numFmt w:val="decimal"/>
      <w:pStyle w:val="ListNumber"/>
      <w:lvlText w:val="%1."/>
      <w:lvlJc w:val="left"/>
      <w:pPr>
        <w:tabs>
          <w:tab w:val="num" w:pos="360"/>
        </w:tabs>
        <w:ind w:left="360" w:hanging="360"/>
      </w:pPr>
    </w:lvl>
  </w:abstractNum>
  <w:abstractNum w:abstractNumId="7">
    <w:nsid w:val="FFFFFF89"/>
    <w:multiLevelType w:val="singleLevel"/>
    <w:tmpl w:val="6C267B8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
  </w:num>
  <w:num w:numId="2">
    <w:abstractNumId w:val="21"/>
    <w:lvlOverride w:ilvl="0">
      <w:startOverride w:val="1"/>
    </w:lvlOverride>
  </w:num>
  <w:num w:numId="3">
    <w:abstractNumId w:val="7"/>
  </w:num>
  <w:num w:numId="4">
    <w:abstractNumId w:val="5"/>
  </w:num>
  <w:num w:numId="5">
    <w:abstractNumId w:val="4"/>
  </w:num>
  <w:num w:numId="6">
    <w:abstractNumId w:val="3"/>
  </w:num>
  <w:num w:numId="7">
    <w:abstractNumId w:val="6"/>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2"/>
  </w:num>
  <w:num w:numId="27">
    <w:abstractNumId w:val="20"/>
  </w:num>
  <w:num w:numId="28">
    <w:abstractNumId w:val="11"/>
  </w:num>
  <w:num w:numId="29">
    <w:abstractNumId w:val="13"/>
  </w:num>
  <w:num w:numId="30">
    <w:abstractNumId w:val="9"/>
  </w:num>
  <w:num w:numId="31">
    <w:abstractNumId w:val="19"/>
  </w:num>
  <w:num w:numId="32">
    <w:abstractNumId w:val="8"/>
  </w:num>
  <w:num w:numId="33">
    <w:abstractNumId w:val="14"/>
  </w:num>
  <w:num w:numId="34">
    <w:abstractNumId w:val="16"/>
  </w:num>
  <w:num w:numId="35">
    <w:abstractNumId w:val="17"/>
  </w:num>
  <w:num w:numId="36">
    <w:abstractNumId w:val="10"/>
  </w:num>
  <w:num w:numId="37">
    <w:abstractNumId w:val="15"/>
  </w:num>
  <w:num w:numId="38">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7-24 11:10:33"/>
    <w:docVar w:name="DQCResult_Distribution" w:val="0;1"/>
    <w:docVar w:name="DQCResult_DocumentContent" w:val="0;0"/>
    <w:docVar w:name="DQCResult_DocumentSize" w:val="0;0"/>
    <w:docVar w:name="DQCResult_DocumentVersions" w:val="0;0"/>
    <w:docVar w:name="DQCResult_InvalidFootnotes" w:val="0;1"/>
    <w:docVar w:name="DQCResult_LinkedStyles" w:val="0;0"/>
    <w:docVar w:name="DQCResult_ModifiedMargins" w:val="0;7"/>
    <w:docVar w:name="DQCResult_ModifiedMarkers" w:val="0;0"/>
    <w:docVar w:name="DQCResult_ModifiedNumbering" w:val="0;0"/>
    <w:docVar w:name="DQCResult_Objects" w:val="0;0"/>
    <w:docVar w:name="DQCResult_Sections" w:val="0;0"/>
    <w:docVar w:name="DQCResult_StructureCheck" w:val="0;0"/>
    <w:docVar w:name="DQCResult_SuperfluousWhitespace" w:val="0;8"/>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B5118DB3-C182-4958-AFBB-110DD5D4EB6C"/>
    <w:docVar w:name="LW_COVERPAGE_TYPE" w:val="1"/>
    <w:docVar w:name="LW_CROSSREFERENCE" w:val="&lt;UNUSED&gt;"/>
    <w:docVar w:name="LW_DocType" w:val="COM"/>
    <w:docVar w:name="LW_EMISSION" w:val="30.7.2020"/>
    <w:docVar w:name="LW_EMISSION_ISODATE" w:val="2020-07-30"/>
    <w:docVar w:name="LW_EMISSION_LOCATION" w:val="BRX"/>
    <w:docVar w:name="LW_EMISSION_PREFIX" w:val="Брюксел, "/>
    <w:docVar w:name="LW_EMISSION_SUFFIX" w:val=" \u1075?."/>
    <w:docVar w:name="LW_ID_DOCMODEL" w:val="SJ-016"/>
    <w:docVar w:name="LW_ID_DOCSIGNATURE" w:val="SJ-016"/>
    <w:docVar w:name="LW_ID_DOCSTRUCTURE" w:val="COM/PL/ORG"/>
    <w:docVar w:name="LW_ID_DOCTYPE" w:val="SJ-016"/>
    <w:docVar w:name="LW_ID_EXP.MOTIFS.NEW" w:val="EM_PL_"/>
    <w:docVar w:name="LW_ID_STATUT" w:val="SJ-016"/>
    <w:docVar w:name="LW_INTERETEEE.CP" w:val="&lt;UNUSED&gt;"/>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NLE"/>
    <w:docVar w:name="LW_REF.II.NEW.CP_NUMBER" w:val="0159"/>
    <w:docVar w:name="LW_REF.II.NEW.CP_YEAR" w:val="2020"/>
    <w:docVar w:name="LW_REF.INST.NEW" w:val="COM"/>
    <w:docVar w:name="LW_REF.INST.NEW_ADOPTED" w:val="final"/>
    <w:docVar w:name="LW_REF.INST.NEW_TEXT" w:val="(2020) 34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u1055?\u1088?\u1077?\u1076?\u1083?\u1086?\u1078?\u1077?\u1085?\u1080?\u1077? \u1079?\u1072?"/>
    <w:docVar w:name="LW_SUPERTITRE" w:val="&lt;UNUSED&gt;"/>
    <w:docVar w:name="LW_TITRE.OBJ.CP" w:val="\u1079?\u1072? \u1080?\u1079?\u1084?\u1077?\u1085?\u1077?\u1085?\u1080?\u1077? \u1085?\u1072? \u1056?\u1077?\u1075?\u1083?\u1072?\u1084?\u1077?\u1085?\u1090? (\u1045?\u1057?) 2020/123 \u1087?\u1086? \u1086?\u1090?\u1085?\u1086?\u1096?\u1077?\u1085?\u1080?\u1077? \u1085?\u1072? \u1086?\u1087?\u1088?\u1077?\u1076?\u1077?\u1083?\u1077?\u1085?\u1080? \u1074?\u1098?\u1079?\u1084?\u1086?\u1078?\u1085?\u1086?\u1089?\u1090?\u1080? \u1079?\u1072? \u1088?\u1080?\u1073?\u1086?\u1083?\u1086?\u1074? \u1087?\u1088?\u1077?\u1079? 2020 \u1075?. \u1074?\u1098?\u1074? \u1074?\u1086?\u1076?\u1080? \u1085?\u1072? \u1057?\u1098?\u1102?\u1079?\u1072? \u1080? \u1074?\u1086?\u1076?\u1080? \u1080?\u1079?\u1074?\u1098?\u1085? \u1057?\u1098?\u1102?\u1079?\u1072?"/>
    <w:docVar w:name="LW_TYPE.DOC.CP" w:val="\u1056?\u1045?\u1043?\u1051?\u1040?\u1052?\u1045?\u1053?\u1058?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ListNumber2">
    <w:name w:val="List Number 2"/>
    <w:basedOn w:val="Normal"/>
    <w:uiPriority w:val="99"/>
    <w:semiHidden/>
    <w:unhideWhenUsed/>
    <w:pPr>
      <w:numPr>
        <w:numId w:val="1"/>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bg-BG"/>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ListNumber2">
    <w:name w:val="List Number 2"/>
    <w:basedOn w:val="Normal"/>
    <w:uiPriority w:val="99"/>
    <w:semiHidden/>
    <w:unhideWhenUsed/>
    <w:pPr>
      <w:numPr>
        <w:numId w:val="1"/>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bg-BG"/>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ices.dk/community/advisory-process/Pages/Latest-advice.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2</TotalTime>
  <Pages>8</Pages>
  <Words>2513</Words>
  <Characters>12644</Characters>
  <Application>Microsoft Office Word</Application>
  <DocSecurity>0</DocSecurity>
  <Lines>361</Lines>
  <Paragraphs>170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19</cp:revision>
  <dcterms:created xsi:type="dcterms:W3CDTF">2020-07-23T10:38:00Z</dcterms:created>
  <dcterms:modified xsi:type="dcterms:W3CDTF">2020-07-24T09:10:00Z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7.0.8.0</vt:lpwstr>
  </property>
  <property fmtid="{D5CDD505-2E9C-101B-9397-08002B2CF9AE}" pid="4" name="Last edited using">
    <vt:lpwstr>LW 7.0, Build 20190717</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SJ-016</vt:lpwstr>
  </property>
  <property fmtid="{D5CDD505-2E9C-101B-9397-08002B2CF9AE}" pid="10" name="DQCStatus">
    <vt:lpwstr>Green (DQC version 03)</vt:lpwstr>
  </property>
  <property name="OP_sanitized" fmtid="{D5CDD505-2E9C-101B-9397-08002B2CF9AE}" pid="11">
    <vt:lpwstr>True</vt:lpwstr>
  </property>
</Properties>
</file>