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70DCBF3-1752-43CF-AF60-C4F18B357381" style="width:450.75pt;height:395.2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ОБЯСНИТЕЛЕН МЕМОРАНДУМ</w:t>
      </w:r>
    </w:p>
    <w:p>
      <w:pPr>
        <w:pStyle w:val="ManualHeading1"/>
        <w:rPr>
          <w:noProof/>
        </w:rPr>
      </w:pPr>
      <w:r>
        <w:rPr>
          <w:noProof/>
        </w:rPr>
        <w:t>1.</w:t>
      </w:r>
      <w:r>
        <w:rPr>
          <w:noProof/>
        </w:rPr>
        <w:tab/>
        <w:t>КОНТЕКСТ НА ПРЕДЛОЖЕНИЕТО</w:t>
      </w:r>
    </w:p>
    <w:p>
      <w:pPr>
        <w:pStyle w:val="ManualHeading2"/>
        <w:rPr>
          <w:rFonts w:eastAsia="Arial Unicode MS"/>
          <w:noProof/>
        </w:rPr>
      </w:pPr>
      <w:r>
        <w:rPr>
          <w:noProof/>
          <w:color w:val="000000"/>
          <w:u w:color="000000"/>
          <w:bdr w:val="nil"/>
        </w:rPr>
        <w:t>•</w:t>
      </w:r>
      <w:r>
        <w:rPr>
          <w:noProof/>
        </w:rPr>
        <w:tab/>
        <w:t>Основания и цели на предложението</w:t>
      </w:r>
    </w:p>
    <w:p>
      <w:pPr>
        <w:pStyle w:val="Text1"/>
        <w:ind w:left="0"/>
        <w:rPr>
          <w:noProof/>
        </w:rPr>
      </w:pPr>
      <w:r>
        <w:rPr>
          <w:noProof/>
        </w:rPr>
        <w:t>На 29 март 2017 г. Обединеното кралство внесе нотификация за намерението си да се оттегли от Съюза по силата на член 50 от Договора за Европейския съюз. Това означава, че ако не бъде определена друга дата посредством ратифицирано споразумение за оттегляне, цялото първично и вторично законодателство на Съюза ще престане да се прилага в Обединеното кралство от 30 март 2019 г. („датата на оттегляне“). Тогава Обединеното кралство ще се превърне в трета държава.</w:t>
      </w:r>
    </w:p>
    <w:p>
      <w:pPr>
        <w:pStyle w:val="Text1"/>
        <w:ind w:left="0"/>
        <w:rPr>
          <w:noProof/>
        </w:rPr>
      </w:pPr>
      <w:r>
        <w:rPr>
          <w:noProof/>
        </w:rPr>
        <w:t xml:space="preserve">При спазване на преходните разпоредби, които може да се съдържат в споразумението за оттегляне, законодателството на ЕС относно морския транспорт повече няма да се прилага в Обединеното кралство. Една от областите на правото на Съюза, които биха били засегнати, е признаването на равнище Съюз на организации, предоставящи услуги за проверка и преглед на кораби, плаващи под знамето на държавите членки („признати организации“). </w:t>
      </w:r>
    </w:p>
    <w:p>
      <w:pPr>
        <w:pStyle w:val="Text1"/>
        <w:ind w:left="0"/>
        <w:rPr>
          <w:noProof/>
        </w:rPr>
      </w:pPr>
      <w:r>
        <w:rPr>
          <w:noProof/>
        </w:rPr>
        <w:t>По-специално, в член 8, параграф 1 от Регламент (ЕО) № 391/2009</w:t>
      </w:r>
      <w:r>
        <w:rPr>
          <w:rStyle w:val="FootnoteReference"/>
          <w:noProof/>
        </w:rPr>
        <w:footnoteReference w:id="1"/>
      </w:r>
      <w:r>
        <w:rPr>
          <w:noProof/>
        </w:rPr>
        <w:t xml:space="preserve"> (наричан по-нататък „регламентът“) се изисква организациите за проверка и преглед на кораби, признати на равнище ЕС от Комисията („признати организации“), да се оценяват най-малко на всеки две години от Комисията съвместно с държавата членка, която е представила първоначалното искане за признаване на организацията. Организациите, които първоначално са били признати от съответната държава членка под действието на предишното законодателство и които понастоящем се ползват от признаването на ЕС съгласно член 15, параграф 1 от регламента, следва да се оценяват по същия начин. В резултат на това държавата членка, която първоначално е признала тези организации съгласно член 15, параграф 1, следва да се счита за държавата членка „спонсор“, която участва в оценката, извършвана от Комисията по член 8, параграф 1 от Регламента.</w:t>
      </w:r>
    </w:p>
    <w:p>
      <w:pPr>
        <w:pStyle w:val="Text1"/>
        <w:ind w:left="0"/>
        <w:rPr>
          <w:noProof/>
        </w:rPr>
      </w:pPr>
      <w:r>
        <w:rPr>
          <w:noProof/>
        </w:rPr>
        <w:t>Освен това, от членове 7 и 8 от регламента следва, че за да продължат да се ползват от признаването на ЕС, признатите организации трябва да продължат да отговарят на изискванията и минималните критерии, определени в приложение I към регламента. Това се проверява чрез непрекъснатото повторно оценяване, извършвано от Комисията и държавата членка „спонсор“ съгласно член 8, параграф 1.</w:t>
      </w:r>
    </w:p>
    <w:p>
      <w:pPr>
        <w:pStyle w:val="Text1"/>
        <w:ind w:left="0"/>
        <w:rPr>
          <w:noProof/>
        </w:rPr>
      </w:pPr>
      <w:r>
        <w:rPr>
          <w:noProof/>
        </w:rPr>
        <w:t>С оттеглянето си Обединеното кралство повече няма да може да участва в оценките, извършвани съгласно член 8, параграф 1 от регламента, за тези организации, за които Обединеното кралство се явява държава членка „спонсор“. Вследствие на това продължаването на валидността на признаването на тези организации на равнище ЕС може да бъде поставено под въпрос и не може да се изясни с достатъчна правна сигурност в рамките на съществуващите разпоредби на регламента.</w:t>
      </w:r>
    </w:p>
    <w:p>
      <w:pPr>
        <w:pStyle w:val="Text1"/>
        <w:ind w:left="0"/>
        <w:rPr>
          <w:noProof/>
        </w:rPr>
      </w:pPr>
      <w:r>
        <w:rPr>
          <w:noProof/>
        </w:rPr>
        <w:t>Потенциалната загуба от организациите на признаването на ЕС поради оттеглянето на Обединеното кралство може да има неблагоприятни последици за конкурентоспособността и привлекателността на знамената на държавите членки от ЕС-27, които са упълномощили тези признати организации да действат от тяхно име за целите на извършването на законоустановени корабни проверки, прегледи и освидетелстване. Засегнатите признати организации понастоящем имат споразумения за упълномощаване с повечето държави членки от ЕС-27 и след оттеглянето на Обединеното кралство тези държави членки няма да могат да използват тези признати организации за флотовете, плаващи под техните знамена. В същото време корабособствениците, които използват тези организации също така за целите на класификацията, ще бъдат изправени пред дилемата или да сменят знамето, под което плават корабите им, или да рискуват да нарушат действащите си частни договори със съответните организации за класифицирането на корабите си.</w:t>
      </w:r>
    </w:p>
    <w:p>
      <w:pPr>
        <w:pStyle w:val="Text1"/>
        <w:ind w:left="0"/>
        <w:rPr>
          <w:noProof/>
        </w:rPr>
      </w:pPr>
      <w:r>
        <w:rPr>
          <w:noProof/>
        </w:rPr>
        <w:t>Настоящото предложение има за цел повишаване на правната сигурност, осигуряване на непрекъснатост на стопанската дейност на засегнатите корабособственици и запазване на конкурентоспособността на знамената на държавите членки от ЕС-27.</w:t>
      </w:r>
    </w:p>
    <w:p>
      <w:pPr>
        <w:pStyle w:val="ManualHeading2"/>
        <w:rPr>
          <w:rFonts w:eastAsia="Arial Unicode MS"/>
          <w:noProof/>
          <w:color w:val="000000"/>
          <w:u w:color="000000"/>
          <w:bdr w:val="nil"/>
        </w:rPr>
      </w:pPr>
      <w:r>
        <w:rPr>
          <w:noProof/>
          <w:color w:val="000000"/>
          <w:u w:color="000000"/>
          <w:bdr w:val="nil"/>
        </w:rPr>
        <w:t>•</w:t>
      </w:r>
      <w:r>
        <w:rPr>
          <w:noProof/>
        </w:rPr>
        <w:tab/>
        <w:t>Съгласуваност със съществуващите разпоредби в тази област на политиката</w:t>
      </w:r>
    </w:p>
    <w:p>
      <w:pPr>
        <w:pBdr>
          <w:top w:val="nil"/>
          <w:left w:val="nil"/>
          <w:bottom w:val="nil"/>
          <w:right w:val="nil"/>
          <w:between w:val="nil"/>
          <w:bar w:val="nil"/>
        </w:pBdr>
        <w:spacing w:before="0" w:after="240"/>
        <w:rPr>
          <w:rFonts w:eastAsia="Arial Unicode MS"/>
          <w:noProof/>
        </w:rPr>
      </w:pPr>
      <w:r>
        <w:rPr>
          <w:noProof/>
        </w:rPr>
        <w:t>Настоящото предложение е наложително поради оттеглянето на Обединеното кралство от Съюза и обхватът му е ограничен до разглеждането на съответните последици. Главните цели на регламента в областта на политиката остават непроменени.</w:t>
      </w:r>
    </w:p>
    <w:p>
      <w:pPr>
        <w:pStyle w:val="ManualHeading2"/>
        <w:rPr>
          <w:rFonts w:eastAsia="Arial Unicode MS"/>
          <w:noProof/>
        </w:rPr>
      </w:pPr>
      <w:r>
        <w:rPr>
          <w:noProof/>
          <w:color w:val="000000"/>
          <w:u w:color="000000"/>
          <w:bdr w:val="nil"/>
        </w:rPr>
        <w:t>•</w:t>
      </w:r>
      <w:r>
        <w:rPr>
          <w:noProof/>
        </w:rPr>
        <w:tab/>
        <w:t>Съгласуваност с други политики на Съюза</w:t>
      </w:r>
    </w:p>
    <w:p>
      <w:pPr>
        <w:pBdr>
          <w:top w:val="nil"/>
          <w:left w:val="nil"/>
          <w:bottom w:val="nil"/>
          <w:right w:val="nil"/>
          <w:between w:val="nil"/>
          <w:bar w:val="nil"/>
        </w:pBdr>
        <w:spacing w:before="0" w:after="240"/>
        <w:rPr>
          <w:rFonts w:eastAsia="Arial Unicode MS"/>
          <w:noProof/>
        </w:rPr>
      </w:pPr>
      <w:r>
        <w:rPr>
          <w:noProof/>
        </w:rPr>
        <w:t>Настоящото предложение изцяло съответства на мандата на Съвета за преговорите с Обединеното кралство за неговото оттегляне от Съюза.</w:t>
      </w:r>
    </w:p>
    <w:p>
      <w:pPr>
        <w:pStyle w:val="ManualHeading1"/>
        <w:rPr>
          <w:noProof/>
        </w:rPr>
      </w:pPr>
      <w:r>
        <w:rPr>
          <w:noProof/>
        </w:rPr>
        <w:t>2.</w:t>
      </w:r>
      <w:r>
        <w:rPr>
          <w:noProof/>
        </w:rPr>
        <w:tab/>
        <w:t>ПРАВНО ОСНОВАНИЕ, СУБСИДИАРНОСТ И ПРОПРОЦИОНАЛНОСТ</w:t>
      </w:r>
    </w:p>
    <w:p>
      <w:pPr>
        <w:pStyle w:val="ManualHeading2"/>
        <w:rPr>
          <w:rFonts w:eastAsia="Arial Unicode MS"/>
          <w:noProof/>
          <w:u w:color="000000"/>
          <w:bdr w:val="nil"/>
        </w:rPr>
      </w:pPr>
      <w:r>
        <w:rPr>
          <w:noProof/>
        </w:rPr>
        <w:t>•</w:t>
      </w:r>
      <w:r>
        <w:rPr>
          <w:noProof/>
        </w:rPr>
        <w:tab/>
        <w:t>Правно основание</w:t>
      </w:r>
    </w:p>
    <w:p>
      <w:pPr>
        <w:pBdr>
          <w:top w:val="nil"/>
          <w:left w:val="nil"/>
          <w:bottom w:val="nil"/>
          <w:right w:val="nil"/>
          <w:between w:val="nil"/>
          <w:bar w:val="nil"/>
        </w:pBdr>
        <w:spacing w:before="0" w:after="240"/>
        <w:rPr>
          <w:rFonts w:eastAsia="Arial Unicode MS"/>
          <w:noProof/>
        </w:rPr>
      </w:pPr>
      <w:r>
        <w:rPr>
          <w:noProof/>
        </w:rPr>
        <w:t>Предложението се основава на член 100, параграф 2 от ДФЕС.</w:t>
      </w:r>
    </w:p>
    <w:p>
      <w:pPr>
        <w:pStyle w:val="ManualHeading2"/>
        <w:rPr>
          <w:rFonts w:eastAsia="Arial Unicode MS"/>
          <w:noProof/>
          <w:u w:color="000000"/>
          <w:bdr w:val="nil"/>
        </w:rPr>
      </w:pPr>
      <w:r>
        <w:rPr>
          <w:noProof/>
        </w:rPr>
        <w:t>•</w:t>
      </w:r>
      <w:r>
        <w:rPr>
          <w:noProof/>
        </w:rPr>
        <w:tab/>
        <w:t>Субсидиарност (при неизключителна компетентност)</w:t>
      </w:r>
    </w:p>
    <w:p>
      <w:pPr>
        <w:pBdr>
          <w:top w:val="nil"/>
          <w:left w:val="nil"/>
          <w:bottom w:val="nil"/>
          <w:right w:val="nil"/>
          <w:between w:val="nil"/>
          <w:bar w:val="nil"/>
        </w:pBdr>
        <w:spacing w:before="0" w:after="240"/>
        <w:rPr>
          <w:rFonts w:eastAsia="Arial Unicode MS"/>
          <w:noProof/>
        </w:rPr>
      </w:pPr>
      <w:r>
        <w:rPr>
          <w:noProof/>
        </w:rPr>
        <w:t>Тъй като предложеният законодателен акт ще променя съдържанието на съществуващ законодателен акт на Съюза, това може да се постигне само чрез действие на равнището на Съюза.</w:t>
      </w:r>
    </w:p>
    <w:p>
      <w:pPr>
        <w:pStyle w:val="ManualHeading2"/>
        <w:rPr>
          <w:rFonts w:eastAsia="Arial Unicode MS"/>
          <w:noProof/>
          <w:u w:color="000000"/>
          <w:bdr w:val="nil"/>
        </w:rPr>
      </w:pPr>
      <w:r>
        <w:rPr>
          <w:noProof/>
        </w:rPr>
        <w:t>•</w:t>
      </w:r>
      <w:r>
        <w:rPr>
          <w:noProof/>
        </w:rPr>
        <w:tab/>
        <w:t>Пропорционалност</w:t>
      </w:r>
    </w:p>
    <w:p>
      <w:pPr>
        <w:pBdr>
          <w:top w:val="nil"/>
          <w:left w:val="nil"/>
          <w:bottom w:val="nil"/>
          <w:right w:val="nil"/>
          <w:between w:val="nil"/>
          <w:bar w:val="nil"/>
        </w:pBdr>
        <w:spacing w:before="0" w:after="240"/>
        <w:rPr>
          <w:rFonts w:eastAsia="Arial Unicode MS"/>
          <w:noProof/>
        </w:rPr>
      </w:pPr>
      <w:r>
        <w:rPr>
          <w:noProof/>
        </w:rPr>
        <w:t>Предложението се счита за пропорционално, тъй като в него се предвиждат необходимите правни промени, без да се надхвърлят границите на необходимото за постигане на целта за премахване на правната несигурност, породена от оттеглянето на Обединеното кралство от Съюза. В него се предвиждат необходимите правни изменения, за да се запази конкурентоспособността на знамената на държавите членки от ЕС-27.</w:t>
      </w:r>
    </w:p>
    <w:p>
      <w:pPr>
        <w:pStyle w:val="ManualHeading2"/>
        <w:rPr>
          <w:rFonts w:eastAsia="Arial Unicode MS"/>
          <w:noProof/>
          <w:u w:color="000000"/>
          <w:bdr w:val="nil"/>
        </w:rPr>
      </w:pPr>
      <w:r>
        <w:rPr>
          <w:noProof/>
        </w:rPr>
        <w:t>•</w:t>
      </w:r>
      <w:r>
        <w:rPr>
          <w:noProof/>
        </w:rPr>
        <w:tab/>
        <w:t>Избор на инструмент</w:t>
      </w:r>
    </w:p>
    <w:p>
      <w:pPr>
        <w:pBdr>
          <w:top w:val="nil"/>
          <w:left w:val="nil"/>
          <w:bottom w:val="nil"/>
          <w:right w:val="nil"/>
          <w:between w:val="nil"/>
          <w:bar w:val="nil"/>
        </w:pBdr>
        <w:spacing w:before="0" w:after="240"/>
        <w:rPr>
          <w:rFonts w:eastAsia="Arial Unicode MS"/>
          <w:noProof/>
        </w:rPr>
      </w:pPr>
      <w:r>
        <w:rPr>
          <w:noProof/>
        </w:rPr>
        <w:t>Като се има предвид, че със законодателния акт се изменя регламент на Европейския парламент и на Съвета, предложеното изменение е единствената подходяща форма.</w:t>
      </w:r>
    </w:p>
    <w:p>
      <w:pPr>
        <w:pStyle w:val="ManualHeading1"/>
        <w:rPr>
          <w:noProof/>
        </w:rPr>
      </w:pPr>
      <w:r>
        <w:rPr>
          <w:noProof/>
        </w:rPr>
        <w:t>3.</w:t>
      </w:r>
      <w:r>
        <w:rPr>
          <w:noProof/>
        </w:rPr>
        <w:tab/>
        <w:t>РЕЗУЛТАТИ ОТ ПОСЛЕДВАЩИТЕ ОЦЕНКИ, КОНСУЛТАЦИИТЕ СЪС ЗАИНТЕРЕСОВАНИТЕ СТРАНИ И ОЦЕНКИТЕ НА ВЪЗДЕЙСТВИЕТО</w:t>
      </w:r>
    </w:p>
    <w:p>
      <w:pPr>
        <w:pStyle w:val="ManualHeading2"/>
        <w:rPr>
          <w:rFonts w:eastAsia="Arial Unicode MS"/>
          <w:noProof/>
          <w:u w:color="000000"/>
          <w:bdr w:val="nil"/>
        </w:rPr>
      </w:pPr>
      <w:r>
        <w:rPr>
          <w:noProof/>
        </w:rPr>
        <w:t>•</w:t>
      </w:r>
      <w:r>
        <w:rPr>
          <w:noProof/>
        </w:rPr>
        <w:tab/>
        <w:t>Последващи оценки/проверки за пригодност на съществуващото законодателство</w:t>
      </w:r>
    </w:p>
    <w:p>
      <w:pPr>
        <w:pBdr>
          <w:top w:val="nil"/>
          <w:left w:val="nil"/>
          <w:bottom w:val="nil"/>
          <w:right w:val="nil"/>
          <w:between w:val="nil"/>
          <w:bar w:val="nil"/>
        </w:pBdr>
        <w:spacing w:before="0" w:after="240"/>
        <w:rPr>
          <w:rFonts w:eastAsia="Arial Unicode MS"/>
          <w:noProof/>
        </w:rPr>
      </w:pPr>
      <w:r>
        <w:rPr>
          <w:noProof/>
        </w:rPr>
        <w:t>Не се прилага.</w:t>
      </w:r>
    </w:p>
    <w:p>
      <w:pPr>
        <w:pStyle w:val="ManualHeading2"/>
        <w:rPr>
          <w:rFonts w:eastAsia="Arial Unicode MS"/>
          <w:noProof/>
          <w:u w:color="000000"/>
          <w:bdr w:val="nil"/>
        </w:rPr>
      </w:pPr>
      <w:r>
        <w:rPr>
          <w:noProof/>
        </w:rPr>
        <w:t>•</w:t>
      </w:r>
      <w:r>
        <w:rPr>
          <w:noProof/>
        </w:rPr>
        <w:tab/>
        <w:t>Консултации със заинтересованите страни</w:t>
      </w:r>
    </w:p>
    <w:p>
      <w:pPr>
        <w:pBdr>
          <w:top w:val="nil"/>
          <w:left w:val="nil"/>
          <w:bottom w:val="nil"/>
          <w:right w:val="nil"/>
          <w:between w:val="nil"/>
          <w:bar w:val="nil"/>
        </w:pBdr>
        <w:spacing w:before="0" w:after="240"/>
        <w:rPr>
          <w:noProof/>
        </w:rPr>
      </w:pPr>
      <w:r>
        <w:rPr>
          <w:noProof/>
        </w:rPr>
        <w:t>Проблемите по отношение на процеса на повторно оценяване, свързани с оттеглянето на Обединеното кралство от Съюза, са сведени до знанието на заинтересованите страни чрез известие на Комисията относно морския транспорт</w:t>
      </w:r>
      <w:r>
        <w:rPr>
          <w:rStyle w:val="FootnoteReference"/>
          <w:noProof/>
        </w:rPr>
        <w:footnoteReference w:id="2"/>
      </w:r>
      <w:r>
        <w:rPr>
          <w:noProof/>
        </w:rPr>
        <w:t>.</w:t>
      </w:r>
    </w:p>
    <w:p>
      <w:pPr>
        <w:pBdr>
          <w:top w:val="nil"/>
          <w:left w:val="nil"/>
          <w:bottom w:val="nil"/>
          <w:right w:val="nil"/>
          <w:between w:val="nil"/>
          <w:bar w:val="nil"/>
        </w:pBdr>
        <w:spacing w:before="0" w:after="240"/>
        <w:rPr>
          <w:noProof/>
        </w:rPr>
      </w:pPr>
      <w:r>
        <w:rPr>
          <w:noProof/>
        </w:rPr>
        <w:t>За период от две седмици на засегнатите заинтересовани страни и на държавите членки беше дадена възможност да предоставят обратна информация относно предложената инициатива посредством портала на Европейската комисия за по-добро регулиране („Кажете си думата“).</w:t>
      </w:r>
    </w:p>
    <w:p>
      <w:pPr>
        <w:pBdr>
          <w:top w:val="nil"/>
          <w:left w:val="nil"/>
          <w:bottom w:val="nil"/>
          <w:right w:val="nil"/>
          <w:between w:val="nil"/>
          <w:bar w:val="nil"/>
        </w:pBdr>
        <w:spacing w:before="0" w:after="240"/>
        <w:rPr>
          <w:noProof/>
        </w:rPr>
      </w:pPr>
      <w:r>
        <w:rPr>
          <w:noProof/>
        </w:rPr>
        <w:t>През периода за обратна връзка от 28 юни до 12 юли 2018 г. коментари представи една заинтересована страна. Намерението да се създаде по-голяма правна сигурност и яснота посредством предложената инициатива и да се запази конкурентоспособността на корабособствениците от ЕС-27 като цяло беше оценено положително. Предоставената обратна информация беше счетена за уместна и взета предвид при подготовката на предложението.</w:t>
      </w:r>
    </w:p>
    <w:p>
      <w:pPr>
        <w:pStyle w:val="ManualHeading2"/>
        <w:rPr>
          <w:rFonts w:eastAsia="Arial Unicode MS"/>
          <w:noProof/>
          <w:u w:color="000000"/>
          <w:bdr w:val="nil"/>
        </w:rPr>
      </w:pPr>
      <w:r>
        <w:rPr>
          <w:noProof/>
        </w:rPr>
        <w:t>•</w:t>
      </w:r>
      <w:r>
        <w:rPr>
          <w:noProof/>
        </w:rPr>
        <w:tab/>
        <w:t>Събиране и използване на експертни становища</w:t>
      </w:r>
    </w:p>
    <w:p>
      <w:pPr>
        <w:pBdr>
          <w:top w:val="nil"/>
          <w:left w:val="nil"/>
          <w:bottom w:val="nil"/>
          <w:right w:val="nil"/>
          <w:between w:val="nil"/>
          <w:bar w:val="nil"/>
        </w:pBdr>
        <w:spacing w:before="0" w:after="240"/>
        <w:rPr>
          <w:rFonts w:eastAsia="Arial Unicode MS"/>
          <w:noProof/>
        </w:rPr>
      </w:pPr>
      <w:r>
        <w:rPr>
          <w:noProof/>
        </w:rPr>
        <w:t>Обратна информация, както и технически експертен опит бяха събрани от заинтересованите страни и държавите членки, както и от Европейската агенция за морска безопасност. Предложението също така беше подкрепено от правен анализ на последиците в областта на политиката относно признатите организации, предизвикани от оттеглянето на Обединеното кралство.</w:t>
      </w:r>
    </w:p>
    <w:p>
      <w:pPr>
        <w:pStyle w:val="ManualHeading2"/>
        <w:rPr>
          <w:rFonts w:eastAsia="Arial Unicode MS"/>
          <w:noProof/>
          <w:u w:color="000000"/>
          <w:bdr w:val="nil"/>
        </w:rPr>
      </w:pPr>
      <w:r>
        <w:rPr>
          <w:noProof/>
        </w:rPr>
        <w:t>•</w:t>
      </w:r>
      <w:r>
        <w:rPr>
          <w:noProof/>
        </w:rPr>
        <w:tab/>
        <w:t>Оценка на въздействието</w:t>
      </w:r>
    </w:p>
    <w:p>
      <w:pPr>
        <w:pBdr>
          <w:top w:val="nil"/>
          <w:left w:val="nil"/>
          <w:bottom w:val="nil"/>
          <w:right w:val="nil"/>
          <w:between w:val="nil"/>
          <w:bar w:val="nil"/>
        </w:pBdr>
        <w:spacing w:before="0" w:after="240"/>
        <w:rPr>
          <w:rFonts w:eastAsia="Arial Unicode MS"/>
          <w:noProof/>
        </w:rPr>
      </w:pPr>
      <w:r>
        <w:rPr>
          <w:noProof/>
        </w:rPr>
        <w:t>Съгласно насоките за по-добро регулиране оценка на въздействието не е необходима, тъй като предвидената мярка не се очаква да окаже значително въздействие и няма други съществено отличаващи се варианти на политиката, с изключение на предложения.</w:t>
      </w:r>
    </w:p>
    <w:p>
      <w:pPr>
        <w:pStyle w:val="ManualHeading2"/>
        <w:rPr>
          <w:rFonts w:eastAsia="Arial Unicode MS"/>
          <w:noProof/>
          <w:u w:color="000000"/>
          <w:bdr w:val="nil"/>
        </w:rPr>
      </w:pPr>
      <w:r>
        <w:rPr>
          <w:noProof/>
        </w:rPr>
        <w:t>•</w:t>
      </w:r>
      <w:r>
        <w:rPr>
          <w:noProof/>
        </w:rPr>
        <w:tab/>
        <w:t>Основни права</w:t>
      </w:r>
    </w:p>
    <w:p>
      <w:pPr>
        <w:pBdr>
          <w:top w:val="nil"/>
          <w:left w:val="nil"/>
          <w:bottom w:val="nil"/>
          <w:right w:val="nil"/>
          <w:between w:val="nil"/>
          <w:bar w:val="nil"/>
        </w:pBdr>
        <w:spacing w:before="0" w:after="240"/>
        <w:rPr>
          <w:rFonts w:eastAsia="Arial Unicode MS"/>
          <w:noProof/>
        </w:rPr>
      </w:pPr>
      <w:r>
        <w:rPr>
          <w:noProof/>
        </w:rPr>
        <w:t>Това предложение не оказва въздействие върху защитата на основните права.</w:t>
      </w:r>
    </w:p>
    <w:p>
      <w:pPr>
        <w:pStyle w:val="ManualHeading1"/>
        <w:rPr>
          <w:noProof/>
        </w:rPr>
      </w:pPr>
      <w:r>
        <w:rPr>
          <w:noProof/>
        </w:rPr>
        <w:t>4.</w:t>
      </w:r>
      <w:r>
        <w:rPr>
          <w:noProof/>
        </w:rPr>
        <w:tab/>
        <w:t>ОТРАЖЕНИЕ ВЪРХУ БЮДЖЕТА</w:t>
      </w:r>
    </w:p>
    <w:p>
      <w:pPr>
        <w:pBdr>
          <w:top w:val="nil"/>
          <w:left w:val="nil"/>
          <w:bottom w:val="nil"/>
          <w:right w:val="nil"/>
          <w:between w:val="nil"/>
          <w:bar w:val="nil"/>
        </w:pBdr>
        <w:spacing w:before="0" w:after="240"/>
        <w:rPr>
          <w:rFonts w:eastAsia="Arial Unicode MS"/>
          <w:noProof/>
        </w:rPr>
      </w:pPr>
      <w:r>
        <w:rPr>
          <w:noProof/>
        </w:rPr>
        <w:t>Не се прилага.</w:t>
      </w:r>
    </w:p>
    <w:p>
      <w:pPr>
        <w:pStyle w:val="ManualHeading1"/>
        <w:rPr>
          <w:noProof/>
        </w:rPr>
      </w:pPr>
      <w:r>
        <w:rPr>
          <w:noProof/>
        </w:rPr>
        <w:t>5.</w:t>
      </w:r>
      <w:r>
        <w:rPr>
          <w:noProof/>
        </w:rPr>
        <w:tab/>
        <w:t>ДРУГИ ЕЛЕМЕНТИ</w:t>
      </w:r>
    </w:p>
    <w:p>
      <w:pPr>
        <w:pStyle w:val="ManualHeading2"/>
        <w:rPr>
          <w:rFonts w:eastAsia="Arial Unicode MS"/>
          <w:noProof/>
          <w:u w:color="000000"/>
          <w:bdr w:val="nil"/>
        </w:rPr>
      </w:pPr>
      <w:r>
        <w:rPr>
          <w:noProof/>
        </w:rPr>
        <w:t>•</w:t>
      </w:r>
      <w:r>
        <w:rPr>
          <w:noProof/>
        </w:rPr>
        <w:tab/>
        <w:t>Планове за изпълнение и механизъм за мониторинг, оценка и докладване</w:t>
      </w:r>
    </w:p>
    <w:p>
      <w:pPr>
        <w:pBdr>
          <w:top w:val="nil"/>
          <w:left w:val="nil"/>
          <w:bottom w:val="nil"/>
          <w:right w:val="nil"/>
          <w:between w:val="nil"/>
          <w:bar w:val="nil"/>
        </w:pBdr>
        <w:spacing w:before="0" w:after="240"/>
      </w:pPr>
      <w:r>
        <w:rPr>
          <w:noProof/>
        </w:rPr>
        <w:t>С цел да се оцени дали настоящата инициатива е постигнала гореупоменатата цел без да се създават никакви нежелани последици за конкуренцията, в член 2 от предложението беше включена клауза за преглед.</w:t>
      </w:r>
    </w:p>
    <w:p>
      <w:pPr>
        <w:pStyle w:val="ManualHeading2"/>
        <w:rPr>
          <w:rFonts w:eastAsia="Arial Unicode MS"/>
          <w:noProof/>
          <w:u w:color="000000"/>
          <w:bdr w:val="nil"/>
        </w:rPr>
      </w:pPr>
      <w:r>
        <w:rPr>
          <w:noProof/>
        </w:rPr>
        <w:t>•</w:t>
      </w:r>
      <w:r>
        <w:rPr>
          <w:noProof/>
        </w:rPr>
        <w:tab/>
        <w:t>Подробни разяснения на отделните разпоредби на предложението</w:t>
      </w:r>
    </w:p>
    <w:p>
      <w:pPr>
        <w:pBdr>
          <w:top w:val="nil"/>
          <w:left w:val="nil"/>
          <w:bottom w:val="nil"/>
          <w:right w:val="nil"/>
          <w:between w:val="nil"/>
          <w:bar w:val="nil"/>
        </w:pBdr>
        <w:spacing w:before="0" w:after="240"/>
        <w:rPr>
          <w:noProof/>
        </w:rPr>
      </w:pPr>
      <w:r>
        <w:rPr>
          <w:noProof/>
        </w:rPr>
        <w:t>Предложението има за цел да реши проблема с правната несигурност, породена от оттеглянето на Обединеното кралство, по отношение на продължаващата валидност на признаването на организациите, за които Обединеното кралство се явява държава членка „спонсор“, участваща в оценката, извършвана от Комисията. Това ще позволи продължаването на съществуващите договорености между тези организации и държавите членки от ЕС-27, които са подписали споразумения за упълномощаване, като така се дава възможност на тези организации да провеждат проверки и прегледи на кораби от името на държавите членки, поддържайки непрекъсна безопасност.</w:t>
      </w:r>
    </w:p>
    <w:p>
      <w:pPr>
        <w:pBdr>
          <w:top w:val="nil"/>
          <w:left w:val="nil"/>
          <w:bottom w:val="nil"/>
          <w:right w:val="nil"/>
          <w:between w:val="nil"/>
          <w:bar w:val="nil"/>
        </w:pBdr>
        <w:spacing w:before="0" w:after="240"/>
        <w:rPr>
          <w:noProof/>
        </w:rPr>
      </w:pPr>
      <w:r>
        <w:rPr>
          <w:noProof/>
        </w:rPr>
        <w:t>С предложената законодателна мярка ще се измени член 8, параграф 1 от регламента, като се замени в момента действащото изискване, съгласно което само държавата членка „спонсор“ участва в процеса на редовна оценка, извършвана от Комисията, като се въведе участието на която и да е държава членка, която е упълномощила една от признатите организации. Това ще позволи оценката да се извършва от Комисията съвместно с всяка държава членка, която е упълномощила съответната призната организация да действа от нейно име за целите на член 3, параграф 2 от Директива 2009/15/ЕО</w:t>
      </w:r>
      <w:r>
        <w:rPr>
          <w:rStyle w:val="FootnoteReference"/>
          <w:noProof/>
        </w:rPr>
        <w:footnoteReference w:id="3"/>
      </w:r>
      <w:r>
        <w:rPr>
          <w:noProof/>
        </w:rPr>
        <w:t>, а не само държавата членка „спонсор“.</w:t>
      </w:r>
    </w:p>
    <w:p>
      <w:pPr>
        <w:pBdr>
          <w:top w:val="nil"/>
          <w:left w:val="nil"/>
          <w:bottom w:val="nil"/>
          <w:right w:val="nil"/>
          <w:between w:val="nil"/>
          <w:bar w:val="nil"/>
        </w:pBdr>
        <w:spacing w:before="0" w:after="240"/>
        <w:rPr>
          <w:noProof/>
        </w:rPr>
      </w:pPr>
      <w:r>
        <w:rPr>
          <w:noProof/>
        </w:rPr>
        <w:t>Горното решение беше избрано като най-ефективния и ефикасен начин за справяне с правната несигурност, създадена в областта на признатите организации от оттеглянето на Обединеното кралство. Предложеният законодателен акт ще реши проблема с тази правна несигурност по недискриминационен начин за държавите членки, които са упълномощили признати организации да действат от тяхно име.</w:t>
      </w:r>
    </w:p>
    <w:p>
      <w:pPr>
        <w:pBdr>
          <w:top w:val="nil"/>
          <w:left w:val="nil"/>
          <w:bottom w:val="nil"/>
          <w:right w:val="nil"/>
          <w:between w:val="nil"/>
          <w:bar w:val="nil"/>
        </w:pBdr>
        <w:spacing w:before="0" w:after="240"/>
        <w:rPr>
          <w:noProof/>
        </w:rPr>
      </w:pPr>
      <w:r>
        <w:rPr>
          <w:noProof/>
        </w:rPr>
        <w:t xml:space="preserve">В допълнение, предложението постига целта за съхраняване на непрекъснатостта на стопанската дейност и на конкурентоспособността на знамената на държавите членки от ЕС-27, работещи със засегнатите организации. </w:t>
      </w:r>
    </w:p>
    <w:p>
      <w:pPr>
        <w:pBdr>
          <w:top w:val="nil"/>
          <w:left w:val="nil"/>
          <w:bottom w:val="nil"/>
          <w:right w:val="nil"/>
          <w:between w:val="nil"/>
          <w:bar w:val="nil"/>
        </w:pBdr>
        <w:spacing w:before="0" w:after="240"/>
      </w:pPr>
      <w:r>
        <w:rPr>
          <w:noProof/>
        </w:rPr>
        <w:t>Регламентът следва само да коригира потенциалните неблагоприятни последици за знамената на 27-те държави членки, предизвикани от оттеглянето на Обединеното кралство от Съюза. Комисията следва да докладва за неговото въздействие след изтичането на достатъчен период на прилагане, по-специално с оглед на установяването на последици, които може да надхвърлят обхвата на настоящия регламент.</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2018/0298 (COD)</w:t>
      </w:r>
    </w:p>
    <w:p>
      <w:pPr>
        <w:pStyle w:val="Statut"/>
        <w:rPr>
          <w:noProof/>
        </w:rPr>
      </w:pPr>
      <w:r>
        <w:rPr>
          <w:noProof/>
        </w:rPr>
        <w:t>Предложение за</w:t>
      </w:r>
    </w:p>
    <w:p>
      <w:pPr>
        <w:pStyle w:val="Typedudocument"/>
        <w:rPr>
          <w:noProof/>
        </w:rPr>
      </w:pPr>
      <w:r>
        <w:rPr>
          <w:noProof/>
        </w:rPr>
        <w:t>РЕГЛАМЕНТ НА ЕВРОПЕЙСКИЯ ПАРЛАМЕНТ И НА СЪВЕТА</w:t>
      </w:r>
    </w:p>
    <w:p>
      <w:pPr>
        <w:pStyle w:val="Titreobjet"/>
        <w:rPr>
          <w:noProof/>
        </w:rPr>
      </w:pPr>
      <w:r>
        <w:rPr>
          <w:noProof/>
        </w:rPr>
        <w:t>за изменение на Регламент (ЕО) № 391/2009 с оглед на оттеглянето на Обединеното кралство от Съюза</w:t>
      </w:r>
    </w:p>
    <w:p>
      <w:pPr>
        <w:pStyle w:val="IntrtEEE"/>
        <w:rPr>
          <w:noProof/>
        </w:rPr>
      </w:pPr>
      <w:r>
        <w:rPr>
          <w:noProof/>
        </w:rPr>
        <w:t>(текст от значение за ЕИП)</w:t>
      </w:r>
    </w:p>
    <w:p>
      <w:pPr>
        <w:pStyle w:val="Institutionquiagit"/>
        <w:rPr>
          <w:noProof/>
        </w:rPr>
      </w:pPr>
      <w:r>
        <w:rPr>
          <w:noProof/>
        </w:rPr>
        <w:t>ЕВРОПЕЙСКИЯТ ПАРЛАМЕНТ И СЪВЕТЪТ НА ЕВРОПЕЙСКИЯ СЪЮЗ,</w:t>
      </w:r>
    </w:p>
    <w:p>
      <w:pPr>
        <w:rPr>
          <w:noProof/>
        </w:rPr>
      </w:pPr>
      <w:r>
        <w:rPr>
          <w:noProof/>
        </w:rPr>
        <w:t>като взеха предвид Договора за функционирането на Европейския съюз, и по-специално член 100, параграф 2 от него,</w:t>
      </w:r>
    </w:p>
    <w:p>
      <w:pPr>
        <w:rPr>
          <w:noProof/>
        </w:rPr>
      </w:pPr>
      <w:r>
        <w:rPr>
          <w:noProof/>
        </w:rPr>
        <w:t>като взеха предвид предложението на Европейската комисия,</w:t>
      </w:r>
    </w:p>
    <w:p>
      <w:pPr>
        <w:rPr>
          <w:noProof/>
        </w:rPr>
      </w:pPr>
      <w:r>
        <w:rPr>
          <w:noProof/>
        </w:rPr>
        <w:t>след предаване на проекта на законодателния акт на националните парламенти,</w:t>
      </w:r>
    </w:p>
    <w:p>
      <w:pPr>
        <w:rPr>
          <w:noProof/>
        </w:rPr>
      </w:pPr>
      <w:r>
        <w:rPr>
          <w:noProof/>
        </w:rPr>
        <w:t>като взеха предвид становището на Европейския икономически и социален комитет</w:t>
      </w:r>
      <w:r>
        <w:rPr>
          <w:rStyle w:val="FootnoteReference"/>
          <w:noProof/>
        </w:rPr>
        <w:footnoteReference w:id="4"/>
      </w:r>
      <w:r>
        <w:rPr>
          <w:noProof/>
        </w:rPr>
        <w:t>,</w:t>
      </w:r>
    </w:p>
    <w:p>
      <w:pPr>
        <w:rPr>
          <w:noProof/>
        </w:rPr>
      </w:pPr>
      <w:r>
        <w:rPr>
          <w:noProof/>
        </w:rPr>
        <w:t>като взеха предвид становището на Комитета на регионите</w:t>
      </w:r>
      <w:r>
        <w:rPr>
          <w:rStyle w:val="FootnoteReference"/>
          <w:noProof/>
        </w:rPr>
        <w:footnoteReference w:id="5"/>
      </w:r>
      <w:r>
        <w:rPr>
          <w:noProof/>
        </w:rPr>
        <w:t>,</w:t>
      </w:r>
    </w:p>
    <w:p>
      <w:pPr>
        <w:rPr>
          <w:noProof/>
        </w:rPr>
      </w:pPr>
      <w:r>
        <w:rPr>
          <w:noProof/>
        </w:rPr>
        <w:t>действайки в съответствие с обикновената законодателна процедура,</w:t>
      </w:r>
    </w:p>
    <w:p>
      <w:pPr>
        <w:rPr>
          <w:noProof/>
        </w:rPr>
      </w:pPr>
      <w:r>
        <w:rPr>
          <w:noProof/>
        </w:rPr>
        <w:t>като имат предвид, че:</w:t>
      </w:r>
    </w:p>
    <w:p>
      <w:pPr>
        <w:pStyle w:val="ManualConsidrant"/>
        <w:rPr>
          <w:noProof/>
        </w:rPr>
      </w:pPr>
      <w:r>
        <w:t>(1)</w:t>
      </w:r>
      <w:r>
        <w:tab/>
      </w:r>
      <w:r>
        <w:rPr>
          <w:noProof/>
        </w:rPr>
        <w:t>На 29 март 2017 г. Обединеното кралство уведоми Европейския съвет за намерението си да се оттегли от Съюза по силата на член 50 от Договора за Европейския съюз. Това означава, че ако не бъде определена друга дата посредством ратифицирано споразумение за оттегляне или ако Европейският съвет, в споразумение с Обединеното кралство, не определи с единодушие друга дата, правото на Съюза ще престане да се прилага в Обединеното кралство от 30 март 2019 г. Тогава Обединеното кралство ще се превърне в трета държава ЕС.</w:t>
      </w:r>
    </w:p>
    <w:p>
      <w:pPr>
        <w:pStyle w:val="ManualConsidrant"/>
        <w:rPr>
          <w:noProof/>
        </w:rPr>
      </w:pPr>
      <w:r>
        <w:t>(2)</w:t>
      </w:r>
      <w:r>
        <w:tab/>
      </w:r>
      <w:r>
        <w:rPr>
          <w:noProof/>
        </w:rPr>
        <w:t>Регламент (ЕО) № 391/2009</w:t>
      </w:r>
      <w:r>
        <w:rPr>
          <w:rStyle w:val="FootnoteReference"/>
          <w:noProof/>
        </w:rPr>
        <w:footnoteReference w:id="6"/>
      </w:r>
      <w:r>
        <w:rPr>
          <w:noProof/>
        </w:rPr>
        <w:t xml:space="preserve"> и Директива № 2009/15/ЕО на Европейския парламент и на Съвета</w:t>
      </w:r>
      <w:r>
        <w:rPr>
          <w:rStyle w:val="FootnoteReference"/>
          <w:noProof/>
        </w:rPr>
        <w:footnoteReference w:id="7"/>
      </w:r>
      <w:r>
        <w:rPr>
          <w:noProof/>
        </w:rPr>
        <w:t xml:space="preserve"> заедно съставляват регулаторната рамка за дейностите на признатите организации за проверка, прегледи и освидетелстване.</w:t>
      </w:r>
    </w:p>
    <w:p>
      <w:pPr>
        <w:pStyle w:val="ManualConsidrant"/>
        <w:rPr>
          <w:noProof/>
        </w:rPr>
      </w:pPr>
      <w:r>
        <w:t>(3)</w:t>
      </w:r>
      <w:r>
        <w:tab/>
      </w:r>
      <w:r>
        <w:rPr>
          <w:noProof/>
        </w:rPr>
        <w:t>В съответствие с член 8, параграф 1 от Регламент (ЕО) № 391/2009 организациите за проверка и преглед на кораби, признати от Комисията на равнище Съюз („признатите организации“) трябва да се оценяват редовно и най-малко на всеки две години от Комисията съвместно с държавата членка, която е представила съответното искане за признаване на организацията.</w:t>
      </w:r>
    </w:p>
    <w:p>
      <w:pPr>
        <w:pStyle w:val="ManualConsidrant"/>
        <w:rPr>
          <w:noProof/>
        </w:rPr>
      </w:pPr>
      <w:r>
        <w:t>(4)</w:t>
      </w:r>
      <w:r>
        <w:tab/>
      </w:r>
      <w:r>
        <w:rPr>
          <w:noProof/>
        </w:rPr>
        <w:t>От съображения за равно третиране, организациите, които първоначално са били признати от съответната държава членка в съответствие с Директива 94/57/ЕО на Съвета</w:t>
      </w:r>
      <w:r>
        <w:rPr>
          <w:rStyle w:val="FootnoteReference"/>
          <w:noProof/>
        </w:rPr>
        <w:footnoteReference w:id="8"/>
      </w:r>
      <w:r>
        <w:rPr>
          <w:noProof/>
        </w:rPr>
        <w:t xml:space="preserve"> и понастоящем се ползват от признаването на Съюза съгласно член 15, параграф 1 от Регламент (ЕО) № 391/2009, следва да се оценяват от Комисията съвместно с държавата членка, която първоначално е признала тези организации.</w:t>
      </w:r>
    </w:p>
    <w:p>
      <w:pPr>
        <w:pStyle w:val="ManualConsidrant"/>
        <w:rPr>
          <w:noProof/>
        </w:rPr>
      </w:pPr>
      <w:r>
        <w:t>(5)</w:t>
      </w:r>
      <w:r>
        <w:tab/>
      </w:r>
      <w:r>
        <w:rPr>
          <w:noProof/>
        </w:rPr>
        <w:t>В съответствие с членове 7 и 8 от Регламент (ЕО) № 391/2009, за да продължат да се ползват от признаването на Съюза, признатите организации трябва да продължат да отговарят на изискванията и минималните критерии, определени в приложение I към същия регламент. Това се проверява чрез непрекъснати оценки, извършвани от Комисията съвместно със съответната държава членка, в съответствие с член 8, параграф 1 от Регламент (ЕО) № 391/2009. Поради това, редовните оценки играят важна роля за продължаване на признаването на организациите.</w:t>
      </w:r>
    </w:p>
    <w:p>
      <w:pPr>
        <w:pStyle w:val="ManualConsidrant"/>
        <w:rPr>
          <w:noProof/>
        </w:rPr>
      </w:pPr>
      <w:r>
        <w:t>(6)</w:t>
      </w:r>
      <w:r>
        <w:tab/>
      </w:r>
      <w:r>
        <w:rPr>
          <w:noProof/>
        </w:rPr>
        <w:t>След оттеглянето си от Съюза Обединеното кралство повече няма да може да участва в оценките, извършвани съгласно член 8, параграф 1 от Регламент (ЕО) № 391/2009.</w:t>
      </w:r>
    </w:p>
    <w:p>
      <w:pPr>
        <w:pStyle w:val="ManualConsidrant"/>
        <w:rPr>
          <w:noProof/>
        </w:rPr>
      </w:pPr>
      <w:r>
        <w:t>(7)</w:t>
      </w:r>
      <w:r>
        <w:tab/>
      </w:r>
      <w:r>
        <w:rPr>
          <w:noProof/>
        </w:rPr>
        <w:t>Признатите организации, които първоначално са били признати от Обединеното кралство в момента се ползват от признаването на Съюза, като другите държави членки са им поверили задължения във връзка с проверката, прегледа и освидетелстването на кораби в съответствие с член 3, параграф 2 от Директива 2009/15/ЕО</w:t>
      </w:r>
      <w:r>
        <w:rPr>
          <w:noProof/>
          <w:color w:val="FF0000"/>
        </w:rPr>
        <w:t xml:space="preserve">. </w:t>
      </w:r>
      <w:r>
        <w:rPr>
          <w:noProof/>
        </w:rPr>
        <w:t>Поради това член 8, параграф 1 от Регламент (ЕО) № 391/2009 е необходимо да се измени, за да се гарантира, че тези организации ще продължат да бъдат предмет на оценка в съответствие с изискванията, предвидени в същата разпоредба.</w:t>
      </w:r>
    </w:p>
    <w:p>
      <w:pPr>
        <w:pStyle w:val="ManualConsidrant"/>
        <w:rPr>
          <w:noProof/>
        </w:rPr>
      </w:pPr>
      <w:r>
        <w:t>(8)</w:t>
      </w:r>
      <w:r>
        <w:tab/>
      </w:r>
      <w:r>
        <w:rPr>
          <w:noProof/>
        </w:rPr>
        <w:t>Също така е необходимо да се вземат под внимание задълженията за мониторинг и за надзор, които понастоящем държавите членки трябва да изпълняват съгласно член 9 от Директива 2009/15/ЕО. В това отношение оценката на признатите организации съгласно Регламент (ЕО) № 391/2009 следва да бъде извършвана от Комисията съвместно с държавата членка или държавите членки, които са упълномощили съответната призната организация в съответствие с член 3, параграф 2 на Директива 2009/15/ЕО.</w:t>
      </w:r>
    </w:p>
    <w:p>
      <w:pPr>
        <w:pStyle w:val="ManualConsidrant"/>
        <w:rPr>
          <w:noProof/>
        </w:rPr>
      </w:pPr>
      <w:r>
        <w:t>(9)</w:t>
      </w:r>
      <w:r>
        <w:tab/>
      </w:r>
      <w:r>
        <w:rPr>
          <w:noProof/>
        </w:rPr>
        <w:t>Настоящият регламент следва да се прилага от деня, непосредствено след този, на който правото на Съюза, и по-специално Регламент (ЕО) № 391/2009, престават да се прилагат в Обединеното кралство,</w:t>
      </w:r>
    </w:p>
    <w:p>
      <w:pPr>
        <w:pStyle w:val="Formuledadoption"/>
        <w:rPr>
          <w:noProof/>
        </w:rPr>
      </w:pPr>
      <w:r>
        <w:rPr>
          <w:noProof/>
        </w:rPr>
        <w:t>ПРИЕХА НАСТОЯЩИЯ РЕГЛАМЕНТ:</w:t>
      </w:r>
    </w:p>
    <w:p>
      <w:pPr>
        <w:pStyle w:val="Titrearticle"/>
        <w:rPr>
          <w:noProof/>
        </w:rPr>
      </w:pPr>
      <w:r>
        <w:rPr>
          <w:noProof/>
        </w:rPr>
        <w:t>Член 1</w:t>
      </w:r>
    </w:p>
    <w:p>
      <w:pPr>
        <w:rPr>
          <w:noProof/>
        </w:rPr>
      </w:pPr>
      <w:r>
        <w:rPr>
          <w:noProof/>
        </w:rPr>
        <w:t>Член 8, параграф 1 от Регламент (ЕО) № 391/2009 се заменя със следното:</w:t>
      </w:r>
    </w:p>
    <w:p>
      <w:pPr>
        <w:rPr>
          <w:noProof/>
        </w:rPr>
      </w:pPr>
      <w:r>
        <w:rPr>
          <w:noProof/>
        </w:rPr>
        <w:t>„1. Всички признати организации се оценяват редовно и най-малко на всеки две години от Комисията съвместно с държавите членки, които са ги упълномощили в съответствие с член 3, параграф 2 от Директива 2009/15/ЕО, за да се провери дали изпълняват задълженията по настоящия регламент и дали изпълняват минималните критерии, установени в приложение I. Оценяването се ограничава до тези дейности на признатите организации, които попадат в приложното поле на настоящия регламент.“</w:t>
      </w:r>
    </w:p>
    <w:p>
      <w:pPr>
        <w:pStyle w:val="Titrearticle"/>
        <w:rPr>
          <w:noProof/>
        </w:rPr>
      </w:pPr>
      <w:r>
        <w:rPr>
          <w:noProof/>
        </w:rPr>
        <w:t>Член 2</w:t>
      </w:r>
    </w:p>
    <w:p>
      <w:pPr>
        <w:rPr>
          <w:noProof/>
        </w:rPr>
      </w:pPr>
      <w:r>
        <w:rPr>
          <w:noProof/>
        </w:rPr>
        <w:t>Комисията докладва на Европейския парламент и на Съвета относно въздействието на настоящия регламент не по-късно от три години след датата на прилагането му.</w:t>
      </w:r>
    </w:p>
    <w:p>
      <w:pPr>
        <w:pStyle w:val="Titrearticle"/>
        <w:rPr>
          <w:noProof/>
        </w:rPr>
      </w:pPr>
      <w:r>
        <w:rPr>
          <w:noProof/>
        </w:rPr>
        <w:t>Член 3</w:t>
      </w:r>
    </w:p>
    <w:p>
      <w:pPr>
        <w:rPr>
          <w:noProof/>
        </w:rPr>
      </w:pPr>
      <w:r>
        <w:rPr>
          <w:noProof/>
        </w:rPr>
        <w:t xml:space="preserve">Настоящият регламент влиза в сила на двадесетия ден след деня на публикуването му в </w:t>
      </w:r>
      <w:r>
        <w:rPr>
          <w:i/>
          <w:noProof/>
        </w:rPr>
        <w:t>Официален вестник на Европейския съюз</w:t>
      </w:r>
      <w:r>
        <w:rPr>
          <w:noProof/>
        </w:rPr>
        <w:t>.</w:t>
      </w:r>
    </w:p>
    <w:p>
      <w:pPr>
        <w:pStyle w:val="Applicationdirecte"/>
        <w:rPr>
          <w:noProof/>
        </w:rPr>
      </w:pPr>
      <w:r>
        <w:rPr>
          <w:noProof/>
        </w:rPr>
        <w:t>Той се прилага от деня, непосредствено след този, на който правото на Съюза престава да се прилага в Обединеното кралство.</w:t>
      </w:r>
    </w:p>
    <w:p>
      <w:pPr>
        <w:pStyle w:val="Applicationdirecte"/>
        <w:rPr>
          <w:noProof/>
        </w:rPr>
      </w:pPr>
      <w:r>
        <w:rPr>
          <w:noProof/>
        </w:rPr>
        <w:t>Настоящият регламент е задължителен в своята цялост и се прилага пряко във всички държави членки.</w:t>
      </w:r>
    </w:p>
    <w:p>
      <w:pPr>
        <w:pStyle w:val="Fait"/>
        <w:rPr>
          <w:noProof/>
        </w:rPr>
      </w:pPr>
      <w:r>
        <w:t xml:space="preserve">Съставено в Брюксел на </w:t>
      </w:r>
      <w:r>
        <w:rPr>
          <w:rStyle w:val="Marker"/>
        </w:rPr>
        <w:t>[…]</w:t>
      </w:r>
      <w:r>
        <w:t xml:space="preserve"> година.</w:t>
      </w:r>
    </w:p>
    <w:p>
      <w:pPr>
        <w:pStyle w:val="Institutionquisigne"/>
        <w:rPr>
          <w:noProof/>
        </w:rPr>
      </w:pPr>
      <w:r>
        <w:rPr>
          <w:noProof/>
        </w:rPr>
        <w:t>За Европейския парламент</w:t>
      </w:r>
      <w:r>
        <w:rPr>
          <w:noProof/>
        </w:rPr>
        <w:tab/>
        <w:t>За Съвета</w:t>
      </w:r>
    </w:p>
    <w:p>
      <w:pPr>
        <w:pStyle w:val="Personnequisigne"/>
        <w:rPr>
          <w:noProof/>
        </w:rPr>
      </w:pPr>
      <w:r>
        <w:rPr>
          <w:noProof/>
        </w:rPr>
        <w:t>Председател</w:t>
      </w:r>
      <w:r>
        <w:rPr>
          <w:noProof/>
        </w:rPr>
        <w:tab/>
        <w:t>Председател</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BG</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BG</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142" w:hanging="142"/>
      </w:pPr>
      <w:r>
        <w:rPr>
          <w:rStyle w:val="FootnoteReference"/>
        </w:rPr>
        <w:footnoteRef/>
      </w:r>
      <w:r>
        <w:tab/>
        <w:t>Регламент (ЕО) № 391/2009 на Европейския парламент и на Съвета от 23 април 2009 г. относно общи правила и стандарти за организациите за проверка и преглед на кораби (ОВ L 131, 28.5.2009 г., стр. 11).</w:t>
      </w:r>
    </w:p>
  </w:footnote>
  <w:footnote w:id="2">
    <w:p>
      <w:pPr>
        <w:pStyle w:val="FootnoteText"/>
      </w:pPr>
      <w:r>
        <w:rPr>
          <w:rStyle w:val="FootnoteReference"/>
        </w:rPr>
        <w:footnoteRef/>
      </w:r>
      <w:r>
        <w:tab/>
        <w:t>„Известие до заинтересованите страни — Оттеглянето на Обединеното кралство и правилата на ЕС в областта на морския транспорт“,</w:t>
      </w:r>
    </w:p>
    <w:p>
      <w:pPr>
        <w:pStyle w:val="FootnoteText"/>
      </w:pPr>
      <w:hyperlink r:id="rId1">
        <w:r>
          <w:rPr>
            <w:rStyle w:val="Hyperlink"/>
          </w:rPr>
          <w:t>https://ec.europa.eu/transport/sites/transport/files/legislation/brexit-notice-to-stakeholders-maritime-transport.pdf</w:t>
        </w:r>
      </w:hyperlink>
    </w:p>
  </w:footnote>
  <w:footnote w:id="3">
    <w:p>
      <w:pPr>
        <w:pStyle w:val="FootnoteText"/>
        <w:ind w:left="142" w:hanging="142"/>
      </w:pPr>
      <w:r>
        <w:rPr>
          <w:rStyle w:val="FootnoteReference"/>
        </w:rPr>
        <w:footnoteRef/>
      </w:r>
      <w:r>
        <w:tab/>
        <w:t>Директива 2009/15/ЕО на Европейския парламент и на Съвета от 23 април 2009 г. относно общите правила и стандарти за организациите за проверка и преглед на кораби и за съответните дейности на морските администрации (ОВ L 131, 28.5.2009 г., стр. 47).</w:t>
      </w:r>
    </w:p>
  </w:footnote>
  <w:footnote w:id="4">
    <w:p>
      <w:pPr>
        <w:pStyle w:val="FootnoteText"/>
      </w:pPr>
      <w:r>
        <w:rPr>
          <w:rStyle w:val="FootnoteReference"/>
        </w:rPr>
        <w:footnoteRef/>
      </w:r>
      <w:r>
        <w:tab/>
        <w:t>ОВ C ,  г., стр. .</w:t>
      </w:r>
    </w:p>
  </w:footnote>
  <w:footnote w:id="5">
    <w:p>
      <w:pPr>
        <w:pStyle w:val="FootnoteText"/>
      </w:pPr>
      <w:r>
        <w:rPr>
          <w:rStyle w:val="FootnoteReference"/>
        </w:rPr>
        <w:footnoteRef/>
      </w:r>
      <w:r>
        <w:tab/>
        <w:t>ОВ C ,  г., стр. .</w:t>
      </w:r>
    </w:p>
  </w:footnote>
  <w:footnote w:id="6">
    <w:p>
      <w:pPr>
        <w:pStyle w:val="FootnoteText"/>
        <w:ind w:left="142" w:hanging="142"/>
      </w:pPr>
      <w:r>
        <w:rPr>
          <w:rStyle w:val="FootnoteReference"/>
        </w:rPr>
        <w:footnoteRef/>
      </w:r>
      <w:r>
        <w:tab/>
        <w:t>Регламент (ЕО) № 391/2009 на Европейския парламент и на Съвета от 23 април 2009 г. относно общи правила и стандарти за организациите за проверка и преглед на кораби (ОВ L 131, 28.5.2009 г., стр. 11).</w:t>
      </w:r>
    </w:p>
  </w:footnote>
  <w:footnote w:id="7">
    <w:p>
      <w:pPr>
        <w:pStyle w:val="FootnoteText"/>
        <w:ind w:left="142" w:hanging="142"/>
      </w:pPr>
      <w:r>
        <w:rPr>
          <w:rStyle w:val="FootnoteReference"/>
        </w:rPr>
        <w:footnoteRef/>
      </w:r>
      <w:r>
        <w:tab/>
        <w:t>Директива 2009/15/ЕО на Европейския парламент и на Съвета от 23 април 2009 г. относно общите правила и стандарти за организациите за проверка и преглед на кораби и за съответните дейности на морските администрации (ОВ L 131, 28.5.2009 г., стр. 47).</w:t>
      </w:r>
    </w:p>
  </w:footnote>
  <w:footnote w:id="8">
    <w:p>
      <w:pPr>
        <w:pStyle w:val="FootnoteText"/>
      </w:pPr>
      <w:r>
        <w:rPr>
          <w:rStyle w:val="FootnoteReference"/>
        </w:rPr>
        <w:footnoteRef/>
      </w:r>
      <w:r>
        <w:tab/>
        <w:t>Директива 94/57/ЕО на Съвета от 22 ноември 1994 г. относно общи правила и стандарти за оправомощените организации за инспектиране и преглед на кораби и за съответните действия на морските администрации (ОВ L 319, 12.12.1994 г., стр. 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5AA10F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69A6B64"/>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6F688"/>
    <w:lvl w:ilvl="0">
      <w:start w:val="1"/>
      <w:numFmt w:val="decimal"/>
      <w:pStyle w:val="ListNumber2"/>
      <w:lvlText w:val="%1."/>
      <w:lvlJc w:val="left"/>
      <w:pPr>
        <w:tabs>
          <w:tab w:val="num" w:pos="643"/>
        </w:tabs>
        <w:ind w:left="643" w:hanging="360"/>
      </w:pPr>
    </w:lvl>
  </w:abstractNum>
  <w:abstractNum w:abstractNumId="3">
    <w:nsid w:val="FFFFFF81"/>
    <w:multiLevelType w:val="singleLevel"/>
    <w:tmpl w:val="C26E78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9A0C52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50ABE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51EE214"/>
    <w:lvl w:ilvl="0">
      <w:start w:val="1"/>
      <w:numFmt w:val="decimal"/>
      <w:pStyle w:val="ListNumber"/>
      <w:lvlText w:val="%1."/>
      <w:lvlJc w:val="left"/>
      <w:pPr>
        <w:tabs>
          <w:tab w:val="num" w:pos="360"/>
        </w:tabs>
        <w:ind w:left="360" w:hanging="360"/>
      </w:pPr>
    </w:lvl>
  </w:abstractNum>
  <w:abstractNum w:abstractNumId="7">
    <w:nsid w:val="FFFFFF89"/>
    <w:multiLevelType w:val="singleLevel"/>
    <w:tmpl w:val="BBD8E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7-26 07:24:4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E70DCBF3-1752-43CF-AF60-C4F18B357381"/>
    <w:docVar w:name="LW_COVERPAGE_TYPE" w:val="1"/>
    <w:docVar w:name="LW_CROSSREFERENCE" w:val="&lt;UNUSED&gt;"/>
    <w:docVar w:name="LW_DocType" w:val="COM"/>
    <w:docVar w:name="LW_EMISSION" w:val="1.8.2018"/>
    <w:docVar w:name="LW_EMISSION_ISODATE" w:val="2018-08-01"/>
    <w:docVar w:name="LW_EMISSION_LOCATION" w:val="BRX"/>
    <w:docVar w:name="LW_EMISSION_PREFIX" w:val="Брюксел,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u1090?\u1077?\u1082?\u1089?\u1090? \u1086?\u1090? \u1079?\u1085?\u1072?\u1095?\u1077?\u1085?\u1080?\u1077? \u1079?\u1072? \u1045?\u1048?\u1055?)"/>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I.NEW.CP" w:val="COD"/>
    <w:docVar w:name="LW_REF.II.NEW.CP_NUMBER" w:val="0298"/>
    <w:docVar w:name="LW_REF.II.NEW.CP_YEAR" w:val="2018"/>
    <w:docVar w:name="LW_REF.INST.NEW" w:val="COM"/>
    <w:docVar w:name="LW_REF.INST.NEW_ADOPTED" w:val="final"/>
    <w:docVar w:name="LW_REF.INST.NEW_TEXT" w:val="(2018) 5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u1055?\u1088?\u1077?\u1076?\u1083?\u1086?\u1078?\u1077?\u1085?\u1080?\u1077? \u1079?\u1072?"/>
    <w:docVar w:name="LW_SUPERTITRE" w:val="&lt;UNUSED&gt;"/>
    <w:docVar w:name="LW_TITRE.OBJ.CP" w:val="\u1079?\u1072? \u1080?\u1079?\u1084?\u1077?\u1085?\u1077?\u1085?\u1080?\u1077? \u1085?\u1072? \u1056?\u1077?\u1075?\u1083?\u1072?\u1084?\u1077?\u1085?\u1090? (\u1045?\u1054?) \u8470? 391/2009 \u1089? \u1086?\u1075?\u1083?\u1077?\u1076? \u1085?\u1072? \u1086?\u1090?\u1090?\u1077?\u1075?\u1083?\u1103?\u1085?\u1077?\u1090?\u1086? \u1085?\u1072? \u1054?\u1073?\u1077?\u1076?\u1080?\u1085?\u1077?\u1085?\u1086?\u1090?\u1086? \u1082?\u1088?\u1072?\u1083?\u1089?\u1090?\u1074?\u1086? \u1086?\u1090? \u1057?\u1098?\u1102?\u1079?\u1072?"/>
    <w:docVar w:name="LW_TYPE.DOC.CP" w:val="\u1056?\u1045?\u1043?\u1051?\u1040?\u1052?\u1045?\u1053?\u1058? \u1053?\u1040? \u1045?\u1042?\u1056?\u1054?\u1055?\u1045?\u1049?\u1057?\u1050?\u1048?\u1071? \u1055?\u1040?\u1056?\u1051?\u1040?\u1052?\u1045?\u1053?\u1058? \u1048? \u1053?\u1040? \u1057?\u1066?\u1042?\u1045?\u1058?\u1040?"/>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bg-BG" w:bidi="bg-BG"/>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bg-BG"/>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bg-BG"/>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bg-BG" w:bidi="bg-BG"/>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bg-BG"/>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bg-BG"/>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62506">
      <w:bodyDiv w:val="1"/>
      <w:marLeft w:val="0"/>
      <w:marRight w:val="0"/>
      <w:marTop w:val="0"/>
      <w:marBottom w:val="0"/>
      <w:divBdr>
        <w:top w:val="none" w:sz="0" w:space="0" w:color="auto"/>
        <w:left w:val="none" w:sz="0" w:space="0" w:color="auto"/>
        <w:bottom w:val="none" w:sz="0" w:space="0" w:color="auto"/>
        <w:right w:val="none" w:sz="0" w:space="0" w:color="auto"/>
      </w:divBdr>
    </w:div>
    <w:div w:id="1565723284">
      <w:bodyDiv w:val="1"/>
      <w:marLeft w:val="0"/>
      <w:marRight w:val="0"/>
      <w:marTop w:val="0"/>
      <w:marBottom w:val="0"/>
      <w:divBdr>
        <w:top w:val="none" w:sz="0" w:space="0" w:color="auto"/>
        <w:left w:val="none" w:sz="0" w:space="0" w:color="auto"/>
        <w:bottom w:val="none" w:sz="0" w:space="0" w:color="auto"/>
        <w:right w:val="none" w:sz="0" w:space="0" w:color="auto"/>
      </w:divBdr>
    </w:div>
    <w:div w:id="178287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ransport/sites/transport/files/legislation/brexit-notice-to-stakeholders-maritime-trans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F2C45-2F16-4977-8187-823508FA0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2185</Words>
  <Characters>13045</Characters>
  <Application>Microsoft Office Word</Application>
  <DocSecurity>0</DocSecurity>
  <Lines>241</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2018-07-05T08:30:00Z</cp:lastPrinted>
  <dcterms:created xsi:type="dcterms:W3CDTF">2018-07-25T08:59:00Z</dcterms:created>
  <dcterms:modified xsi:type="dcterms:W3CDTF">2018-07-26T05:24:00Z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