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03" w:rsidRDefault="00D43464">
      <w:pPr>
        <w:pStyle w:val="Pagedecouverture"/>
        <w:rPr>
          <w:noProof/>
        </w:rPr>
      </w:pPr>
      <w:bookmarkStart w:id="0" w:name="LW_BM_COVERPAGE"/>
      <w:bookmarkStart w:id="1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85525D5A-AD12-4760-BDD1-3B7874A78325" style="width:450.6pt;height:333.95pt">
            <v:imagedata r:id="rId9" o:title=""/>
          </v:shape>
        </w:pict>
      </w:r>
      <w:bookmarkEnd w:id="1"/>
    </w:p>
    <w:bookmarkEnd w:id="0"/>
    <w:p w:rsidR="004C6503" w:rsidRDefault="004C6503">
      <w:pPr>
        <w:pStyle w:val="Pagedecouverture"/>
        <w:rPr>
          <w:noProof/>
        </w:rPr>
        <w:sectPr w:rsidR="004C650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4C6503" w:rsidRDefault="00D43464">
      <w:pPr>
        <w:pStyle w:val="Heading1"/>
        <w:rPr>
          <w:rFonts w:cs="Times New Roman"/>
          <w:noProof/>
          <w:szCs w:val="24"/>
        </w:rPr>
      </w:pPr>
      <w:r>
        <w:rPr>
          <w:noProof/>
        </w:rPr>
        <w:lastRenderedPageBreak/>
        <w:t>Въведение</w:t>
      </w:r>
    </w:p>
    <w:p w:rsidR="004C6503" w:rsidRDefault="00D43464">
      <w:pPr>
        <w:jc w:val="both"/>
        <w:rPr>
          <w:rFonts w:cs="Times New Roman"/>
          <w:noProof/>
          <w:szCs w:val="24"/>
        </w:rPr>
      </w:pPr>
      <w:r>
        <w:rPr>
          <w:noProof/>
        </w:rPr>
        <w:t xml:space="preserve">Преходът към </w:t>
      </w:r>
      <w:r>
        <w:rPr>
          <w:b/>
          <w:noProof/>
        </w:rPr>
        <w:t>кръгова икономика</w:t>
      </w:r>
      <w:r>
        <w:rPr>
          <w:noProof/>
        </w:rPr>
        <w:t xml:space="preserve"> представлява огромна </w:t>
      </w:r>
      <w:r>
        <w:rPr>
          <w:b/>
          <w:noProof/>
        </w:rPr>
        <w:t>възможност</w:t>
      </w:r>
      <w:r>
        <w:rPr>
          <w:noProof/>
        </w:rPr>
        <w:t xml:space="preserve"> да трансформираме нашата икономика и да я направим </w:t>
      </w:r>
      <w:r>
        <w:rPr>
          <w:b/>
          <w:noProof/>
        </w:rPr>
        <w:t>по-устойчива</w:t>
      </w:r>
      <w:r>
        <w:rPr>
          <w:noProof/>
        </w:rPr>
        <w:t xml:space="preserve">, да допринесем за </w:t>
      </w:r>
      <w:r>
        <w:rPr>
          <w:b/>
          <w:noProof/>
        </w:rPr>
        <w:t>целите, отнасящи се до климата</w:t>
      </w:r>
      <w:r>
        <w:rPr>
          <w:noProof/>
        </w:rPr>
        <w:t xml:space="preserve"> и за </w:t>
      </w:r>
      <w:r>
        <w:rPr>
          <w:b/>
          <w:noProof/>
        </w:rPr>
        <w:t>съхраняването на световните ресурси</w:t>
      </w:r>
      <w:r>
        <w:rPr>
          <w:noProof/>
        </w:rPr>
        <w:t xml:space="preserve">, да създадем </w:t>
      </w:r>
      <w:r>
        <w:rPr>
          <w:b/>
          <w:noProof/>
        </w:rPr>
        <w:t>местни работни места</w:t>
      </w:r>
      <w:r>
        <w:rPr>
          <w:noProof/>
        </w:rPr>
        <w:t xml:space="preserve"> и да развием </w:t>
      </w:r>
      <w:r>
        <w:rPr>
          <w:b/>
          <w:noProof/>
        </w:rPr>
        <w:t>конкурентни предимства</w:t>
      </w:r>
      <w:r>
        <w:rPr>
          <w:noProof/>
        </w:rPr>
        <w:t xml:space="preserve"> за Европа в един свят на извършващи се </w:t>
      </w:r>
      <w:r>
        <w:rPr>
          <w:b/>
          <w:noProof/>
        </w:rPr>
        <w:t>дълбоки промени</w:t>
      </w:r>
      <w:r>
        <w:rPr>
          <w:noProof/>
        </w:rPr>
        <w:t>. Значението на кръговата икономика за ев</w:t>
      </w:r>
      <w:r>
        <w:rPr>
          <w:noProof/>
        </w:rPr>
        <w:t>ропейската индустрия бе изтъкната неотдавна в обновената стратегия на ЕС за индустриалната политика</w:t>
      </w:r>
      <w:r>
        <w:rPr>
          <w:rStyle w:val="FootnoteReference"/>
          <w:noProof/>
        </w:rPr>
        <w:footnoteReference w:id="1"/>
      </w:r>
      <w:r>
        <w:rPr>
          <w:noProof/>
        </w:rPr>
        <w:t>. Преходът към кръгова икономика ще помогне също така за изпълнението на целите, поставени в Програмата  за устойчиво развитие до 2030 г.</w:t>
      </w:r>
      <w:r>
        <w:rPr>
          <w:rStyle w:val="FootnoteReference"/>
          <w:noProof/>
        </w:rPr>
        <w:footnoteReference w:id="2"/>
      </w:r>
      <w:r>
        <w:rPr>
          <w:noProof/>
        </w:rPr>
        <w:t>.</w:t>
      </w:r>
    </w:p>
    <w:p w:rsidR="004C6503" w:rsidRDefault="00D43464">
      <w:pPr>
        <w:jc w:val="both"/>
        <w:rPr>
          <w:rFonts w:cs="Times New Roman"/>
          <w:noProof/>
          <w:szCs w:val="24"/>
        </w:rPr>
      </w:pPr>
      <w:r>
        <w:rPr>
          <w:noProof/>
        </w:rPr>
        <w:t>В плана за дейст</w:t>
      </w:r>
      <w:r>
        <w:rPr>
          <w:noProof/>
        </w:rPr>
        <w:t>вие за кръговата икономика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 е обяснено, че кръговата икономика е икономика „</w:t>
      </w:r>
      <w:r>
        <w:rPr>
          <w:i/>
          <w:noProof/>
        </w:rPr>
        <w:t>при която стойността на стоките, материалите и ресурсите се запазва възможно най-дълго в икономиката, а генерирането на отпадъци е сведено до минимум“</w:t>
      </w:r>
      <w:r>
        <w:rPr>
          <w:noProof/>
        </w:rPr>
        <w:t>.</w:t>
      </w:r>
    </w:p>
    <w:p w:rsidR="004C6503" w:rsidRDefault="00D43464">
      <w:pPr>
        <w:jc w:val="both"/>
        <w:rPr>
          <w:rFonts w:cs="Times New Roman"/>
          <w:noProof/>
          <w:szCs w:val="24"/>
        </w:rPr>
      </w:pPr>
      <w:r>
        <w:rPr>
          <w:noProof/>
        </w:rPr>
        <w:t>При прехода към по-кръгова и</w:t>
      </w:r>
      <w:r>
        <w:rPr>
          <w:noProof/>
        </w:rPr>
        <w:t xml:space="preserve">кономика наблюдението на основните тенденции и закономерности е основно средство за </w:t>
      </w:r>
      <w:r>
        <w:rPr>
          <w:b/>
          <w:noProof/>
        </w:rPr>
        <w:t>разбирането</w:t>
      </w:r>
      <w:r>
        <w:rPr>
          <w:noProof/>
        </w:rPr>
        <w:t xml:space="preserve"> на начина, по който различните елементи на кръговата икономика се развиват във времето, за </w:t>
      </w:r>
      <w:r>
        <w:rPr>
          <w:b/>
          <w:noProof/>
        </w:rPr>
        <w:t>идентифицирането на факторите за успех</w:t>
      </w:r>
      <w:r>
        <w:rPr>
          <w:noProof/>
        </w:rPr>
        <w:t xml:space="preserve"> в държавите членки и за прецен</w:t>
      </w:r>
      <w:r>
        <w:rPr>
          <w:noProof/>
        </w:rPr>
        <w:t xml:space="preserve">ката дали са предприети достатъчни действия. Резултатите от наблюдението следва да създават основа за </w:t>
      </w:r>
      <w:r>
        <w:rPr>
          <w:b/>
          <w:noProof/>
        </w:rPr>
        <w:t>определянето на нови приоритети, насочени към дългосрочната цел за кръгова икономика</w:t>
      </w:r>
      <w:r>
        <w:rPr>
          <w:noProof/>
        </w:rPr>
        <w:t>. Те не само са важни за създателите на политики, а следва да вдъхновя</w:t>
      </w:r>
      <w:r>
        <w:rPr>
          <w:noProof/>
        </w:rPr>
        <w:t xml:space="preserve">ват всички и да водят до предприемането на нови действия. </w:t>
      </w:r>
    </w:p>
    <w:p w:rsidR="004C6503" w:rsidRDefault="00D43464">
      <w:pPr>
        <w:jc w:val="both"/>
        <w:rPr>
          <w:rFonts w:cs="Times New Roman"/>
          <w:noProof/>
          <w:szCs w:val="24"/>
        </w:rPr>
      </w:pPr>
      <w:r>
        <w:rPr>
          <w:noProof/>
        </w:rPr>
        <w:t>Затова в плана за действие за кръговата икономика Комисията пое ангажимент да представи опростена и ефективна рамка за мониторинг.  Този подход бе потвърден в заключенията на Съвета на ЕС относно п</w:t>
      </w:r>
      <w:r>
        <w:rPr>
          <w:noProof/>
        </w:rPr>
        <w:t>лана за действие за кръговата икономика</w:t>
      </w:r>
      <w:r>
        <w:rPr>
          <w:rStyle w:val="FootnoteReference"/>
          <w:noProof/>
        </w:rPr>
        <w:footnoteReference w:id="4"/>
      </w:r>
      <w:r>
        <w:rPr>
          <w:noProof/>
        </w:rPr>
        <w:t>, където е подчертана „</w:t>
      </w:r>
      <w:r>
        <w:rPr>
          <w:i/>
          <w:noProof/>
        </w:rPr>
        <w:t>необходимостта от рамка за мониторинг, която съдейства за укрепването и оценяването на напредъка към кръгова икономика, и същевременно свежда административната тежест до минимум</w:t>
      </w:r>
      <w:r>
        <w:rPr>
          <w:noProof/>
        </w:rPr>
        <w:t xml:space="preserve">“. Европейският </w:t>
      </w:r>
      <w:r>
        <w:rPr>
          <w:noProof/>
        </w:rPr>
        <w:t>парламент също призова Комисията да разработи показатели за ефективност на ресурсите с оглед проследяването на напредъка към кръгова икономика</w:t>
      </w:r>
      <w:r>
        <w:rPr>
          <w:rStyle w:val="FootnoteReference"/>
          <w:noProof/>
        </w:rPr>
        <w:footnoteReference w:id="5"/>
      </w:r>
      <w:r>
        <w:rPr>
          <w:noProof/>
        </w:rPr>
        <w:t>.</w:t>
      </w:r>
    </w:p>
    <w:p w:rsidR="004C6503" w:rsidRDefault="00D43464">
      <w:pPr>
        <w:jc w:val="both"/>
        <w:rPr>
          <w:rFonts w:cs="Times New Roman"/>
          <w:noProof/>
          <w:szCs w:val="24"/>
        </w:rPr>
      </w:pPr>
      <w:r>
        <w:rPr>
          <w:noProof/>
        </w:rPr>
        <w:t>Настоящото съобщение изпълнява посочения ангажимент, предлагайки рамка за мониторинг, съставена от набор от клю</w:t>
      </w:r>
      <w:r>
        <w:rPr>
          <w:noProof/>
        </w:rPr>
        <w:t xml:space="preserve">чови, съдържателни показатели, които отразяват основните елементи на кръговата икономика. </w:t>
      </w:r>
    </w:p>
    <w:p w:rsidR="004C6503" w:rsidRDefault="00D43464">
      <w:pPr>
        <w:jc w:val="both"/>
        <w:rPr>
          <w:rFonts w:cs="Times New Roman"/>
          <w:noProof/>
          <w:szCs w:val="24"/>
        </w:rPr>
      </w:pPr>
      <w:r>
        <w:rPr>
          <w:noProof/>
        </w:rPr>
        <w:lastRenderedPageBreak/>
        <w:t>Рамката за мониторинг на кръговата икономика използва и допълва съществуващите индекси за ефективност на ресурсите</w:t>
      </w:r>
      <w:r>
        <w:rPr>
          <w:rStyle w:val="FootnoteReference"/>
          <w:noProof/>
        </w:rPr>
        <w:footnoteReference w:id="6"/>
      </w:r>
      <w:r>
        <w:rPr>
          <w:noProof/>
        </w:rPr>
        <w:t xml:space="preserve"> и за суровините</w:t>
      </w:r>
      <w:r>
        <w:rPr>
          <w:rStyle w:val="FootnoteReference"/>
          <w:noProof/>
        </w:rPr>
        <w:footnoteReference w:id="7"/>
      </w:r>
      <w:r>
        <w:rPr>
          <w:noProof/>
        </w:rPr>
        <w:t>, които бяха разработени от Комис</w:t>
      </w:r>
      <w:r>
        <w:rPr>
          <w:noProof/>
        </w:rPr>
        <w:t xml:space="preserve">ията през последните години. Рамката е представена на </w:t>
      </w:r>
      <w:r>
        <w:rPr>
          <w:b/>
          <w:noProof/>
        </w:rPr>
        <w:t>уебсайт</w:t>
      </w:r>
      <w:r>
        <w:rPr>
          <w:rStyle w:val="FootnoteReference"/>
          <w:noProof/>
        </w:rPr>
        <w:footnoteReference w:id="8"/>
      </w:r>
      <w:r>
        <w:rPr>
          <w:noProof/>
        </w:rPr>
        <w:t>, където всички показатели са достъпни и стойностите им ще бъдат редовно актуализирани.</w:t>
      </w:r>
    </w:p>
    <w:p w:rsidR="004C6503" w:rsidRDefault="00D43464">
      <w:pPr>
        <w:pStyle w:val="Heading1"/>
        <w:rPr>
          <w:rFonts w:cs="Times New Roman"/>
          <w:noProof/>
          <w:szCs w:val="24"/>
        </w:rPr>
      </w:pPr>
      <w:r>
        <w:rPr>
          <w:noProof/>
        </w:rPr>
        <w:t>Мониторинг на напредъка към кръгова икономика</w:t>
      </w:r>
    </w:p>
    <w:p w:rsidR="004C6503" w:rsidRDefault="00D43464">
      <w:pPr>
        <w:jc w:val="both"/>
        <w:rPr>
          <w:rFonts w:cs="Times New Roman"/>
          <w:noProof/>
          <w:szCs w:val="24"/>
        </w:rPr>
      </w:pPr>
      <w:r>
        <w:rPr>
          <w:b/>
          <w:noProof/>
        </w:rPr>
        <w:t xml:space="preserve">Мониторингът на напредъка към кръгова икономика е трудна </w:t>
      </w:r>
      <w:r>
        <w:rPr>
          <w:b/>
          <w:noProof/>
        </w:rPr>
        <w:t>задача</w:t>
      </w:r>
      <w:r>
        <w:rPr>
          <w:noProof/>
        </w:rPr>
        <w:t>. Преходът към кръгова икономика не е ограничен до определени материали или сектори. Той представлява системна промяна, която засяга цялата икономика и обхваща всички продукти и услуги. В идеалния случай, показателите следва на първо място да отразяв</w:t>
      </w:r>
      <w:r>
        <w:rPr>
          <w:noProof/>
        </w:rPr>
        <w:t>ат тенденциите в запазването на икономическата стойност на продуктите, материалите и ресурсите, както и тенденциите в генерирането на отпадъци.</w:t>
      </w:r>
    </w:p>
    <w:p w:rsidR="004C6503" w:rsidRDefault="00D43464">
      <w:pPr>
        <w:jc w:val="both"/>
        <w:rPr>
          <w:rFonts w:cs="Times New Roman"/>
          <w:noProof/>
          <w:szCs w:val="24"/>
        </w:rPr>
      </w:pPr>
      <w:r>
        <w:rPr>
          <w:noProof/>
        </w:rPr>
        <w:t>Освен липсата на единен, общоприет показател за „кръгово движение“, измежду съществуващите показатели не са мног</w:t>
      </w:r>
      <w:r>
        <w:rPr>
          <w:noProof/>
        </w:rPr>
        <w:t xml:space="preserve">о тези, които могат надеждно да опишат най-важните тенденции. Един отделен показател или индекс не е в състояние да отрази правилно сложността и множеството измерения на прехода към кръгова икономика. По тази причина в настоящата рамка за мониторинг ще се </w:t>
      </w:r>
      <w:r>
        <w:rPr>
          <w:noProof/>
        </w:rPr>
        <w:t>използва набор от важни показатели.</w:t>
      </w:r>
    </w:p>
    <w:p w:rsidR="004C6503" w:rsidRDefault="00D43464">
      <w:pPr>
        <w:jc w:val="both"/>
        <w:rPr>
          <w:rFonts w:cs="Times New Roman"/>
          <w:noProof/>
          <w:szCs w:val="24"/>
        </w:rPr>
      </w:pPr>
      <w:r>
        <w:rPr>
          <w:noProof/>
        </w:rPr>
        <w:t xml:space="preserve">Един от начините за описване на кръговата икономика е чрез онагледяване на пътя, по който материалите постъпват в икономиката, протичат през нея и (в крайна сметка) я напускат. Такава визуална представа може да бъде </w:t>
      </w:r>
      <w:r>
        <w:rPr>
          <w:noProof/>
        </w:rPr>
        <w:t xml:space="preserve">получена от диаграма на материалните потоци, показваща преминаването на суровините, сумарно и групирани по категории материали, през цялата икономика — от добива до превръщането им в </w:t>
      </w:r>
      <w:r>
        <w:rPr>
          <w:noProof/>
        </w:rPr>
        <w:lastRenderedPageBreak/>
        <w:t>отпадъци.</w:t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>
            <wp:extent cx="5760720" cy="4332442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3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503" w:rsidRDefault="00D43464">
      <w:pPr>
        <w:pStyle w:val="Figurecaption"/>
        <w:spacing w:after="240"/>
        <w:rPr>
          <w:rFonts w:cs="Times New Roman"/>
          <w:i/>
          <w:noProof/>
          <w:sz w:val="24"/>
          <w:szCs w:val="24"/>
        </w:rPr>
      </w:pPr>
      <w:r>
        <w:rPr>
          <w:i/>
          <w:noProof/>
          <w:sz w:val="24"/>
        </w:rPr>
        <w:t>Фигура 1. Материални потоци в икономиката (ЕС-28, 2014 г.)</w:t>
      </w:r>
      <w:r>
        <w:rPr>
          <w:rStyle w:val="FootnoteReference"/>
          <w:i/>
          <w:noProof/>
        </w:rPr>
        <w:footnoteReference w:id="9"/>
      </w:r>
      <w:r>
        <w:rPr>
          <w:i/>
          <w:noProof/>
          <w:sz w:val="24"/>
          <w:vertAlign w:val="superscript"/>
        </w:rPr>
        <w:t xml:space="preserve">, </w:t>
      </w:r>
      <w:r>
        <w:rPr>
          <w:rStyle w:val="FootnoteReference"/>
          <w:i/>
          <w:noProof/>
        </w:rPr>
        <w:footnoteReference w:id="10"/>
      </w:r>
    </w:p>
    <w:p w:rsidR="004C6503" w:rsidRDefault="00D43464">
      <w:pPr>
        <w:jc w:val="both"/>
        <w:rPr>
          <w:rFonts w:cs="Times New Roman"/>
          <w:noProof/>
          <w:szCs w:val="24"/>
        </w:rPr>
      </w:pPr>
      <w:r>
        <w:rPr>
          <w:b/>
          <w:noProof/>
        </w:rPr>
        <w:t>На фигура 1 е представено общото състояние на материалните потоци в ЕС през 2014 г.</w:t>
      </w:r>
      <w:r>
        <w:rPr>
          <w:noProof/>
        </w:rPr>
        <w:t xml:space="preserve"> На входа вляво е показано, че 8 милиарда тона материали се преработват в енергия или продукти ежегодно в ЕС. Само 0,6 милиарда тона постъпват от рециклиране. На изхода е </w:t>
      </w:r>
      <w:r>
        <w:rPr>
          <w:noProof/>
        </w:rPr>
        <w:t xml:space="preserve">показано, че от 2,2 милиарда тона генерирани отпадъци едва 0,6 милиарда тона постъпват обратно в системата като рециклирани материали. Останалите материали, възлизащи на 1,5 милиарда тона, са отпадъци. Тези аспекти показват наличието на </w:t>
      </w:r>
      <w:r>
        <w:rPr>
          <w:b/>
          <w:noProof/>
        </w:rPr>
        <w:t>значителни възможно</w:t>
      </w:r>
      <w:r>
        <w:rPr>
          <w:b/>
          <w:noProof/>
        </w:rPr>
        <w:t>сти за подобряване</w:t>
      </w:r>
      <w:r>
        <w:rPr>
          <w:noProof/>
        </w:rPr>
        <w:t>, по-конкретно чрез увеличаване на дела на материалите, рециклирани до вторични суровини, и чрез намаляване на производството на отпадъци.</w:t>
      </w:r>
    </w:p>
    <w:p w:rsidR="004C6503" w:rsidRDefault="00D43464">
      <w:pPr>
        <w:jc w:val="both"/>
        <w:rPr>
          <w:rFonts w:cs="Times New Roman"/>
          <w:noProof/>
          <w:szCs w:val="24"/>
        </w:rPr>
      </w:pPr>
      <w:r>
        <w:rPr>
          <w:noProof/>
        </w:rPr>
        <w:t>Целта на рамката за мониторинг е да измерва напредъка към кръгова икономика по начин, който обхваща</w:t>
      </w:r>
      <w:r>
        <w:rPr>
          <w:noProof/>
        </w:rPr>
        <w:t xml:space="preserve"> нейните различни измерения на всички етапи от жизнения цикъл на ресурсите, продуктите и услугите. По тази причина рамката за мониторинг съдържа набор от </w:t>
      </w:r>
      <w:r>
        <w:rPr>
          <w:b/>
          <w:noProof/>
        </w:rPr>
        <w:t>десет показатели</w:t>
      </w:r>
      <w:r>
        <w:rPr>
          <w:noProof/>
        </w:rPr>
        <w:t xml:space="preserve"> (вж. таблица 1), групирани в </w:t>
      </w:r>
      <w:r>
        <w:rPr>
          <w:b/>
          <w:noProof/>
        </w:rPr>
        <w:t>четири етапа и аспекта на кръговата икономика:</w:t>
      </w:r>
      <w:r>
        <w:rPr>
          <w:noProof/>
        </w:rPr>
        <w:t xml:space="preserve"> (1) произ</w:t>
      </w:r>
      <w:r>
        <w:rPr>
          <w:noProof/>
        </w:rPr>
        <w:t>водство и потребление, (2) управление на отпадъците, (3) вторични суровини и (4) конкурентоспособност и иновации. Това групиране следва в общи линии логиката и структурата на плана за действие на кръговата икономика.</w:t>
      </w:r>
    </w:p>
    <w:p w:rsidR="004C6503" w:rsidRDefault="00D43464">
      <w:pPr>
        <w:rPr>
          <w:rFonts w:cs="Times New Roman"/>
          <w:noProof/>
          <w:szCs w:val="24"/>
        </w:rPr>
      </w:pPr>
      <w:r>
        <w:rPr>
          <w:noProof/>
          <w:lang w:eastAsia="en-GB"/>
        </w:rPr>
        <w:drawing>
          <wp:inline distT="0" distB="0" distL="0" distR="0">
            <wp:extent cx="5753100" cy="37052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591"/>
        <w:gridCol w:w="1995"/>
        <w:gridCol w:w="3297"/>
        <w:gridCol w:w="3297"/>
      </w:tblGrid>
      <w:tr w:rsidR="004C6503">
        <w:trPr>
          <w:cantSplit/>
        </w:trPr>
        <w:tc>
          <w:tcPr>
            <w:tcW w:w="591" w:type="dxa"/>
            <w:shd w:val="clear" w:color="auto" w:fill="C4BC96" w:themeFill="background2" w:themeFillShade="BF"/>
          </w:tcPr>
          <w:p w:rsidR="004C6503" w:rsidRDefault="00D43464">
            <w:pPr>
              <w:pStyle w:val="Body"/>
              <w:spacing w:before="40" w:after="40"/>
              <w:rPr>
                <w:rFonts w:ascii="EC Square Sans Cond Pro" w:hAnsi="EC Square Sans Cond Pro" w:cs="Times New Roman"/>
                <w:b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b/>
                <w:noProof/>
                <w:sz w:val="22"/>
              </w:rPr>
              <w:t xml:space="preserve">№ </w:t>
            </w:r>
          </w:p>
        </w:tc>
        <w:tc>
          <w:tcPr>
            <w:tcW w:w="1995" w:type="dxa"/>
            <w:shd w:val="clear" w:color="auto" w:fill="C4BC96" w:themeFill="background2" w:themeFillShade="BF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b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b/>
                <w:noProof/>
                <w:sz w:val="22"/>
              </w:rPr>
              <w:t>Наименование</w:t>
            </w:r>
          </w:p>
        </w:tc>
        <w:tc>
          <w:tcPr>
            <w:tcW w:w="3297" w:type="dxa"/>
            <w:shd w:val="clear" w:color="auto" w:fill="C4BC96" w:themeFill="background2" w:themeFillShade="BF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b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b/>
                <w:noProof/>
                <w:sz w:val="22"/>
              </w:rPr>
              <w:t>Значение</w:t>
            </w:r>
          </w:p>
        </w:tc>
        <w:tc>
          <w:tcPr>
            <w:tcW w:w="3297" w:type="dxa"/>
            <w:shd w:val="clear" w:color="auto" w:fill="C4BC96" w:themeFill="background2" w:themeFillShade="BF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b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b/>
                <w:noProof/>
                <w:sz w:val="22"/>
              </w:rPr>
              <w:t xml:space="preserve">Лостове на </w:t>
            </w:r>
            <w:r>
              <w:rPr>
                <w:rFonts w:ascii="EC Square Sans Cond Pro" w:hAnsi="EC Square Sans Cond Pro"/>
                <w:b/>
                <w:noProof/>
                <w:sz w:val="22"/>
              </w:rPr>
              <w:t>ЕС (примери)</w:t>
            </w:r>
          </w:p>
        </w:tc>
      </w:tr>
      <w:tr w:rsidR="004C6503">
        <w:trPr>
          <w:cantSplit/>
        </w:trPr>
        <w:tc>
          <w:tcPr>
            <w:tcW w:w="9180" w:type="dxa"/>
            <w:gridSpan w:val="4"/>
            <w:shd w:val="clear" w:color="auto" w:fill="EEECE1" w:themeFill="background2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b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b/>
                <w:noProof/>
                <w:sz w:val="22"/>
              </w:rPr>
              <w:t>Производство и потребление</w:t>
            </w:r>
          </w:p>
        </w:tc>
      </w:tr>
      <w:tr w:rsidR="004C6503">
        <w:trPr>
          <w:cantSplit/>
        </w:trPr>
        <w:tc>
          <w:tcPr>
            <w:tcW w:w="591" w:type="dxa"/>
          </w:tcPr>
          <w:p w:rsidR="004C6503" w:rsidRDefault="00D43464">
            <w:pPr>
              <w:pStyle w:val="Body"/>
              <w:spacing w:before="40" w:after="40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1</w:t>
            </w:r>
          </w:p>
        </w:tc>
        <w:tc>
          <w:tcPr>
            <w:tcW w:w="1995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Самодостатъчност на ЕС за суровини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Кръговата икономика следва да способства за преодоляването на рисковете, свързани с доставките на суровини, особено на критичните суровини.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Инициатива за суровините; Пътна карта</w:t>
            </w:r>
            <w:r>
              <w:rPr>
                <w:rFonts w:ascii="EC Square Sans Cond Pro" w:hAnsi="EC Square Sans Cond Pro"/>
                <w:noProof/>
                <w:sz w:val="22"/>
              </w:rPr>
              <w:t xml:space="preserve"> за ефективно използване на ресурсите</w:t>
            </w:r>
          </w:p>
        </w:tc>
      </w:tr>
      <w:tr w:rsidR="004C6503">
        <w:trPr>
          <w:cantSplit/>
        </w:trPr>
        <w:tc>
          <w:tcPr>
            <w:tcW w:w="591" w:type="dxa"/>
          </w:tcPr>
          <w:p w:rsidR="004C6503" w:rsidRDefault="00D43464">
            <w:pPr>
              <w:pStyle w:val="Body"/>
              <w:spacing w:before="40" w:after="40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2</w:t>
            </w:r>
          </w:p>
        </w:tc>
        <w:tc>
          <w:tcPr>
            <w:tcW w:w="1995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Зелени обществени поръчки*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Обществените поръчки заемат голям дял от потреблението и могат да бъдат двигател на кръговата икономика.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Стратегия за обществените поръчки; схеми на ЕС за подпомагане и доброволни критерии</w:t>
            </w:r>
            <w:r>
              <w:rPr>
                <w:rFonts w:ascii="EC Square Sans Cond Pro" w:hAnsi="EC Square Sans Cond Pro"/>
                <w:noProof/>
                <w:sz w:val="22"/>
              </w:rPr>
              <w:t xml:space="preserve"> за зелени обществени поръчки</w:t>
            </w:r>
          </w:p>
        </w:tc>
      </w:tr>
      <w:tr w:rsidR="004C6503">
        <w:trPr>
          <w:cantSplit/>
        </w:trPr>
        <w:tc>
          <w:tcPr>
            <w:tcW w:w="591" w:type="dxa"/>
          </w:tcPr>
          <w:p w:rsidR="004C6503" w:rsidRDefault="00D43464">
            <w:pPr>
              <w:pStyle w:val="Body"/>
              <w:spacing w:before="40" w:after="40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3а-в</w:t>
            </w:r>
          </w:p>
        </w:tc>
        <w:tc>
          <w:tcPr>
            <w:tcW w:w="1995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Генериране на отпадъци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В кръговата икономика генерирането на отпадъци е сведено до минимум.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Рамкова директива относно отпадъците; директиви за конкретни потоци от отпадъци; Стратегия за пластмасите</w:t>
            </w:r>
          </w:p>
        </w:tc>
      </w:tr>
      <w:tr w:rsidR="004C6503">
        <w:trPr>
          <w:cantSplit/>
        </w:trPr>
        <w:tc>
          <w:tcPr>
            <w:tcW w:w="591" w:type="dxa"/>
          </w:tcPr>
          <w:p w:rsidR="004C6503" w:rsidRDefault="00D43464">
            <w:pPr>
              <w:pStyle w:val="Body"/>
              <w:spacing w:before="40" w:after="40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4</w:t>
            </w:r>
          </w:p>
        </w:tc>
        <w:tc>
          <w:tcPr>
            <w:tcW w:w="1995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 xml:space="preserve">Хранителни </w:t>
            </w:r>
            <w:r>
              <w:rPr>
                <w:rFonts w:ascii="EC Square Sans Cond Pro" w:hAnsi="EC Square Sans Cond Pro"/>
                <w:noProof/>
                <w:sz w:val="22"/>
              </w:rPr>
              <w:t>отпадъци*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Изхвърлянето на храни има отрицателни въздействия върху околната среда, климата и икономиката.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Общ регламент относно законодателството в областта на храните; Рамкова директива относно отпадъците; различни инициативи (като например „Платформа на Е</w:t>
            </w:r>
            <w:r>
              <w:rPr>
                <w:rFonts w:ascii="EC Square Sans Cond Pro" w:hAnsi="EC Square Sans Cond Pro"/>
                <w:noProof/>
                <w:sz w:val="22"/>
              </w:rPr>
              <w:t>С относно загубата на храни и хранителните отпадъци“)</w:t>
            </w:r>
          </w:p>
        </w:tc>
      </w:tr>
      <w:tr w:rsidR="004C6503">
        <w:trPr>
          <w:cantSplit/>
        </w:trPr>
        <w:tc>
          <w:tcPr>
            <w:tcW w:w="9180" w:type="dxa"/>
            <w:gridSpan w:val="4"/>
            <w:shd w:val="clear" w:color="auto" w:fill="EEECE1" w:themeFill="background2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b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b/>
                <w:noProof/>
                <w:sz w:val="22"/>
              </w:rPr>
              <w:t>Управление на отпадъците</w:t>
            </w:r>
          </w:p>
        </w:tc>
      </w:tr>
      <w:tr w:rsidR="004C6503">
        <w:trPr>
          <w:cantSplit/>
        </w:trPr>
        <w:tc>
          <w:tcPr>
            <w:tcW w:w="591" w:type="dxa"/>
          </w:tcPr>
          <w:p w:rsidR="004C6503" w:rsidRDefault="00D43464">
            <w:pPr>
              <w:pStyle w:val="Body"/>
              <w:spacing w:before="40" w:after="40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5а-б</w:t>
            </w:r>
          </w:p>
        </w:tc>
        <w:tc>
          <w:tcPr>
            <w:tcW w:w="1995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Общи равнища на рециклиране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Увеличаването на степента на рециклиране е част от прехода към кръгова икономика.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Рамкова директива относно отпадъците</w:t>
            </w:r>
          </w:p>
        </w:tc>
      </w:tr>
      <w:tr w:rsidR="004C6503">
        <w:trPr>
          <w:cantSplit/>
        </w:trPr>
        <w:tc>
          <w:tcPr>
            <w:tcW w:w="591" w:type="dxa"/>
          </w:tcPr>
          <w:p w:rsidR="004C6503" w:rsidRDefault="00D43464">
            <w:pPr>
              <w:pStyle w:val="Body"/>
              <w:spacing w:before="40" w:after="40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6а-е</w:t>
            </w:r>
          </w:p>
        </w:tc>
        <w:tc>
          <w:tcPr>
            <w:tcW w:w="1995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Равнища на рецикл</w:t>
            </w:r>
            <w:r>
              <w:rPr>
                <w:rFonts w:ascii="EC Square Sans Cond Pro" w:hAnsi="EC Square Sans Cond Pro"/>
                <w:noProof/>
                <w:sz w:val="22"/>
              </w:rPr>
              <w:t xml:space="preserve">иране за конкретни потоци от отпадъци. 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Отразява напредъка по отношение на рециклирането на най-важните потоци от отпадъци.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Рамкова директива относно отпадъците; Директива относно депонирането на отпадъци; директиви за конкретни потоци от отпадъци.</w:t>
            </w:r>
          </w:p>
        </w:tc>
      </w:tr>
      <w:tr w:rsidR="004C6503">
        <w:trPr>
          <w:cantSplit/>
        </w:trPr>
        <w:tc>
          <w:tcPr>
            <w:tcW w:w="9180" w:type="dxa"/>
            <w:gridSpan w:val="4"/>
            <w:shd w:val="clear" w:color="auto" w:fill="EEECE1" w:themeFill="background2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b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b/>
                <w:noProof/>
                <w:sz w:val="22"/>
              </w:rPr>
              <w:t>Вторични суровини</w:t>
            </w:r>
          </w:p>
        </w:tc>
      </w:tr>
      <w:tr w:rsidR="004C6503">
        <w:trPr>
          <w:cantSplit/>
        </w:trPr>
        <w:tc>
          <w:tcPr>
            <w:tcW w:w="591" w:type="dxa"/>
          </w:tcPr>
          <w:p w:rsidR="004C6503" w:rsidRDefault="00D43464">
            <w:pPr>
              <w:pStyle w:val="Body"/>
              <w:spacing w:before="40" w:after="40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7а-б</w:t>
            </w:r>
          </w:p>
        </w:tc>
        <w:tc>
          <w:tcPr>
            <w:tcW w:w="1995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Принос на рециклираните материали към търсенето на суровини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В кръговата икономика рециклираните материали редовно се използват за производството на нови продукти.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  <w:highlight w:val="yellow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Рамкова директива относно депонирането на отпадъци; Директива за екод</w:t>
            </w:r>
            <w:r>
              <w:rPr>
                <w:rFonts w:ascii="EC Square Sans Cond Pro" w:hAnsi="EC Square Sans Cond Pro"/>
                <w:noProof/>
                <w:sz w:val="22"/>
              </w:rPr>
              <w:t>изайн; екомаркировка на ЕС; Регламент REACH; инициатива относно взаимодействието между политиките в областта на химикалите, продуктите и отпадъците; стратегия за пластмасите; стандарти за качеството на вторичните суровини</w:t>
            </w:r>
          </w:p>
        </w:tc>
      </w:tr>
      <w:tr w:rsidR="004C6503">
        <w:trPr>
          <w:cantSplit/>
        </w:trPr>
        <w:tc>
          <w:tcPr>
            <w:tcW w:w="591" w:type="dxa"/>
          </w:tcPr>
          <w:p w:rsidR="004C6503" w:rsidRDefault="00D43464">
            <w:pPr>
              <w:pStyle w:val="Body"/>
              <w:spacing w:before="40" w:after="40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8</w:t>
            </w:r>
          </w:p>
        </w:tc>
        <w:tc>
          <w:tcPr>
            <w:tcW w:w="1995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Търговия с рециклируеми суровин</w:t>
            </w:r>
            <w:r>
              <w:rPr>
                <w:rFonts w:ascii="EC Square Sans Cond Pro" w:hAnsi="EC Square Sans Cond Pro"/>
                <w:noProof/>
                <w:sz w:val="22"/>
              </w:rPr>
              <w:t>и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Търговията с рециклируеми суровини отразява важността на вътрешния пазар и глобалното участие в кръговата икономика.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Политика за вътрешния пазар; Регламент за превози на отпадъци; търговска политика</w:t>
            </w:r>
          </w:p>
        </w:tc>
      </w:tr>
      <w:tr w:rsidR="004C6503">
        <w:trPr>
          <w:cantSplit/>
        </w:trPr>
        <w:tc>
          <w:tcPr>
            <w:tcW w:w="9180" w:type="dxa"/>
            <w:gridSpan w:val="4"/>
            <w:shd w:val="clear" w:color="auto" w:fill="EEECE1" w:themeFill="background2"/>
          </w:tcPr>
          <w:p w:rsidR="004C6503" w:rsidRDefault="00D43464">
            <w:pPr>
              <w:pStyle w:val="Body"/>
              <w:spacing w:before="40" w:after="40"/>
              <w:rPr>
                <w:rFonts w:ascii="EC Square Sans Cond Pro" w:hAnsi="EC Square Sans Cond Pro" w:cs="Times New Roman"/>
                <w:b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b/>
                <w:noProof/>
                <w:sz w:val="22"/>
              </w:rPr>
              <w:t>Конкурентоспособност и иновации</w:t>
            </w:r>
          </w:p>
        </w:tc>
      </w:tr>
      <w:tr w:rsidR="004C6503">
        <w:trPr>
          <w:cantSplit/>
        </w:trPr>
        <w:tc>
          <w:tcPr>
            <w:tcW w:w="591" w:type="dxa"/>
          </w:tcPr>
          <w:p w:rsidR="004C6503" w:rsidRDefault="00D43464">
            <w:pPr>
              <w:pStyle w:val="Body"/>
              <w:spacing w:before="40" w:after="40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9а-в</w:t>
            </w:r>
          </w:p>
        </w:tc>
        <w:tc>
          <w:tcPr>
            <w:tcW w:w="1995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 xml:space="preserve">Частни </w:t>
            </w:r>
            <w:r>
              <w:rPr>
                <w:rFonts w:ascii="EC Square Sans Cond Pro" w:hAnsi="EC Square Sans Cond Pro"/>
                <w:noProof/>
                <w:sz w:val="22"/>
              </w:rPr>
              <w:t>инвестиции, работни места и брутна добавена стойност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Отразява приноса на кръговата икономика за създаването на работни места и за растежа.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 xml:space="preserve">План за инвестиции за Европа; Структурни и инвестиционни фондове; Програма InnovFin; Платформа за финансова подкрепа </w:t>
            </w:r>
            <w:r>
              <w:rPr>
                <w:rFonts w:ascii="EC Square Sans Cond Pro" w:hAnsi="EC Square Sans Cond Pro"/>
                <w:noProof/>
                <w:sz w:val="22"/>
              </w:rPr>
              <w:t>на кръговата икономика; Стратегия за устойчиво финансиране; Инициатива за „зелени“ работни места; Нова европейска програма за умения; политика за вътрешния пазар</w:t>
            </w:r>
          </w:p>
        </w:tc>
      </w:tr>
      <w:tr w:rsidR="004C6503">
        <w:trPr>
          <w:cantSplit/>
        </w:trPr>
        <w:tc>
          <w:tcPr>
            <w:tcW w:w="591" w:type="dxa"/>
          </w:tcPr>
          <w:p w:rsidR="004C6503" w:rsidRDefault="00D43464">
            <w:pPr>
              <w:pStyle w:val="Body"/>
              <w:spacing w:before="40" w:after="40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10</w:t>
            </w:r>
          </w:p>
        </w:tc>
        <w:tc>
          <w:tcPr>
            <w:tcW w:w="1995" w:type="dxa"/>
          </w:tcPr>
          <w:p w:rsidR="004C6503" w:rsidRDefault="00D43464">
            <w:pPr>
              <w:pStyle w:val="Body"/>
              <w:spacing w:before="40" w:after="40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 xml:space="preserve">Патенти 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Иновативните технологии, свързани с кръговата икономика, увеличават конкурентоспо</w:t>
            </w:r>
            <w:r>
              <w:rPr>
                <w:rFonts w:ascii="EC Square Sans Cond Pro" w:hAnsi="EC Square Sans Cond Pro"/>
                <w:noProof/>
                <w:sz w:val="22"/>
              </w:rPr>
              <w:t>собността на ЕС в световен мащаб.</w:t>
            </w:r>
          </w:p>
        </w:tc>
        <w:tc>
          <w:tcPr>
            <w:tcW w:w="3297" w:type="dxa"/>
          </w:tcPr>
          <w:p w:rsidR="004C6503" w:rsidRDefault="00D43464">
            <w:pPr>
              <w:pStyle w:val="Body"/>
              <w:spacing w:before="40" w:after="40"/>
              <w:jc w:val="left"/>
              <w:rPr>
                <w:rFonts w:ascii="EC Square Sans Cond Pro" w:hAnsi="EC Square Sans Cond Pro" w:cs="Times New Roman"/>
                <w:noProof/>
                <w:sz w:val="22"/>
                <w:szCs w:val="24"/>
              </w:rPr>
            </w:pPr>
            <w:r>
              <w:rPr>
                <w:rFonts w:ascii="EC Square Sans Cond Pro" w:hAnsi="EC Square Sans Cond Pro"/>
                <w:noProof/>
                <w:sz w:val="22"/>
              </w:rPr>
              <w:t>Програма „Хоризонт 2020“</w:t>
            </w:r>
          </w:p>
        </w:tc>
      </w:tr>
    </w:tbl>
    <w:p w:rsidR="004C6503" w:rsidRDefault="00D43464">
      <w:pPr>
        <w:jc w:val="both"/>
        <w:rPr>
          <w:noProof/>
        </w:rPr>
      </w:pPr>
      <w:r>
        <w:rPr>
          <w:noProof/>
        </w:rPr>
        <w:t>* Показатели, които са в процес на разработване</w:t>
      </w:r>
    </w:p>
    <w:p w:rsidR="004C6503" w:rsidRDefault="00D43464">
      <w:pPr>
        <w:pStyle w:val="Figurecaption"/>
        <w:spacing w:before="120" w:after="240"/>
        <w:rPr>
          <w:rFonts w:cs="Times New Roman"/>
          <w:i/>
          <w:noProof/>
          <w:sz w:val="24"/>
          <w:szCs w:val="24"/>
        </w:rPr>
      </w:pPr>
      <w:r>
        <w:rPr>
          <w:i/>
          <w:noProof/>
          <w:sz w:val="24"/>
        </w:rPr>
        <w:t>Таблица 1. Показатели на кръговата икономика, включени в рамката за мониторинг</w:t>
      </w:r>
    </w:p>
    <w:p w:rsidR="004C6503" w:rsidRDefault="00D43464">
      <w:pPr>
        <w:jc w:val="both"/>
        <w:rPr>
          <w:rFonts w:cs="Times New Roman"/>
          <w:noProof/>
          <w:szCs w:val="24"/>
        </w:rPr>
      </w:pPr>
      <w:r>
        <w:rPr>
          <w:noProof/>
        </w:rPr>
        <w:t>Тези показатели бяха избрани така, че да отразяват основните елементи</w:t>
      </w:r>
      <w:r>
        <w:rPr>
          <w:noProof/>
        </w:rPr>
        <w:t xml:space="preserve"> на кръговата икономика. При избора бяха взети предвид наличностите от данни, като се надграждаше върху индекса за ефективност на ресурсите и индекса за суровините. Доколкото е възможно, показателите са базирани на съществуващи данни, с което е ограничена </w:t>
      </w:r>
      <w:r>
        <w:rPr>
          <w:noProof/>
        </w:rPr>
        <w:t>административната тежест. Други критерии за оценка на показателите бяха тяхната значимост, приемливост, достоверност, леснота за използване и устойчивост.</w:t>
      </w:r>
    </w:p>
    <w:p w:rsidR="004C6503" w:rsidRDefault="00D43464">
      <w:pPr>
        <w:jc w:val="both"/>
        <w:rPr>
          <w:rFonts w:cs="Times New Roman"/>
          <w:noProof/>
          <w:szCs w:val="24"/>
        </w:rPr>
      </w:pPr>
      <w:r>
        <w:rPr>
          <w:noProof/>
        </w:rPr>
        <w:t>Мненията, изразени в рамките на публичните консултации по пътната карта</w:t>
      </w:r>
      <w:r>
        <w:rPr>
          <w:rStyle w:val="FootnoteReference"/>
          <w:noProof/>
        </w:rPr>
        <w:footnoteReference w:id="11"/>
      </w:r>
      <w:r>
        <w:rPr>
          <w:noProof/>
        </w:rPr>
        <w:t xml:space="preserve"> и обсъжданията с представите</w:t>
      </w:r>
      <w:r>
        <w:rPr>
          <w:noProof/>
        </w:rPr>
        <w:t>ли на държавите членки и с експерти от заинтересованите страни</w:t>
      </w:r>
      <w:r>
        <w:rPr>
          <w:rStyle w:val="FootnoteReference"/>
          <w:noProof/>
        </w:rPr>
        <w:footnoteReference w:id="12"/>
      </w:r>
      <w:r>
        <w:rPr>
          <w:noProof/>
        </w:rPr>
        <w:t>, също бяха взети предвид при избора на показателите.</w:t>
      </w:r>
    </w:p>
    <w:p w:rsidR="004C6503" w:rsidRDefault="00D43464">
      <w:pPr>
        <w:spacing w:after="0"/>
        <w:jc w:val="both"/>
        <w:rPr>
          <w:rFonts w:cs="Times New Roman"/>
          <w:noProof/>
          <w:szCs w:val="24"/>
        </w:rPr>
      </w:pPr>
      <w:r>
        <w:rPr>
          <w:noProof/>
        </w:rPr>
        <w:t xml:space="preserve">Комисията ще подобрява базата от знания и </w:t>
      </w:r>
      <w:r>
        <w:rPr>
          <w:b/>
          <w:noProof/>
        </w:rPr>
        <w:t>наличностите от данни</w:t>
      </w:r>
      <w:r>
        <w:rPr>
          <w:noProof/>
        </w:rPr>
        <w:t xml:space="preserve"> за измерване на напредъка в кръговата икономика:</w:t>
      </w:r>
    </w:p>
    <w:p w:rsidR="004C6503" w:rsidRDefault="00D43464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cs="Times New Roman"/>
          <w:noProof/>
          <w:szCs w:val="24"/>
        </w:rPr>
      </w:pPr>
      <w:r>
        <w:rPr>
          <w:noProof/>
        </w:rPr>
        <w:t xml:space="preserve">Продължава </w:t>
      </w:r>
      <w:r>
        <w:rPr>
          <w:b/>
          <w:noProof/>
        </w:rPr>
        <w:t xml:space="preserve">създаването на </w:t>
      </w:r>
      <w:r>
        <w:rPr>
          <w:b/>
          <w:noProof/>
        </w:rPr>
        <w:t>методологии</w:t>
      </w:r>
      <w:r>
        <w:rPr>
          <w:noProof/>
        </w:rPr>
        <w:t xml:space="preserve"> и събирания от данни, които могат да бъдат използвани за показателите по зелени обществени поръчки и хранителни отпадъци, с оглед данните да бъдат публикувани през следващите години. Междувременно Евростат изготвя някои предварителни оценки за </w:t>
      </w:r>
      <w:r>
        <w:rPr>
          <w:noProof/>
        </w:rPr>
        <w:t>хранителните отпадъци.</w:t>
      </w:r>
    </w:p>
    <w:p w:rsidR="004C6503" w:rsidRDefault="00D43464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cs="Times New Roman"/>
          <w:noProof/>
          <w:szCs w:val="24"/>
        </w:rPr>
      </w:pPr>
      <w:r>
        <w:rPr>
          <w:noProof/>
        </w:rPr>
        <w:t>Като част от пакета за кръговата икономика от 2015 г. и по-широките усилия на Комисията за подобряване на качеството на статистиката на ЕС за отпадъците, Комисията предложи да бъдат</w:t>
      </w:r>
      <w:r>
        <w:rPr>
          <w:b/>
          <w:noProof/>
        </w:rPr>
        <w:t xml:space="preserve"> хармонизирани методологиите за изчисляване на равни</w:t>
      </w:r>
      <w:r>
        <w:rPr>
          <w:b/>
          <w:noProof/>
        </w:rPr>
        <w:t>щата на рециклиране</w:t>
      </w:r>
      <w:r>
        <w:rPr>
          <w:noProof/>
        </w:rPr>
        <w:t xml:space="preserve"> на битовите отпадъци</w:t>
      </w:r>
      <w:r>
        <w:rPr>
          <w:rStyle w:val="FootnoteReference"/>
          <w:noProof/>
        </w:rPr>
        <w:footnoteReference w:id="13"/>
      </w:r>
      <w:r>
        <w:rPr>
          <w:noProof/>
        </w:rPr>
        <w:t xml:space="preserve"> и на отпадъците от опаковки</w:t>
      </w:r>
      <w:r>
        <w:rPr>
          <w:rStyle w:val="FootnoteReference"/>
          <w:noProof/>
        </w:rPr>
        <w:footnoteReference w:id="14"/>
      </w:r>
      <w:r>
        <w:rPr>
          <w:noProof/>
        </w:rPr>
        <w:t>. След като бъдат приети от Съвета и от Европейския съвет и приложени от държавите членки, тези предложения ще доведат до подобряване на надеждността и съпоставимостта на статистическите</w:t>
      </w:r>
      <w:r>
        <w:rPr>
          <w:noProof/>
        </w:rPr>
        <w:t xml:space="preserve"> данни.</w:t>
      </w:r>
    </w:p>
    <w:p w:rsidR="004C6503" w:rsidRDefault="00D43464">
      <w:pPr>
        <w:pStyle w:val="ListParagraph"/>
        <w:numPr>
          <w:ilvl w:val="0"/>
          <w:numId w:val="3"/>
        </w:numPr>
        <w:ind w:left="426"/>
        <w:jc w:val="both"/>
        <w:rPr>
          <w:rFonts w:cs="Times New Roman"/>
          <w:noProof/>
          <w:szCs w:val="24"/>
        </w:rPr>
      </w:pPr>
      <w:r>
        <w:rPr>
          <w:noProof/>
        </w:rPr>
        <w:t xml:space="preserve">Чрез програма „Хоризонт 2020“ Комисията финансира няколко </w:t>
      </w:r>
      <w:r>
        <w:rPr>
          <w:b/>
          <w:noProof/>
        </w:rPr>
        <w:t>изследователски проекта</w:t>
      </w:r>
      <w:r>
        <w:rPr>
          <w:noProof/>
        </w:rPr>
        <w:t>, които ще осигуряват по-добри данни за допълване на официалната статистика, по-конкретно чрез информационната система на ЕС за суровините</w:t>
      </w:r>
      <w:r>
        <w:rPr>
          <w:rStyle w:val="FootnoteReference"/>
          <w:noProof/>
        </w:rPr>
        <w:footnoteReference w:id="15"/>
      </w:r>
      <w:r>
        <w:rPr>
          <w:noProof/>
        </w:rPr>
        <w:t xml:space="preserve">. </w:t>
      </w:r>
    </w:p>
    <w:p w:rsidR="004C6503" w:rsidRDefault="00D43464">
      <w:pPr>
        <w:pStyle w:val="Heading1"/>
        <w:keepNext/>
        <w:rPr>
          <w:rFonts w:cs="Times New Roman"/>
          <w:noProof/>
          <w:szCs w:val="24"/>
        </w:rPr>
      </w:pPr>
      <w:r>
        <w:rPr>
          <w:noProof/>
        </w:rPr>
        <w:t>Първи констатации</w:t>
      </w:r>
    </w:p>
    <w:p w:rsidR="004C6503" w:rsidRDefault="00D43464">
      <w:pPr>
        <w:jc w:val="both"/>
        <w:rPr>
          <w:rFonts w:cs="Times New Roman"/>
          <w:noProof/>
          <w:szCs w:val="24"/>
        </w:rPr>
      </w:pPr>
      <w:r>
        <w:rPr>
          <w:noProof/>
        </w:rPr>
        <w:t>Десетте</w:t>
      </w:r>
      <w:r>
        <w:rPr>
          <w:noProof/>
        </w:rPr>
        <w:t xml:space="preserve"> показатели на рамката за мониторинг описват в едър план основните лостове за увеличаване на кръговото движение в икономиката на ЕС. Тъй като ще е необходимо известно време, за да могат резултатите от действията по кръговата икономика да проличат в статист</w:t>
      </w:r>
      <w:r>
        <w:rPr>
          <w:noProof/>
        </w:rPr>
        <w:t xml:space="preserve">ическите данни, сега е уместно да се започне с </w:t>
      </w:r>
      <w:r>
        <w:rPr>
          <w:b/>
          <w:noProof/>
        </w:rPr>
        <w:t>установяване на базовите линии</w:t>
      </w:r>
      <w:r>
        <w:rPr>
          <w:noProof/>
        </w:rPr>
        <w:t>. Това ще способства за наблюдението на бъдещите развития и за предоставянето на информация, необходима за определянето на политиките.</w:t>
      </w:r>
    </w:p>
    <w:p w:rsidR="004C6503" w:rsidRDefault="00D43464">
      <w:pPr>
        <w:jc w:val="both"/>
        <w:rPr>
          <w:rFonts w:cs="Times New Roman"/>
          <w:noProof/>
          <w:szCs w:val="24"/>
        </w:rPr>
      </w:pPr>
      <w:r>
        <w:rPr>
          <w:noProof/>
        </w:rPr>
        <w:t>Съществува както силна потребност, така и зн</w:t>
      </w:r>
      <w:r>
        <w:rPr>
          <w:noProof/>
        </w:rPr>
        <w:t>ачителен потенциал за допълнително подобряване на резултатите на ЕС и неговите държави членки. Ролята на ЕС е по-голяма в някои области (като например търговията с рециклируеми суровини), отколкото в други (например зелените обществени поръчки).</w:t>
      </w:r>
    </w:p>
    <w:p w:rsidR="004C6503" w:rsidRDefault="00D43464">
      <w:pPr>
        <w:spacing w:after="120"/>
        <w:jc w:val="both"/>
        <w:rPr>
          <w:rFonts w:cs="Times New Roman"/>
          <w:b/>
          <w:i/>
          <w:noProof/>
          <w:szCs w:val="24"/>
        </w:rPr>
      </w:pPr>
      <w:r>
        <w:rPr>
          <w:b/>
          <w:i/>
          <w:noProof/>
        </w:rPr>
        <w:t>Производст</w:t>
      </w:r>
      <w:r>
        <w:rPr>
          <w:b/>
          <w:i/>
          <w:noProof/>
        </w:rPr>
        <w:t>во и потребление</w:t>
      </w:r>
    </w:p>
    <w:tbl>
      <w:tblPr>
        <w:tblStyle w:val="TableGrid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4C6503">
        <w:tc>
          <w:tcPr>
            <w:tcW w:w="9072" w:type="dxa"/>
            <w:shd w:val="clear" w:color="auto" w:fill="F2F2F2" w:themeFill="background1" w:themeFillShade="F2"/>
          </w:tcPr>
          <w:p w:rsidR="004C6503" w:rsidRDefault="00D43464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Забелязва се известен напредък към по-кръгови тенденции в производството и потреблението, например по отношение на генерирането на отпадъци. Съществуват обаче значителни възможности за намаляване на разликите между резултатите на отделните</w:t>
            </w:r>
            <w:r>
              <w:rPr>
                <w:rFonts w:ascii="Times New Roman" w:hAnsi="Times New Roman"/>
                <w:noProof/>
                <w:sz w:val="24"/>
              </w:rPr>
              <w:t xml:space="preserve"> държави членки и между видовете материали.</w:t>
            </w:r>
          </w:p>
        </w:tc>
      </w:tr>
    </w:tbl>
    <w:p w:rsidR="004C6503" w:rsidRDefault="004C6503">
      <w:pPr>
        <w:spacing w:after="0"/>
        <w:jc w:val="both"/>
        <w:rPr>
          <w:rFonts w:cs="Times New Roman"/>
          <w:noProof/>
          <w:szCs w:val="24"/>
        </w:rPr>
      </w:pPr>
    </w:p>
    <w:p w:rsidR="004C6503" w:rsidRDefault="00D43464">
      <w:pPr>
        <w:spacing w:after="0"/>
        <w:jc w:val="both"/>
        <w:rPr>
          <w:rFonts w:cs="Times New Roman"/>
          <w:noProof/>
          <w:szCs w:val="24"/>
        </w:rPr>
      </w:pPr>
      <w:r>
        <w:rPr>
          <w:noProof/>
        </w:rPr>
        <w:t xml:space="preserve">Показателят за </w:t>
      </w:r>
      <w:r>
        <w:rPr>
          <w:b/>
          <w:noProof/>
        </w:rPr>
        <w:t>самодостатъчност</w:t>
      </w:r>
      <w:r>
        <w:rPr>
          <w:noProof/>
        </w:rPr>
        <w:t xml:space="preserve"> в доставките на суровини указва, че ЕС </w:t>
      </w:r>
      <w:r>
        <w:rPr>
          <w:b/>
          <w:noProof/>
        </w:rPr>
        <w:t>в голяма степен е постигнал самодостатъчност</w:t>
      </w:r>
      <w:r>
        <w:rPr>
          <w:noProof/>
        </w:rPr>
        <w:t xml:space="preserve"> за повечето неметални минерали, като например строителни материали и индустриални минерали. Съ</w:t>
      </w:r>
      <w:r>
        <w:rPr>
          <w:noProof/>
        </w:rPr>
        <w:t xml:space="preserve">щият показател обаче потвърждава, че по отношение на </w:t>
      </w:r>
      <w:r>
        <w:rPr>
          <w:b/>
          <w:noProof/>
        </w:rPr>
        <w:t>критичните суровини</w:t>
      </w:r>
      <w:r>
        <w:rPr>
          <w:rStyle w:val="FootnoteReference"/>
          <w:noProof/>
        </w:rPr>
        <w:footnoteReference w:id="16"/>
      </w:r>
      <w:r>
        <w:rPr>
          <w:noProof/>
        </w:rPr>
        <w:t xml:space="preserve"> ЕС разчита в голяма степен на внос, което извежда на преден план необходимостта от сигурен достъп и диверсификация на доставките. Много от тези материали са нужни за постигането на ц</w:t>
      </w:r>
      <w:r>
        <w:rPr>
          <w:noProof/>
        </w:rPr>
        <w:t>елта на ЕС за устойчива, нисковъглеродна, ресурсно ефективна и конкурентоспособна икономика</w:t>
      </w:r>
      <w:r>
        <w:rPr>
          <w:rStyle w:val="FootnoteReference"/>
          <w:noProof/>
        </w:rPr>
        <w:footnoteReference w:id="17"/>
      </w:r>
      <w:r>
        <w:rPr>
          <w:noProof/>
        </w:rPr>
        <w:t xml:space="preserve">. </w:t>
      </w:r>
    </w:p>
    <w:p w:rsidR="004C6503" w:rsidRDefault="004C6503">
      <w:pPr>
        <w:spacing w:after="0"/>
        <w:jc w:val="both"/>
        <w:rPr>
          <w:rFonts w:cs="Times New Roman"/>
          <w:noProof/>
          <w:szCs w:val="24"/>
        </w:rPr>
      </w:pPr>
    </w:p>
    <w:p w:rsidR="004C6503" w:rsidRDefault="00D43464">
      <w:pPr>
        <w:spacing w:after="0"/>
        <w:jc w:val="both"/>
        <w:rPr>
          <w:rFonts w:cs="Times New Roman"/>
          <w:noProof/>
          <w:szCs w:val="24"/>
        </w:rPr>
      </w:pPr>
      <w:r>
        <w:rPr>
          <w:noProof/>
        </w:rPr>
        <w:t xml:space="preserve">Обществените поръчки представляват голям дял от БВП и в тази връзка </w:t>
      </w:r>
      <w:r>
        <w:rPr>
          <w:b/>
          <w:noProof/>
        </w:rPr>
        <w:t xml:space="preserve">зелени обществени поръчки </w:t>
      </w:r>
      <w:r>
        <w:rPr>
          <w:noProof/>
        </w:rPr>
        <w:t xml:space="preserve">— т.е. използването от държавните органи на тяхната покупателна </w:t>
      </w:r>
      <w:r>
        <w:rPr>
          <w:noProof/>
        </w:rPr>
        <w:t>способност за избиране на екологосъобразни стоки, услуги и строителни работи — могат да са движеща сила на кръговата икономика и на иновациите</w:t>
      </w:r>
      <w:r>
        <w:rPr>
          <w:rStyle w:val="FootnoteReference"/>
          <w:noProof/>
        </w:rPr>
        <w:footnoteReference w:id="18"/>
      </w:r>
      <w:r>
        <w:rPr>
          <w:noProof/>
        </w:rPr>
        <w:t>. Предстои разработването на данни за този показател</w:t>
      </w:r>
      <w:r>
        <w:rPr>
          <w:noProof/>
          <w:color w:val="000000"/>
          <w:position w:val="-2"/>
        </w:rPr>
        <w:t>.</w:t>
      </w:r>
      <w:r>
        <w:rPr>
          <w:noProof/>
        </w:rPr>
        <w:t xml:space="preserve"> </w:t>
      </w:r>
    </w:p>
    <w:p w:rsidR="004C6503" w:rsidRDefault="004C6503">
      <w:pPr>
        <w:spacing w:after="0"/>
        <w:jc w:val="both"/>
        <w:rPr>
          <w:rFonts w:cs="Times New Roman"/>
          <w:noProof/>
          <w:szCs w:val="24"/>
        </w:rPr>
      </w:pPr>
    </w:p>
    <w:p w:rsidR="004C6503" w:rsidRDefault="00D43464">
      <w:pPr>
        <w:spacing w:after="0"/>
        <w:jc w:val="both"/>
        <w:rPr>
          <w:rFonts w:cs="Times New Roman"/>
          <w:noProof/>
          <w:szCs w:val="24"/>
        </w:rPr>
      </w:pPr>
      <w:r>
        <w:rPr>
          <w:noProof/>
        </w:rPr>
        <w:t>Генерираните</w:t>
      </w:r>
      <w:r>
        <w:rPr>
          <w:b/>
          <w:noProof/>
        </w:rPr>
        <w:t xml:space="preserve"> битови отпадъци</w:t>
      </w:r>
      <w:r>
        <w:rPr>
          <w:rStyle w:val="FootnoteReference"/>
          <w:b/>
          <w:noProof/>
        </w:rPr>
        <w:footnoteReference w:id="19"/>
      </w:r>
      <w:r>
        <w:rPr>
          <w:b/>
          <w:noProof/>
        </w:rPr>
        <w:t xml:space="preserve"> </w:t>
      </w:r>
      <w:r>
        <w:rPr>
          <w:noProof/>
        </w:rPr>
        <w:t>в ЕС</w:t>
      </w:r>
      <w:r>
        <w:rPr>
          <w:b/>
          <w:noProof/>
        </w:rPr>
        <w:t xml:space="preserve"> </w:t>
      </w:r>
      <w:r>
        <w:rPr>
          <w:noProof/>
        </w:rPr>
        <w:t>на глава от населениет</w:t>
      </w:r>
      <w:r>
        <w:rPr>
          <w:noProof/>
        </w:rPr>
        <w:t>о</w:t>
      </w:r>
      <w:r>
        <w:rPr>
          <w:b/>
          <w:noProof/>
        </w:rPr>
        <w:t xml:space="preserve"> </w:t>
      </w:r>
      <w:r>
        <w:rPr>
          <w:noProof/>
        </w:rPr>
        <w:t xml:space="preserve">отбелязват </w:t>
      </w:r>
      <w:r>
        <w:rPr>
          <w:b/>
          <w:noProof/>
        </w:rPr>
        <w:t xml:space="preserve">спад </w:t>
      </w:r>
      <w:r>
        <w:rPr>
          <w:noProof/>
        </w:rPr>
        <w:t>от 8 % през периода 2006—2016 г., достигайки средна стойност от 480 kg на глава от населението годишно. Това е добър пример за област, в която всеки граждани може да даде положителен принос. Наблюдават се обаче значителни разлики между дъ</w:t>
      </w:r>
      <w:r>
        <w:rPr>
          <w:noProof/>
        </w:rPr>
        <w:t>ржавите членки (от 250 kg до 750 kg на глава от населението годишно)</w:t>
      </w:r>
      <w:r>
        <w:rPr>
          <w:rStyle w:val="FootnoteReference"/>
          <w:noProof/>
        </w:rPr>
        <w:t xml:space="preserve"> </w:t>
      </w:r>
      <w:r>
        <w:rPr>
          <w:rStyle w:val="FootnoteReference"/>
          <w:noProof/>
        </w:rPr>
        <w:footnoteReference w:id="20"/>
      </w:r>
      <w:r>
        <w:rPr>
          <w:noProof/>
        </w:rPr>
        <w:t>, а в някои държави членки количеството на генерираните битови отпадъци продължава да нараства. Все още съществува известна корелация между количеството на генерираните отпадъци и БВП на</w:t>
      </w:r>
      <w:r>
        <w:rPr>
          <w:noProof/>
        </w:rPr>
        <w:t xml:space="preserve"> глава от населението. Следователно, положителен факт е, че данните за </w:t>
      </w:r>
      <w:r>
        <w:rPr>
          <w:b/>
          <w:noProof/>
        </w:rPr>
        <w:t xml:space="preserve">общото количество отпадъци </w:t>
      </w:r>
      <w:r>
        <w:rPr>
          <w:noProof/>
        </w:rPr>
        <w:t xml:space="preserve">(включително отпадъци от промишлена и търговска дейност, но без големи минерални отпадъци), генерирани за единица БВП, показват </w:t>
      </w:r>
      <w:r>
        <w:rPr>
          <w:b/>
          <w:noProof/>
        </w:rPr>
        <w:t>намаление</w:t>
      </w:r>
      <w:r>
        <w:rPr>
          <w:noProof/>
        </w:rPr>
        <w:t xml:space="preserve"> с 11 % спрямо 2006 г</w:t>
      </w:r>
      <w:r>
        <w:rPr>
          <w:noProof/>
        </w:rPr>
        <w:t xml:space="preserve">. </w:t>
      </w:r>
    </w:p>
    <w:p w:rsidR="004C6503" w:rsidRDefault="004C6503">
      <w:pPr>
        <w:spacing w:after="0"/>
        <w:jc w:val="both"/>
        <w:rPr>
          <w:rFonts w:cs="Times New Roman"/>
          <w:noProof/>
          <w:szCs w:val="24"/>
        </w:rPr>
      </w:pPr>
    </w:p>
    <w:p w:rsidR="004C6503" w:rsidRDefault="00D43464">
      <w:pPr>
        <w:spacing w:after="0"/>
        <w:jc w:val="both"/>
        <w:rPr>
          <w:rFonts w:cs="Times New Roman"/>
          <w:noProof/>
          <w:color w:val="000000"/>
          <w:position w:val="-2"/>
          <w:szCs w:val="24"/>
        </w:rPr>
      </w:pPr>
      <w:r>
        <w:rPr>
          <w:noProof/>
        </w:rPr>
        <w:t xml:space="preserve">Намаляването на </w:t>
      </w:r>
      <w:r>
        <w:rPr>
          <w:b/>
          <w:noProof/>
        </w:rPr>
        <w:t>хранителните отпадъци</w:t>
      </w:r>
      <w:r>
        <w:rPr>
          <w:rStyle w:val="FootnoteReference"/>
          <w:noProof/>
        </w:rPr>
        <w:footnoteReference w:id="21"/>
      </w:r>
      <w:r>
        <w:rPr>
          <w:noProof/>
        </w:rPr>
        <w:t xml:space="preserve"> има огромен потенциал за спестяване на ресурсите, които използваме за производство на консумираните от нас храни. Хранителни отпадъци се генерират по цялата верига за създаване на стойност: по време на производството и разпространението, в магазините, рес</w:t>
      </w:r>
      <w:r>
        <w:rPr>
          <w:noProof/>
        </w:rPr>
        <w:t xml:space="preserve">торантите, обектите за обществено хранене и в домашни условия. Поради това определянето на тяхното количество е особено трудно. Според предварителни оценки на Евростат, през периода 2012—2014 г. хранителните отпадъци в ЕС са </w:t>
      </w:r>
      <w:r>
        <w:rPr>
          <w:b/>
          <w:noProof/>
        </w:rPr>
        <w:t>намалели</w:t>
      </w:r>
      <w:r>
        <w:rPr>
          <w:noProof/>
        </w:rPr>
        <w:t xml:space="preserve"> от 81 на 76 милиона то</w:t>
      </w:r>
      <w:r>
        <w:rPr>
          <w:noProof/>
        </w:rPr>
        <w:t>на (с около 7 %) или от 161 на 149 kg на глава от населението.</w:t>
      </w:r>
    </w:p>
    <w:p w:rsidR="004C6503" w:rsidRDefault="004C6503">
      <w:pPr>
        <w:spacing w:after="0"/>
        <w:jc w:val="both"/>
        <w:rPr>
          <w:rFonts w:cs="Times New Roman"/>
          <w:noProof/>
          <w:szCs w:val="24"/>
        </w:rPr>
      </w:pPr>
    </w:p>
    <w:p w:rsidR="004C6503" w:rsidRDefault="00D43464">
      <w:pPr>
        <w:spacing w:after="120"/>
        <w:jc w:val="both"/>
        <w:rPr>
          <w:rFonts w:cs="Times New Roman"/>
          <w:b/>
          <w:i/>
          <w:noProof/>
          <w:szCs w:val="24"/>
        </w:rPr>
      </w:pPr>
      <w:r>
        <w:rPr>
          <w:b/>
          <w:i/>
          <w:noProof/>
        </w:rPr>
        <w:t>Управление на отпадъците</w:t>
      </w:r>
    </w:p>
    <w:tbl>
      <w:tblPr>
        <w:tblStyle w:val="TableGrid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4C6503">
        <w:tc>
          <w:tcPr>
            <w:tcW w:w="9072" w:type="dxa"/>
            <w:shd w:val="clear" w:color="auto" w:fill="F2F2F2" w:themeFill="background1" w:themeFillShade="F2"/>
          </w:tcPr>
          <w:p w:rsidR="004C6503" w:rsidRDefault="00D43464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Управлението на отпадъците като цяло показва положително развитие, но все още с много място за подобрение и с разлики както между държавите членки, така и между потоци</w:t>
            </w:r>
            <w:r>
              <w:rPr>
                <w:rFonts w:ascii="Times New Roman" w:hAnsi="Times New Roman"/>
                <w:noProof/>
                <w:sz w:val="24"/>
              </w:rPr>
              <w:t xml:space="preserve">те от отпадъци. </w:t>
            </w:r>
          </w:p>
        </w:tc>
      </w:tr>
    </w:tbl>
    <w:p w:rsidR="004C6503" w:rsidRDefault="004C6503">
      <w:pPr>
        <w:spacing w:after="0"/>
        <w:jc w:val="both"/>
        <w:rPr>
          <w:rFonts w:cs="Times New Roman"/>
          <w:noProof/>
          <w:color w:val="000000"/>
          <w:position w:val="-2"/>
          <w:szCs w:val="24"/>
        </w:rPr>
      </w:pPr>
    </w:p>
    <w:p w:rsidR="004C6503" w:rsidRDefault="00D43464">
      <w:pPr>
        <w:jc w:val="both"/>
        <w:rPr>
          <w:rFonts w:cs="Times New Roman"/>
          <w:noProof/>
          <w:color w:val="000000"/>
          <w:position w:val="-2"/>
          <w:szCs w:val="24"/>
        </w:rPr>
      </w:pPr>
      <w:r>
        <w:rPr>
          <w:noProof/>
          <w:color w:val="000000"/>
          <w:position w:val="-2"/>
        </w:rPr>
        <w:t xml:space="preserve">През периода 2008—2016 г. </w:t>
      </w:r>
      <w:r>
        <w:rPr>
          <w:b/>
          <w:noProof/>
          <w:color w:val="000000"/>
          <w:position w:val="-2"/>
        </w:rPr>
        <w:t>равнището на рециклиране на битови отпадъци в ЕС е нараснало</w:t>
      </w:r>
      <w:r>
        <w:rPr>
          <w:noProof/>
          <w:color w:val="000000"/>
          <w:position w:val="-2"/>
        </w:rPr>
        <w:t xml:space="preserve"> от 37 на 46 %. Пет държави членки рециклират над половината от своите битови отпадъци, а други страни се приближават до целта от 65 % до 2030 г., пред</w:t>
      </w:r>
      <w:r>
        <w:rPr>
          <w:noProof/>
          <w:color w:val="000000"/>
          <w:position w:val="-2"/>
        </w:rPr>
        <w:t>ложена от Комисията</w:t>
      </w:r>
      <w:r>
        <w:rPr>
          <w:rStyle w:val="FootnoteReference"/>
          <w:noProof/>
        </w:rPr>
        <w:footnoteReference w:id="22"/>
      </w:r>
      <w:r>
        <w:rPr>
          <w:noProof/>
          <w:color w:val="000000"/>
          <w:position w:val="-2"/>
        </w:rPr>
        <w:t>; пет държави членки обаче се още не са достигнали 25 %</w:t>
      </w:r>
      <w:r>
        <w:rPr>
          <w:rStyle w:val="FootnoteReference"/>
          <w:noProof/>
          <w:color w:val="000000"/>
          <w:position w:val="-2"/>
        </w:rPr>
        <w:footnoteReference w:id="23"/>
      </w:r>
      <w:r>
        <w:rPr>
          <w:noProof/>
        </w:rPr>
        <w:t>.</w:t>
      </w:r>
      <w:r>
        <w:rPr>
          <w:noProof/>
          <w:color w:val="000000"/>
          <w:position w:val="-2"/>
        </w:rPr>
        <w:t xml:space="preserve"> </w:t>
      </w:r>
    </w:p>
    <w:p w:rsidR="004C6503" w:rsidRDefault="00D43464">
      <w:pPr>
        <w:jc w:val="both"/>
        <w:rPr>
          <w:rFonts w:cs="Times New Roman"/>
          <w:noProof/>
          <w:szCs w:val="24"/>
          <w:highlight w:val="yellow"/>
        </w:rPr>
      </w:pPr>
      <w:r>
        <w:rPr>
          <w:rFonts w:cs="Times New Roman"/>
          <w:noProof/>
          <w:szCs w:val="24"/>
          <w:lang w:eastAsia="en-GB"/>
        </w:rPr>
        <w:drawing>
          <wp:inline distT="0" distB="0" distL="0" distR="0">
            <wp:extent cx="5753100" cy="28003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503" w:rsidRDefault="00D43464">
      <w:pPr>
        <w:jc w:val="both"/>
        <w:rPr>
          <w:rFonts w:eastAsia="Cambria" w:cs="Times New Roman"/>
          <w:noProof/>
          <w:color w:val="000000"/>
          <w:position w:val="-2"/>
          <w:sz w:val="22"/>
        </w:rPr>
      </w:pPr>
      <w:r>
        <w:rPr>
          <w:noProof/>
          <w:color w:val="000000"/>
          <w:position w:val="-2"/>
          <w:sz w:val="22"/>
        </w:rPr>
        <w:t>Източник: Евростат</w:t>
      </w:r>
    </w:p>
    <w:p w:rsidR="004C6503" w:rsidRDefault="00D43464">
      <w:pPr>
        <w:jc w:val="both"/>
        <w:rPr>
          <w:rFonts w:cs="Times New Roman"/>
          <w:noProof/>
          <w:color w:val="000000"/>
          <w:position w:val="-2"/>
          <w:szCs w:val="24"/>
        </w:rPr>
      </w:pPr>
      <w:r>
        <w:rPr>
          <w:noProof/>
          <w:color w:val="000000"/>
          <w:position w:val="-2"/>
        </w:rPr>
        <w:t>През периода 2008—2015 г.</w:t>
      </w:r>
      <w:r>
        <w:rPr>
          <w:noProof/>
          <w:color w:val="000000"/>
          <w:position w:val="-2"/>
          <w:sz w:val="22"/>
        </w:rPr>
        <w:t xml:space="preserve"> </w:t>
      </w:r>
      <w:r>
        <w:rPr>
          <w:noProof/>
          <w:color w:val="000000"/>
          <w:position w:val="-2"/>
        </w:rPr>
        <w:t xml:space="preserve">бе постигнато </w:t>
      </w:r>
      <w:r>
        <w:rPr>
          <w:b/>
          <w:noProof/>
          <w:color w:val="000000"/>
          <w:position w:val="-2"/>
        </w:rPr>
        <w:t>увеличение и на равнището на рециклиране на отпадъците от опаковки</w:t>
      </w:r>
      <w:r>
        <w:rPr>
          <w:noProof/>
          <w:color w:val="000000"/>
          <w:position w:val="-2"/>
        </w:rPr>
        <w:t xml:space="preserve"> в ЕС от 62 % на 66 %; то се увеличи в почти всички държави членки и към 2015 г. </w:t>
      </w:r>
      <w:r>
        <w:rPr>
          <w:b/>
          <w:noProof/>
          <w:color w:val="000000"/>
          <w:position w:val="-2"/>
        </w:rPr>
        <w:t>почти всички държави членки бяха постигнали целта за 2008 г., а именно 55 %</w:t>
      </w:r>
      <w:r>
        <w:rPr>
          <w:noProof/>
          <w:color w:val="000000"/>
          <w:position w:val="-2"/>
        </w:rPr>
        <w:t xml:space="preserve"> (Комисията предложи цел от 65 % до 2025 г. и 75 % до 2030 г.</w:t>
      </w:r>
      <w:r>
        <w:rPr>
          <w:rStyle w:val="FootnoteReference"/>
          <w:noProof/>
        </w:rPr>
        <w:footnoteReference w:id="24"/>
      </w:r>
      <w:r>
        <w:rPr>
          <w:noProof/>
          <w:color w:val="000000"/>
          <w:position w:val="-2"/>
        </w:rPr>
        <w:t xml:space="preserve">). По отношение на </w:t>
      </w:r>
      <w:r>
        <w:rPr>
          <w:b/>
          <w:noProof/>
          <w:color w:val="000000"/>
          <w:position w:val="-2"/>
        </w:rPr>
        <w:t>опаковките от пласт</w:t>
      </w:r>
      <w:r>
        <w:rPr>
          <w:b/>
          <w:noProof/>
          <w:color w:val="000000"/>
          <w:position w:val="-2"/>
        </w:rPr>
        <w:t>маси</w:t>
      </w:r>
      <w:r>
        <w:rPr>
          <w:noProof/>
          <w:color w:val="000000"/>
          <w:position w:val="-2"/>
        </w:rPr>
        <w:t xml:space="preserve"> средното равнище на рециклиране в ЕС е значително по-ниско — </w:t>
      </w:r>
      <w:r>
        <w:rPr>
          <w:b/>
          <w:noProof/>
          <w:color w:val="000000"/>
          <w:position w:val="-2"/>
        </w:rPr>
        <w:t>40 %</w:t>
      </w:r>
      <w:r>
        <w:rPr>
          <w:noProof/>
          <w:color w:val="000000"/>
          <w:position w:val="-2"/>
        </w:rPr>
        <w:t xml:space="preserve">, независимо от подобренията през последните години. </w:t>
      </w:r>
    </w:p>
    <w:p w:rsidR="004C6503" w:rsidRDefault="00D43464">
      <w:pPr>
        <w:jc w:val="both"/>
        <w:rPr>
          <w:rFonts w:eastAsia="Cambria" w:cs="Times New Roman"/>
          <w:noProof/>
          <w:color w:val="000000"/>
          <w:position w:val="-2"/>
          <w:szCs w:val="24"/>
        </w:rPr>
      </w:pPr>
      <w:r>
        <w:rPr>
          <w:noProof/>
        </w:rPr>
        <w:t xml:space="preserve">Количеството </w:t>
      </w:r>
      <w:r>
        <w:rPr>
          <w:b/>
          <w:noProof/>
        </w:rPr>
        <w:t xml:space="preserve">рециклирани </w:t>
      </w:r>
      <w:r>
        <w:rPr>
          <w:noProof/>
        </w:rPr>
        <w:t xml:space="preserve">битови </w:t>
      </w:r>
      <w:r>
        <w:rPr>
          <w:b/>
          <w:noProof/>
        </w:rPr>
        <w:t>биологични отпадъци</w:t>
      </w:r>
      <w:r>
        <w:rPr>
          <w:noProof/>
        </w:rPr>
        <w:t xml:space="preserve"> </w:t>
      </w:r>
      <w:r>
        <w:rPr>
          <w:noProof/>
          <w:color w:val="000000"/>
          <w:position w:val="-2"/>
        </w:rPr>
        <w:t>в ЕС</w:t>
      </w:r>
      <w:r>
        <w:rPr>
          <w:noProof/>
        </w:rPr>
        <w:t xml:space="preserve"> достигна 79 kg на глава от населението през 2016 г., </w:t>
      </w:r>
      <w:r>
        <w:rPr>
          <w:b/>
          <w:noProof/>
        </w:rPr>
        <w:t>отбелязвайки увеличени</w:t>
      </w:r>
      <w:r>
        <w:rPr>
          <w:b/>
          <w:noProof/>
        </w:rPr>
        <w:t>е</w:t>
      </w:r>
      <w:r>
        <w:rPr>
          <w:noProof/>
        </w:rPr>
        <w:t xml:space="preserve"> с 23 % спрямо 2007 г.</w:t>
      </w:r>
    </w:p>
    <w:p w:rsidR="004C6503" w:rsidRDefault="00D43464">
      <w:pPr>
        <w:jc w:val="both"/>
        <w:rPr>
          <w:rFonts w:cs="Times New Roman"/>
          <w:noProof/>
          <w:color w:val="000000"/>
          <w:position w:val="-2"/>
          <w:szCs w:val="24"/>
        </w:rPr>
      </w:pPr>
      <w:r>
        <w:rPr>
          <w:noProof/>
          <w:color w:val="000000"/>
          <w:position w:val="-2"/>
        </w:rPr>
        <w:t xml:space="preserve">По отношение на </w:t>
      </w:r>
      <w:r>
        <w:rPr>
          <w:b/>
          <w:noProof/>
          <w:color w:val="000000"/>
          <w:position w:val="-2"/>
        </w:rPr>
        <w:t>рециклирането на отпадъци</w:t>
      </w:r>
      <w:r>
        <w:rPr>
          <w:noProof/>
          <w:color w:val="000000"/>
          <w:position w:val="-2"/>
        </w:rPr>
        <w:t xml:space="preserve"> </w:t>
      </w:r>
      <w:r>
        <w:rPr>
          <w:b/>
          <w:noProof/>
          <w:color w:val="000000"/>
          <w:position w:val="-2"/>
        </w:rPr>
        <w:t>от електрическо и електронно оборудване</w:t>
      </w:r>
      <w:r>
        <w:rPr>
          <w:noProof/>
          <w:color w:val="000000"/>
          <w:position w:val="-2"/>
        </w:rPr>
        <w:t xml:space="preserve"> (ОЕЕО), данните разкриват съществени разлики в нивата на събиране и рециклиране между държавите членки на ЕС и показват, че съществува огромен потенци</w:t>
      </w:r>
      <w:r>
        <w:rPr>
          <w:noProof/>
          <w:color w:val="000000"/>
          <w:position w:val="-2"/>
        </w:rPr>
        <w:t xml:space="preserve">ал за подобряване на ефективното използване на ресурсите и за ограничаване на незаконното събиране, третиране и превоз на отпадъци. През 2015 г. </w:t>
      </w:r>
      <w:r>
        <w:rPr>
          <w:b/>
          <w:noProof/>
          <w:color w:val="000000"/>
          <w:position w:val="-2"/>
        </w:rPr>
        <w:t>само четири държави членки</w:t>
      </w:r>
      <w:r>
        <w:rPr>
          <w:noProof/>
          <w:color w:val="000000"/>
          <w:position w:val="-2"/>
        </w:rPr>
        <w:t xml:space="preserve"> са рециклирали</w:t>
      </w:r>
      <w:r>
        <w:rPr>
          <w:rStyle w:val="FootnoteReference"/>
          <w:noProof/>
          <w:color w:val="000000"/>
          <w:position w:val="-2"/>
        </w:rPr>
        <w:footnoteReference w:id="25"/>
      </w:r>
      <w:r>
        <w:rPr>
          <w:noProof/>
          <w:color w:val="000000"/>
          <w:position w:val="-2"/>
        </w:rPr>
        <w:t xml:space="preserve"> над половината от пуснатото на пазара електрическо и електронно обор</w:t>
      </w:r>
      <w:r>
        <w:rPr>
          <w:noProof/>
          <w:color w:val="000000"/>
          <w:position w:val="-2"/>
        </w:rPr>
        <w:t xml:space="preserve">удване. </w:t>
      </w:r>
    </w:p>
    <w:p w:rsidR="004C6503" w:rsidRDefault="00D43464">
      <w:pPr>
        <w:jc w:val="both"/>
        <w:rPr>
          <w:rFonts w:cs="Times New Roman"/>
          <w:noProof/>
          <w:color w:val="000000"/>
          <w:position w:val="-2"/>
          <w:szCs w:val="24"/>
        </w:rPr>
      </w:pPr>
      <w:r>
        <w:rPr>
          <w:noProof/>
          <w:color w:val="000000"/>
          <w:position w:val="-2"/>
        </w:rPr>
        <w:t xml:space="preserve">Накрая, по отношение на </w:t>
      </w:r>
      <w:r>
        <w:rPr>
          <w:b/>
          <w:noProof/>
          <w:color w:val="000000"/>
          <w:position w:val="-2"/>
        </w:rPr>
        <w:t>отпадъците от строителство и разрушаване,</w:t>
      </w:r>
      <w:r>
        <w:rPr>
          <w:noProof/>
          <w:color w:val="000000"/>
          <w:position w:val="-2"/>
        </w:rPr>
        <w:t xml:space="preserve"> 20 държави членки докладваха, че вече са постигнали целта от 70 % оползотворяване</w:t>
      </w:r>
      <w:r>
        <w:rPr>
          <w:rStyle w:val="FootnoteReference"/>
          <w:noProof/>
          <w:color w:val="000000"/>
          <w:position w:val="-2"/>
        </w:rPr>
        <w:footnoteReference w:id="26"/>
      </w:r>
      <w:r>
        <w:rPr>
          <w:noProof/>
          <w:color w:val="000000"/>
          <w:position w:val="-2"/>
        </w:rPr>
        <w:t xml:space="preserve">, определена за 2020 г. Предвид обстоятелството, че по тегло потокът от отпадъци от строителство и </w:t>
      </w:r>
      <w:r>
        <w:rPr>
          <w:noProof/>
          <w:color w:val="000000"/>
          <w:position w:val="-2"/>
        </w:rPr>
        <w:t xml:space="preserve">разрушаване е най-големият в ЕС, това е </w:t>
      </w:r>
      <w:r>
        <w:rPr>
          <w:b/>
          <w:noProof/>
          <w:color w:val="000000"/>
          <w:position w:val="-2"/>
        </w:rPr>
        <w:t>положителен</w:t>
      </w:r>
      <w:r>
        <w:rPr>
          <w:noProof/>
          <w:color w:val="000000"/>
          <w:position w:val="-2"/>
        </w:rPr>
        <w:t xml:space="preserve"> признак. Следва обаче да се отбележи, че целта включва насипването</w:t>
      </w:r>
      <w:r>
        <w:rPr>
          <w:rStyle w:val="FootnoteReference"/>
          <w:noProof/>
          <w:color w:val="000000"/>
          <w:position w:val="-2"/>
        </w:rPr>
        <w:footnoteReference w:id="27"/>
      </w:r>
      <w:r>
        <w:rPr>
          <w:noProof/>
          <w:color w:val="000000"/>
          <w:position w:val="-2"/>
        </w:rPr>
        <w:t>, а тази практика не запазва стойността на материалите в икономиката и съответно не способства за постигането на кръгова икономика. Освен</w:t>
      </w:r>
      <w:r>
        <w:rPr>
          <w:noProof/>
          <w:color w:val="000000"/>
          <w:position w:val="-2"/>
        </w:rPr>
        <w:t xml:space="preserve"> това, между държавите членки съществуват големи разлики в отчитането на данните.</w:t>
      </w:r>
    </w:p>
    <w:p w:rsidR="004C6503" w:rsidRDefault="00D43464">
      <w:pPr>
        <w:jc w:val="both"/>
        <w:rPr>
          <w:rFonts w:cs="Times New Roman"/>
          <w:noProof/>
          <w:szCs w:val="24"/>
          <w:highlight w:val="yellow"/>
        </w:rPr>
      </w:pPr>
      <w:r>
        <w:rPr>
          <w:rFonts w:cs="Times New Roman"/>
          <w:noProof/>
          <w:szCs w:val="24"/>
          <w:lang w:eastAsia="en-GB"/>
        </w:rPr>
        <w:drawing>
          <wp:inline distT="0" distB="0" distL="0" distR="0">
            <wp:extent cx="5362575" cy="31432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503" w:rsidRDefault="00D43464">
      <w:pPr>
        <w:spacing w:after="120"/>
        <w:contextualSpacing/>
        <w:jc w:val="both"/>
        <w:rPr>
          <w:rFonts w:cs="Times New Roman"/>
          <w:noProof/>
          <w:sz w:val="22"/>
        </w:rPr>
      </w:pPr>
      <w:r>
        <w:rPr>
          <w:noProof/>
          <w:sz w:val="22"/>
        </w:rPr>
        <w:t>Източник: Евростат</w:t>
      </w:r>
    </w:p>
    <w:p w:rsidR="004C6503" w:rsidRDefault="004C6503">
      <w:pPr>
        <w:spacing w:after="120"/>
        <w:contextualSpacing/>
        <w:jc w:val="both"/>
        <w:rPr>
          <w:rFonts w:cs="Times New Roman"/>
          <w:b/>
          <w:i/>
          <w:noProof/>
          <w:szCs w:val="24"/>
        </w:rPr>
      </w:pPr>
    </w:p>
    <w:p w:rsidR="004C6503" w:rsidRDefault="00D43464">
      <w:pPr>
        <w:spacing w:after="120"/>
        <w:jc w:val="both"/>
        <w:rPr>
          <w:rFonts w:cs="Times New Roman"/>
          <w:b/>
          <w:i/>
          <w:noProof/>
          <w:szCs w:val="24"/>
        </w:rPr>
      </w:pPr>
      <w:r>
        <w:rPr>
          <w:b/>
          <w:i/>
          <w:noProof/>
        </w:rPr>
        <w:t>Вторични суровини</w:t>
      </w:r>
    </w:p>
    <w:tbl>
      <w:tblPr>
        <w:tblStyle w:val="TableGrid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4C6503">
        <w:tc>
          <w:tcPr>
            <w:tcW w:w="9072" w:type="dxa"/>
            <w:shd w:val="clear" w:color="auto" w:fill="F2F2F2" w:themeFill="background1" w:themeFillShade="F2"/>
          </w:tcPr>
          <w:p w:rsidR="004C6503" w:rsidRDefault="00D43464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Приносът на рециклираните материали към общото търсене на материали е относително нисък. Търговията с вторични суровини нараства както</w:t>
            </w:r>
            <w:r>
              <w:rPr>
                <w:rFonts w:ascii="Times New Roman" w:hAnsi="Times New Roman"/>
                <w:noProof/>
                <w:sz w:val="24"/>
              </w:rPr>
              <w:t xml:space="preserve"> в ЕС, така и с трети страни.</w:t>
            </w:r>
          </w:p>
        </w:tc>
      </w:tr>
    </w:tbl>
    <w:p w:rsidR="004C6503" w:rsidRDefault="004C6503">
      <w:pPr>
        <w:spacing w:after="0"/>
        <w:jc w:val="both"/>
        <w:rPr>
          <w:rFonts w:cs="Times New Roman"/>
          <w:noProof/>
          <w:color w:val="000000"/>
          <w:position w:val="-2"/>
          <w:szCs w:val="24"/>
        </w:rPr>
      </w:pPr>
    </w:p>
    <w:p w:rsidR="004C6503" w:rsidRDefault="00D43464">
      <w:pPr>
        <w:spacing w:after="0"/>
        <w:jc w:val="both"/>
        <w:rPr>
          <w:rFonts w:cs="Times New Roman"/>
          <w:noProof/>
          <w:color w:val="000000"/>
          <w:position w:val="-2"/>
          <w:szCs w:val="24"/>
        </w:rPr>
      </w:pPr>
      <w:r>
        <w:rPr>
          <w:noProof/>
          <w:color w:val="000000"/>
          <w:position w:val="-2"/>
        </w:rPr>
        <w:t>В условията на кръгова икономика материалите, вложени в продукти и компоненти, се рециклират при излизането им от употреба, и след това се въвеждат отново в икономиката като вторични суровини. Това намалява отпечатъка на про</w:t>
      </w:r>
      <w:r>
        <w:rPr>
          <w:noProof/>
          <w:color w:val="000000"/>
          <w:position w:val="-2"/>
        </w:rPr>
        <w:t>изводството и потреблението върху околната среда и увеличава сигурността на доставките на суровини. Търсенето на суровини в ЕС надвишава дори количеството, което би постъпило, ако всички отпадъци се преработваха във вторични суровини. Следователно  доставк</w:t>
      </w:r>
      <w:r>
        <w:rPr>
          <w:noProof/>
          <w:color w:val="000000"/>
          <w:position w:val="-2"/>
        </w:rPr>
        <w:t xml:space="preserve">ите на първични суровини ще продължават да бъдат необходими. </w:t>
      </w:r>
    </w:p>
    <w:p w:rsidR="004C6503" w:rsidRDefault="004C6503">
      <w:pPr>
        <w:spacing w:after="0"/>
        <w:jc w:val="both"/>
        <w:rPr>
          <w:rFonts w:cs="Times New Roman"/>
          <w:noProof/>
          <w:color w:val="000000"/>
          <w:position w:val="-2"/>
          <w:szCs w:val="24"/>
        </w:rPr>
      </w:pPr>
    </w:p>
    <w:p w:rsidR="004C6503" w:rsidRDefault="00D43464">
      <w:pPr>
        <w:spacing w:after="0"/>
        <w:jc w:val="both"/>
        <w:rPr>
          <w:rFonts w:eastAsia="Cambria" w:cs="Times New Roman"/>
          <w:noProof/>
          <w:color w:val="000000"/>
          <w:position w:val="-2"/>
          <w:szCs w:val="24"/>
        </w:rPr>
      </w:pPr>
      <w:r>
        <w:rPr>
          <w:b/>
          <w:noProof/>
          <w:color w:val="000000"/>
          <w:position w:val="-2"/>
        </w:rPr>
        <w:t>Рециклираните материали</w:t>
      </w:r>
      <w:r>
        <w:rPr>
          <w:noProof/>
          <w:color w:val="000000"/>
          <w:position w:val="-2"/>
        </w:rPr>
        <w:t xml:space="preserve"> средно задоволяват едва </w:t>
      </w:r>
      <w:r>
        <w:rPr>
          <w:b/>
          <w:noProof/>
          <w:color w:val="000000"/>
          <w:position w:val="-2"/>
        </w:rPr>
        <w:t xml:space="preserve">около 10 % от търсенето на материали в ЕС, </w:t>
      </w:r>
      <w:r>
        <w:rPr>
          <w:noProof/>
          <w:color w:val="000000"/>
          <w:position w:val="-2"/>
        </w:rPr>
        <w:t>въпреки стабилното подобряване от 2004 г. досега. За редица насипни материали вторичните суровини задо</w:t>
      </w:r>
      <w:r>
        <w:rPr>
          <w:noProof/>
          <w:color w:val="000000"/>
          <w:position w:val="-2"/>
        </w:rPr>
        <w:t>воляват над 30 % от общото търсене на материали (например мед и никел). За голям брой материали обаче, включително почти всички критични суровини, приносът на рециклираните материали към задоволяването на търсенето на суровини е все още малък до незначител</w:t>
      </w:r>
      <w:r>
        <w:rPr>
          <w:noProof/>
          <w:color w:val="000000"/>
          <w:position w:val="-2"/>
        </w:rPr>
        <w:t>ен. Това може да се дължи на недостатъчната рентабилност при рециклирането им, на липсата на технологии за тяхното рециклиране или на влагането им в продукти, предназначени за продължителна употреба (например редкоземните елементи, използвани във вятърни т</w:t>
      </w:r>
      <w:r>
        <w:rPr>
          <w:noProof/>
          <w:color w:val="000000"/>
          <w:position w:val="-2"/>
        </w:rPr>
        <w:t xml:space="preserve">урбини). </w:t>
      </w:r>
    </w:p>
    <w:p w:rsidR="004C6503" w:rsidRDefault="004C6503">
      <w:pPr>
        <w:spacing w:after="0"/>
        <w:jc w:val="both"/>
        <w:rPr>
          <w:rFonts w:eastAsia="Cambria" w:cs="Times New Roman"/>
          <w:noProof/>
          <w:color w:val="000000"/>
          <w:position w:val="-2"/>
          <w:szCs w:val="24"/>
        </w:rPr>
      </w:pPr>
    </w:p>
    <w:p w:rsidR="004C6503" w:rsidRDefault="00D43464">
      <w:pPr>
        <w:contextualSpacing/>
        <w:jc w:val="both"/>
        <w:rPr>
          <w:rFonts w:eastAsia="Cambria" w:cs="Times New Roman"/>
          <w:noProof/>
          <w:color w:val="000000"/>
          <w:position w:val="-2"/>
          <w:szCs w:val="24"/>
        </w:rPr>
      </w:pPr>
      <w:r>
        <w:rPr>
          <w:noProof/>
          <w:color w:val="000000"/>
          <w:position w:val="-2"/>
        </w:rPr>
        <w:t xml:space="preserve">Освен това показателят за търговия с рециклируеми отпадъци разкрива, че </w:t>
      </w:r>
      <w:r>
        <w:rPr>
          <w:b/>
          <w:noProof/>
          <w:color w:val="000000"/>
          <w:position w:val="-2"/>
        </w:rPr>
        <w:t>ЕС е нетен износител на няколко големи потока от рециклируеми отпадъци,</w:t>
      </w:r>
      <w:r>
        <w:rPr>
          <w:noProof/>
          <w:color w:val="000000"/>
          <w:position w:val="-2"/>
        </w:rPr>
        <w:t xml:space="preserve"> като например пластмаси, хартия и картон, желязо и стомана, мед, алуминий и никел. </w:t>
      </w:r>
      <w:r>
        <w:rPr>
          <w:b/>
          <w:noProof/>
          <w:color w:val="000000"/>
          <w:position w:val="-2"/>
        </w:rPr>
        <w:t>Търговията в ЕС</w:t>
      </w:r>
      <w:r>
        <w:rPr>
          <w:noProof/>
          <w:color w:val="000000"/>
          <w:position w:val="-2"/>
        </w:rPr>
        <w:t xml:space="preserve"> с </w:t>
      </w:r>
      <w:r>
        <w:rPr>
          <w:noProof/>
          <w:color w:val="000000"/>
          <w:position w:val="-2"/>
        </w:rPr>
        <w:t xml:space="preserve">отпадъци от пластмаси, хартия и картон, мед, алуминий, никел и ценни метали </w:t>
      </w:r>
      <w:r>
        <w:rPr>
          <w:b/>
          <w:noProof/>
          <w:color w:val="000000"/>
          <w:position w:val="-2"/>
        </w:rPr>
        <w:t>нарасна значително</w:t>
      </w:r>
      <w:r>
        <w:rPr>
          <w:noProof/>
          <w:color w:val="000000"/>
          <w:position w:val="-2"/>
        </w:rPr>
        <w:t xml:space="preserve"> през периода 2004—2016 г., позволявайки на икономическите оператори да се възползват от предимствата на вътрешния пазар на ЕС за вторични суровини.</w:t>
      </w:r>
    </w:p>
    <w:p w:rsidR="004C6503" w:rsidRDefault="004C6503">
      <w:pPr>
        <w:spacing w:after="120"/>
        <w:contextualSpacing/>
        <w:jc w:val="both"/>
        <w:rPr>
          <w:rFonts w:cs="Times New Roman"/>
          <w:b/>
          <w:i/>
          <w:noProof/>
          <w:szCs w:val="24"/>
        </w:rPr>
      </w:pPr>
    </w:p>
    <w:p w:rsidR="004C6503" w:rsidRDefault="00D43464">
      <w:pPr>
        <w:spacing w:after="120"/>
        <w:jc w:val="both"/>
        <w:rPr>
          <w:rFonts w:cs="Times New Roman"/>
          <w:b/>
          <w:i/>
          <w:noProof/>
          <w:szCs w:val="24"/>
        </w:rPr>
      </w:pPr>
      <w:r>
        <w:rPr>
          <w:b/>
          <w:i/>
          <w:noProof/>
        </w:rPr>
        <w:t>Конкурентосп</w:t>
      </w:r>
      <w:r>
        <w:rPr>
          <w:b/>
          <w:i/>
          <w:noProof/>
        </w:rPr>
        <w:t>особност и иновации</w:t>
      </w:r>
    </w:p>
    <w:tbl>
      <w:tblPr>
        <w:tblStyle w:val="TableGrid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4C6503">
        <w:tc>
          <w:tcPr>
            <w:tcW w:w="9072" w:type="dxa"/>
            <w:shd w:val="clear" w:color="auto" w:fill="F2F2F2" w:themeFill="background1" w:themeFillShade="F2"/>
          </w:tcPr>
          <w:p w:rsidR="004C6503" w:rsidRDefault="00D43464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Преходът към кръгова икономика увеличава инвестициите, добавената стойност и работните места, и стимулира иновациите. </w:t>
            </w:r>
          </w:p>
        </w:tc>
      </w:tr>
    </w:tbl>
    <w:p w:rsidR="004C6503" w:rsidRDefault="004C6503">
      <w:pPr>
        <w:spacing w:after="0"/>
        <w:jc w:val="both"/>
        <w:rPr>
          <w:rFonts w:cs="Times New Roman"/>
          <w:noProof/>
          <w:color w:val="000000"/>
          <w:position w:val="-2"/>
          <w:szCs w:val="24"/>
        </w:rPr>
      </w:pPr>
    </w:p>
    <w:p w:rsidR="004C6503" w:rsidRDefault="00D43464">
      <w:pPr>
        <w:jc w:val="both"/>
        <w:rPr>
          <w:rFonts w:cs="Times New Roman"/>
          <w:noProof/>
          <w:color w:val="000000"/>
          <w:position w:val="-2"/>
          <w:szCs w:val="24"/>
        </w:rPr>
      </w:pPr>
      <w:r>
        <w:rPr>
          <w:rFonts w:cs="Times New Roman"/>
          <w:noProof/>
          <w:color w:val="000000"/>
          <w:position w:val="-2"/>
          <w:szCs w:val="24"/>
          <w:lang w:eastAsia="en-GB"/>
        </w:rPr>
        <w:drawing>
          <wp:inline distT="0" distB="0" distL="0" distR="0">
            <wp:extent cx="5762625" cy="14573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503" w:rsidRDefault="00D43464">
      <w:pPr>
        <w:jc w:val="both"/>
        <w:rPr>
          <w:rFonts w:cs="Times New Roman"/>
          <w:noProof/>
          <w:color w:val="000000"/>
          <w:position w:val="-2"/>
          <w:sz w:val="22"/>
        </w:rPr>
      </w:pPr>
      <w:r>
        <w:rPr>
          <w:noProof/>
          <w:color w:val="000000"/>
          <w:position w:val="-2"/>
          <w:sz w:val="22"/>
        </w:rPr>
        <w:t>Източник: Евростат</w:t>
      </w:r>
    </w:p>
    <w:p w:rsidR="004C6503" w:rsidRDefault="00D43464">
      <w:pPr>
        <w:jc w:val="both"/>
        <w:rPr>
          <w:rFonts w:cs="Times New Roman"/>
          <w:noProof/>
          <w:color w:val="000000"/>
          <w:position w:val="-2"/>
          <w:szCs w:val="24"/>
        </w:rPr>
      </w:pPr>
      <w:r>
        <w:rPr>
          <w:noProof/>
          <w:color w:val="000000"/>
          <w:position w:val="-2"/>
        </w:rPr>
        <w:t xml:space="preserve">През 2014 г. </w:t>
      </w:r>
      <w:r>
        <w:rPr>
          <w:b/>
          <w:noProof/>
          <w:color w:val="000000"/>
          <w:position w:val="-2"/>
        </w:rPr>
        <w:t>частните инвестиции</w:t>
      </w:r>
      <w:r>
        <w:rPr>
          <w:noProof/>
          <w:color w:val="000000"/>
          <w:position w:val="-2"/>
        </w:rPr>
        <w:t xml:space="preserve"> в подгрупа от икономически сектори, имащи значение за кръговата икономика,</w:t>
      </w:r>
      <w:r>
        <w:rPr>
          <w:rStyle w:val="FootnoteReference"/>
          <w:noProof/>
          <w:color w:val="000000"/>
          <w:position w:val="-2"/>
        </w:rPr>
        <w:footnoteReference w:id="28"/>
      </w:r>
      <w:r>
        <w:rPr>
          <w:noProof/>
          <w:color w:val="000000"/>
          <w:position w:val="-2"/>
        </w:rPr>
        <w:t xml:space="preserve"> се оценяват на около </w:t>
      </w:r>
      <w:r>
        <w:rPr>
          <w:b/>
          <w:noProof/>
          <w:color w:val="000000"/>
          <w:position w:val="-2"/>
        </w:rPr>
        <w:t>15</w:t>
      </w:r>
      <w:r>
        <w:rPr>
          <w:noProof/>
          <w:color w:val="000000"/>
          <w:position w:val="-2"/>
        </w:rPr>
        <w:t> </w:t>
      </w:r>
      <w:r>
        <w:rPr>
          <w:b/>
          <w:noProof/>
          <w:color w:val="000000"/>
          <w:position w:val="-2"/>
        </w:rPr>
        <w:t>милиарда евро</w:t>
      </w:r>
      <w:r>
        <w:rPr>
          <w:noProof/>
          <w:color w:val="000000"/>
          <w:position w:val="-2"/>
        </w:rPr>
        <w:t xml:space="preserve"> в ЕС (т.е. 0,1 % от БВП). През същата година в тези сектори е имало над 3,9 милиона </w:t>
      </w:r>
      <w:r>
        <w:rPr>
          <w:b/>
          <w:noProof/>
          <w:color w:val="000000"/>
          <w:position w:val="-2"/>
        </w:rPr>
        <w:t>работни места</w:t>
      </w:r>
      <w:r>
        <w:rPr>
          <w:noProof/>
          <w:color w:val="000000"/>
          <w:position w:val="-2"/>
        </w:rPr>
        <w:t xml:space="preserve"> — </w:t>
      </w:r>
      <w:r>
        <w:rPr>
          <w:b/>
          <w:noProof/>
          <w:color w:val="000000"/>
          <w:position w:val="-2"/>
        </w:rPr>
        <w:t>увеличение от 2,3 %</w:t>
      </w:r>
      <w:r>
        <w:rPr>
          <w:noProof/>
          <w:color w:val="000000"/>
          <w:position w:val="-2"/>
        </w:rPr>
        <w:t xml:space="preserve"> в сравнение с 2012 г.</w:t>
      </w:r>
      <w:r>
        <w:rPr>
          <w:noProof/>
          <w:color w:val="000000"/>
          <w:position w:val="-2"/>
        </w:rPr>
        <w:t xml:space="preserve"> Въпреки икономическата и финансовата криза, тези сектори на кръговата икономика са създали около 141 милиарда евро </w:t>
      </w:r>
      <w:r>
        <w:rPr>
          <w:b/>
          <w:noProof/>
          <w:color w:val="000000"/>
          <w:position w:val="-2"/>
        </w:rPr>
        <w:t>добавена стойност</w:t>
      </w:r>
      <w:r>
        <w:rPr>
          <w:noProof/>
          <w:color w:val="000000"/>
          <w:position w:val="-2"/>
        </w:rPr>
        <w:t xml:space="preserve"> през 2014 г., което представлява </w:t>
      </w:r>
      <w:r>
        <w:rPr>
          <w:b/>
          <w:noProof/>
          <w:color w:val="000000"/>
          <w:position w:val="-2"/>
        </w:rPr>
        <w:t>увеличение от 6,1 %</w:t>
      </w:r>
      <w:r>
        <w:rPr>
          <w:noProof/>
          <w:color w:val="000000"/>
          <w:position w:val="-2"/>
        </w:rPr>
        <w:t xml:space="preserve"> в сравнение с 2012 г. Няколко програми на ЕС предлагат финансиране в </w:t>
      </w:r>
      <w:r>
        <w:rPr>
          <w:noProof/>
          <w:color w:val="000000"/>
          <w:position w:val="-2"/>
        </w:rPr>
        <w:t>подкрепа на прехода към кръгова икономика, като например Европейският фонд за стратегически инвестиции, Европейските структурни и инвестиционни фондове, програма „Хоризонт 2020“ и програма LIFE. В допълнение, през януари 2017 г. бе поставено началото на Пл</w:t>
      </w:r>
      <w:r>
        <w:rPr>
          <w:noProof/>
          <w:color w:val="000000"/>
          <w:position w:val="-2"/>
        </w:rPr>
        <w:t xml:space="preserve">атформа за финансова подкрепа на кръговата икономика. </w:t>
      </w:r>
    </w:p>
    <w:p w:rsidR="004C6503" w:rsidRDefault="00D43464">
      <w:pPr>
        <w:jc w:val="both"/>
        <w:rPr>
          <w:rFonts w:cs="Times New Roman"/>
          <w:noProof/>
          <w:color w:val="000000"/>
          <w:position w:val="-2"/>
          <w:szCs w:val="24"/>
        </w:rPr>
      </w:pPr>
      <w:r>
        <w:rPr>
          <w:noProof/>
          <w:color w:val="000000"/>
          <w:position w:val="-2"/>
        </w:rPr>
        <w:t xml:space="preserve">Данните относно </w:t>
      </w:r>
      <w:r>
        <w:rPr>
          <w:b/>
          <w:noProof/>
          <w:color w:val="000000"/>
          <w:position w:val="-2"/>
        </w:rPr>
        <w:t xml:space="preserve">патентите </w:t>
      </w:r>
      <w:r>
        <w:rPr>
          <w:noProof/>
          <w:color w:val="000000"/>
          <w:position w:val="-2"/>
        </w:rPr>
        <w:t xml:space="preserve">за рециклиране и вторични суровини показват </w:t>
      </w:r>
      <w:r>
        <w:rPr>
          <w:b/>
          <w:noProof/>
          <w:color w:val="000000"/>
          <w:position w:val="-2"/>
        </w:rPr>
        <w:t>нарастване с 35 %</w:t>
      </w:r>
      <w:r>
        <w:rPr>
          <w:noProof/>
          <w:color w:val="000000"/>
          <w:position w:val="-2"/>
        </w:rPr>
        <w:t xml:space="preserve"> за периода 2000—2013 г. Патентите на ЕС за рециклиране на стъкло представляват 44 % от общия брой на тези патенти</w:t>
      </w:r>
      <w:r>
        <w:rPr>
          <w:noProof/>
          <w:color w:val="000000"/>
          <w:position w:val="-2"/>
        </w:rPr>
        <w:t xml:space="preserve"> в света, а тези за пластмаси и хартия — съответно 18 % и 23 %.</w:t>
      </w:r>
    </w:p>
    <w:p w:rsidR="004C6503" w:rsidRDefault="00D43464">
      <w:pPr>
        <w:pStyle w:val="Heading1"/>
        <w:keepNext/>
        <w:rPr>
          <w:rFonts w:cs="Times New Roman"/>
          <w:noProof/>
          <w:szCs w:val="24"/>
        </w:rPr>
      </w:pPr>
      <w:r>
        <w:rPr>
          <w:noProof/>
        </w:rPr>
        <w:t>Заключения</w:t>
      </w:r>
    </w:p>
    <w:p w:rsidR="004C6503" w:rsidRDefault="00D43464">
      <w:pPr>
        <w:jc w:val="both"/>
        <w:rPr>
          <w:rFonts w:cs="Times New Roman"/>
          <w:noProof/>
          <w:szCs w:val="24"/>
        </w:rPr>
      </w:pPr>
      <w:r>
        <w:rPr>
          <w:noProof/>
        </w:rPr>
        <w:t>Настоящата рамка за мониторинг отразява в един компактен набор от показатели основните елементи на кръговата икономика, включително жизнения цикъл на продуктите и материалите, приор</w:t>
      </w:r>
      <w:r>
        <w:rPr>
          <w:noProof/>
        </w:rPr>
        <w:t>итетните области и сектори, и въздействието върху конкурентоспособността, иновациите и заетостта. Следователно тя ще бъде инструмент за проследяване на основните тенденции в прехода, за оценяване на това дали въведените мерки и ангажираността на всички уча</w:t>
      </w:r>
      <w:r>
        <w:rPr>
          <w:noProof/>
        </w:rPr>
        <w:t>стници са били достатъчно ефективни, и за подпомагане на установяването на най-добри практики в държавите членки, които могат да бъдат разпространени.</w:t>
      </w:r>
    </w:p>
    <w:p w:rsidR="004C6503" w:rsidRDefault="00D43464">
      <w:pPr>
        <w:jc w:val="both"/>
        <w:rPr>
          <w:rFonts w:cs="Times New Roman"/>
          <w:noProof/>
          <w:szCs w:val="24"/>
        </w:rPr>
      </w:pPr>
      <w:r>
        <w:rPr>
          <w:noProof/>
        </w:rPr>
        <w:t>Показателите ще бъдат редовно осъвременявани на специализирания уебсайт на рамката за мониторинг</w:t>
      </w:r>
      <w:r>
        <w:rPr>
          <w:rStyle w:val="FootnoteReference"/>
          <w:noProof/>
        </w:rPr>
        <w:footnoteReference w:id="29"/>
      </w:r>
      <w:r>
        <w:rPr>
          <w:noProof/>
        </w:rPr>
        <w:t>. Посоче</w:t>
      </w:r>
      <w:r>
        <w:rPr>
          <w:noProof/>
        </w:rPr>
        <w:t>ният уебсайт включва също така инструменти за мониторинг на напредъка и документира методологиите за показателите, източниците на данни, определенията и стандартите за публикуване. Комисията ще продължава да работи върху показателите, които трябва да бъдат</w:t>
      </w:r>
      <w:r>
        <w:rPr>
          <w:noProof/>
        </w:rPr>
        <w:t xml:space="preserve"> доразвити, по-конкретно тези за отпадъците и за зелените обществени поръчки.</w:t>
      </w:r>
    </w:p>
    <w:p w:rsidR="004C6503" w:rsidRDefault="00D43464">
      <w:pPr>
        <w:jc w:val="both"/>
        <w:rPr>
          <w:rFonts w:cs="Times New Roman"/>
          <w:noProof/>
          <w:szCs w:val="24"/>
        </w:rPr>
      </w:pPr>
      <w:r>
        <w:rPr>
          <w:noProof/>
        </w:rPr>
        <w:t>Диалогът с държавите членки и със заинтересованите страни ще спомогне за усъвършенстването на рамката. По-конкретно, рамката разчита в голяма степен на високото качество на стати</w:t>
      </w:r>
      <w:r>
        <w:rPr>
          <w:noProof/>
        </w:rPr>
        <w:t>стическите данни, които държавите членки предоставят на Евростат. Комисията би приветствала също така участието на всички институции на ЕС.</w:t>
      </w:r>
    </w:p>
    <w:p w:rsidR="004C6503" w:rsidRDefault="004C6503">
      <w:pPr>
        <w:rPr>
          <w:noProof/>
        </w:rPr>
      </w:pPr>
    </w:p>
    <w:p w:rsidR="004C6503" w:rsidRDefault="004C6503">
      <w:pPr>
        <w:rPr>
          <w:noProof/>
        </w:rPr>
      </w:pPr>
    </w:p>
    <w:sectPr w:rsidR="004C650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E474710" w15:done="0"/>
  <w15:commentEx w15:paraId="3F7E23D4" w15:done="0"/>
  <w15:commentEx w15:paraId="65314EF6" w15:done="0"/>
  <w15:commentEx w15:paraId="2FAF1021" w15:done="0"/>
  <w15:commentEx w15:paraId="6A0A96E1" w15:done="0"/>
  <w15:commentEx w15:paraId="334B2E39" w15:done="0"/>
  <w15:commentEx w15:paraId="66391D8B" w15:done="0"/>
  <w15:commentEx w15:paraId="2A96B26A" w15:done="0"/>
  <w15:commentEx w15:paraId="382F395C" w15:done="0"/>
  <w15:commentEx w15:paraId="06B84C6D" w15:done="0"/>
  <w15:commentEx w15:paraId="6758A871" w15:done="0"/>
  <w15:commentEx w15:paraId="4F42F5C1" w15:done="0"/>
  <w15:commentEx w15:paraId="56DACCDF" w15:done="0"/>
  <w15:commentEx w15:paraId="22F26619" w15:done="0"/>
  <w15:commentEx w15:paraId="484393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474710" w16cid:durableId="1DCACE53"/>
  <w16cid:commentId w16cid:paraId="3F7E23D4" w16cid:durableId="1DCACE54"/>
  <w16cid:commentId w16cid:paraId="65314EF6" w16cid:durableId="1DCACE55"/>
  <w16cid:commentId w16cid:paraId="2FAF1021" w16cid:durableId="1DCACE56"/>
  <w16cid:commentId w16cid:paraId="6A0A96E1" w16cid:durableId="1DCACE57"/>
  <w16cid:commentId w16cid:paraId="334B2E39" w16cid:durableId="1DCACE58"/>
  <w16cid:commentId w16cid:paraId="66391D8B" w16cid:durableId="1DCACE59"/>
  <w16cid:commentId w16cid:paraId="2A96B26A" w16cid:durableId="1DCAD2DD"/>
  <w16cid:commentId w16cid:paraId="382F395C" w16cid:durableId="1DCACE5A"/>
  <w16cid:commentId w16cid:paraId="06B84C6D" w16cid:durableId="1DCACE5B"/>
  <w16cid:commentId w16cid:paraId="6758A871" w16cid:durableId="1DCACE5C"/>
  <w16cid:commentId w16cid:paraId="4F42F5C1" w16cid:durableId="1DCACE5D"/>
  <w16cid:commentId w16cid:paraId="56DACCDF" w16cid:durableId="1DCACE5E"/>
  <w16cid:commentId w16cid:paraId="22F26619" w16cid:durableId="1DCACE5F"/>
  <w16cid:commentId w16cid:paraId="484393D0" w16cid:durableId="1DCACE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503" w:rsidRDefault="00D43464">
      <w:pPr>
        <w:spacing w:after="0" w:line="240" w:lineRule="auto"/>
      </w:pPr>
      <w:r>
        <w:separator/>
      </w:r>
    </w:p>
  </w:endnote>
  <w:endnote w:type="continuationSeparator" w:id="0">
    <w:p w:rsidR="004C6503" w:rsidRDefault="00D4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 Square Sans Cond Pro">
    <w:altName w:val="Calibri"/>
    <w:panose1 w:val="020B0506040000020004"/>
    <w:charset w:val="00"/>
    <w:family w:val="swiss"/>
    <w:pitch w:val="variable"/>
    <w:sig w:usb0="A00002BF" w:usb1="500000D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03" w:rsidRDefault="004C65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03" w:rsidRDefault="00D43464"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03" w:rsidRDefault="004C6503"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03" w:rsidRDefault="004C650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097340"/>
      <w:docPartObj>
        <w:docPartGallery w:val="Page Numbers (Bottom of Page)"/>
        <w:docPartUnique/>
      </w:docPartObj>
    </w:sdtPr>
    <w:sdtEndPr/>
    <w:sdtContent>
      <w:p w:rsidR="004C6503" w:rsidRDefault="00D434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C6503" w:rsidRDefault="004C6503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03" w:rsidRDefault="004C65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503" w:rsidRDefault="00D43464">
      <w:pPr>
        <w:spacing w:after="0" w:line="240" w:lineRule="auto"/>
      </w:pPr>
      <w:r>
        <w:separator/>
      </w:r>
    </w:p>
  </w:footnote>
  <w:footnote w:type="continuationSeparator" w:id="0">
    <w:p w:rsidR="004C6503" w:rsidRDefault="00D43464">
      <w:pPr>
        <w:spacing w:after="0" w:line="240" w:lineRule="auto"/>
      </w:pPr>
      <w:r>
        <w:continuationSeparator/>
      </w:r>
    </w:p>
  </w:footnote>
  <w:footnote w:id="1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COM(2017) 479.</w:t>
      </w:r>
    </w:p>
  </w:footnote>
  <w:footnote w:id="2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hyperlink r:id="rId1">
        <w:r>
          <w:rPr>
            <w:rStyle w:val="Hyperlink"/>
            <w:lang w:val="pt-PT"/>
          </w:rPr>
          <w:t>https://ec.europa.eu/info/strategy/international-strategies/global-topics/sustainable-developmen</w:t>
        </w:r>
        <w:r>
          <w:rPr>
            <w:rStyle w:val="Hyperlink"/>
            <w:lang w:val="pt-PT"/>
          </w:rPr>
          <w:t>t-goals/eu-approach-sustainable-development_bg</w:t>
        </w:r>
      </w:hyperlink>
      <w:r>
        <w:rPr>
          <w:lang w:val="pt-PT"/>
        </w:rPr>
        <w:t xml:space="preserve"> </w:t>
      </w:r>
    </w:p>
  </w:footnote>
  <w:footnote w:id="3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COM(2015) 614.</w:t>
      </w:r>
    </w:p>
  </w:footnote>
  <w:footnote w:id="4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hyperlink r:id="rId2" w:history="1">
        <w:r>
          <w:rPr>
            <w:rStyle w:val="Hyperlink"/>
            <w:lang w:val="sl-SI"/>
          </w:rPr>
          <w:t>http://www.consilium.europa.eu/en/press/press-releases/2016/06/20/envi-conclusions-circular-economy/pdf</w:t>
        </w:r>
      </w:hyperlink>
      <w:r>
        <w:rPr>
          <w:lang w:val="pt-PT"/>
        </w:rPr>
        <w:t>.</w:t>
      </w:r>
    </w:p>
  </w:footnote>
  <w:footnote w:id="5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r>
        <w:t>Резолюция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Ев</w:t>
      </w:r>
      <w:r>
        <w:t>ропейския</w:t>
      </w:r>
      <w:r>
        <w:rPr>
          <w:lang w:val="pt-PT"/>
        </w:rPr>
        <w:t xml:space="preserve"> </w:t>
      </w:r>
      <w:r>
        <w:t>парламент</w:t>
      </w:r>
      <w:r>
        <w:rPr>
          <w:lang w:val="pt-PT"/>
        </w:rPr>
        <w:t xml:space="preserve"> </w:t>
      </w:r>
      <w:r>
        <w:t>от</w:t>
      </w:r>
      <w:r>
        <w:rPr>
          <w:lang w:val="pt-PT"/>
        </w:rPr>
        <w:t xml:space="preserve"> 9 </w:t>
      </w:r>
      <w:r>
        <w:t>юли</w:t>
      </w:r>
      <w:r>
        <w:rPr>
          <w:lang w:val="pt-PT"/>
        </w:rPr>
        <w:t xml:space="preserve"> 2015 </w:t>
      </w:r>
      <w:r>
        <w:t>г</w:t>
      </w:r>
      <w:r>
        <w:rPr>
          <w:lang w:val="pt-PT"/>
        </w:rPr>
        <w:t xml:space="preserve">. </w:t>
      </w:r>
      <w:r>
        <w:t>относно</w:t>
      </w:r>
      <w:r>
        <w:rPr>
          <w:lang w:val="pt-PT"/>
        </w:rPr>
        <w:t xml:space="preserve"> </w:t>
      </w:r>
      <w:r>
        <w:t>ефективното</w:t>
      </w:r>
      <w:r>
        <w:rPr>
          <w:lang w:val="pt-PT"/>
        </w:rPr>
        <w:t xml:space="preserve"> </w:t>
      </w:r>
      <w:r>
        <w:t>използване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ресурсите</w:t>
      </w:r>
      <w:r>
        <w:rPr>
          <w:lang w:val="pt-PT"/>
        </w:rPr>
        <w:t xml:space="preserve"> – </w:t>
      </w:r>
      <w:r>
        <w:t>преминаване</w:t>
      </w:r>
      <w:r>
        <w:rPr>
          <w:lang w:val="pt-PT"/>
        </w:rPr>
        <w:t xml:space="preserve"> </w:t>
      </w:r>
      <w:r>
        <w:t>към</w:t>
      </w:r>
      <w:r>
        <w:rPr>
          <w:lang w:val="pt-PT"/>
        </w:rPr>
        <w:t xml:space="preserve"> </w:t>
      </w:r>
      <w:r>
        <w:t>кръгова</w:t>
      </w:r>
      <w:r>
        <w:rPr>
          <w:lang w:val="pt-PT"/>
        </w:rPr>
        <w:t xml:space="preserve"> </w:t>
      </w:r>
      <w:r>
        <w:t>икономика</w:t>
      </w:r>
      <w:r>
        <w:rPr>
          <w:lang w:val="pt-PT"/>
        </w:rPr>
        <w:t xml:space="preserve"> (</w:t>
      </w:r>
      <w:hyperlink r:id="rId3">
        <w:r>
          <w:rPr>
            <w:rStyle w:val="Hyperlink"/>
            <w:lang w:val="pt-PT"/>
          </w:rPr>
          <w:t>2014/2208(INI)</w:t>
        </w:r>
      </w:hyperlink>
      <w:r>
        <w:rPr>
          <w:lang w:val="pt-PT"/>
        </w:rPr>
        <w:t>).</w:t>
      </w:r>
    </w:p>
  </w:footnote>
  <w:footnote w:id="6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hyperlink r:id="rId4">
        <w:r>
          <w:rPr>
            <w:rStyle w:val="Hyperlink"/>
            <w:lang w:val="pt-PT"/>
          </w:rPr>
          <w:t>http://ec.europa.eu/environment/resource_efficiency/targets_indicators/scoreboard/index_en.htm</w:t>
        </w:r>
      </w:hyperlink>
      <w:r>
        <w:rPr>
          <w:lang w:val="pt-PT"/>
        </w:rPr>
        <w:t>.</w:t>
      </w:r>
    </w:p>
  </w:footnote>
  <w:footnote w:id="7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hyperlink r:id="rId5">
        <w:r>
          <w:rPr>
            <w:rStyle w:val="Hyperlink"/>
            <w:lang w:val="pt-PT"/>
          </w:rPr>
          <w:t>https://publications.europa.eu/en/publication-detail/-/publication/1ee65e21-9ac4-11e6-868c-01aa75ed71a1</w:t>
        </w:r>
      </w:hyperlink>
      <w:r>
        <w:rPr>
          <w:lang w:val="pt-PT"/>
        </w:rPr>
        <w:t>.</w:t>
      </w:r>
    </w:p>
  </w:footnote>
  <w:footnote w:id="8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hyperlink r:id="rId6">
        <w:r>
          <w:rPr>
            <w:rStyle w:val="Hyperlink"/>
            <w:lang w:val="pt-PT"/>
          </w:rPr>
          <w:t>http://e</w:t>
        </w:r>
        <w:r>
          <w:rPr>
            <w:rStyle w:val="Hyperlink"/>
            <w:lang w:val="pt-PT"/>
          </w:rPr>
          <w:t>c.europa.eu/eurostat/web/circular-economy</w:t>
        </w:r>
      </w:hyperlink>
      <w:r>
        <w:rPr>
          <w:lang w:val="pt-PT"/>
        </w:rPr>
        <w:t xml:space="preserve"> </w:t>
      </w:r>
    </w:p>
  </w:footnote>
  <w:footnote w:id="9">
    <w:p w:rsidR="004C6503" w:rsidRDefault="00D43464">
      <w:pPr>
        <w:pStyle w:val="FootnoteText"/>
        <w:rPr>
          <w:sz w:val="16"/>
          <w:lang w:val="pt-PT"/>
        </w:rPr>
      </w:pPr>
      <w:r>
        <w:rPr>
          <w:rStyle w:val="FootnoteReference"/>
        </w:rPr>
        <w:footnoteRef/>
      </w:r>
      <w:r>
        <w:rPr>
          <w:sz w:val="16"/>
          <w:lang w:val="pt-PT"/>
        </w:rPr>
        <w:t xml:space="preserve"> </w:t>
      </w:r>
      <w:r>
        <w:t>Източник</w:t>
      </w:r>
      <w:r>
        <w:rPr>
          <w:lang w:val="pt-PT"/>
        </w:rPr>
        <w:t>: Andreas Mayer, Willi Haas, Dominik Wiedenhofer, Fridolin Krausmann, Philip Nuss, Gian Andrea Blengini (</w:t>
      </w:r>
      <w:r>
        <w:t>предстояща</w:t>
      </w:r>
      <w:r>
        <w:rPr>
          <w:lang w:val="pt-PT"/>
        </w:rPr>
        <w:t xml:space="preserve"> </w:t>
      </w:r>
      <w:r>
        <w:t>публикация</w:t>
      </w:r>
      <w:r>
        <w:rPr>
          <w:lang w:val="pt-PT"/>
        </w:rPr>
        <w:t xml:space="preserve">): Monitoring the circular economy in the EU28 - A mass-balanced assessment </w:t>
      </w:r>
      <w:r>
        <w:rPr>
          <w:lang w:val="pt-PT"/>
        </w:rPr>
        <w:t>of economy wide material flows, waste and emissions from official statistics („</w:t>
      </w:r>
      <w:r>
        <w:t>Наблюдение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кръговата</w:t>
      </w:r>
      <w:r>
        <w:rPr>
          <w:lang w:val="pt-PT"/>
        </w:rPr>
        <w:t xml:space="preserve"> </w:t>
      </w:r>
      <w:r>
        <w:t>икономика</w:t>
      </w:r>
      <w:r>
        <w:rPr>
          <w:lang w:val="pt-PT"/>
        </w:rPr>
        <w:t xml:space="preserve"> </w:t>
      </w:r>
      <w:r>
        <w:t>в</w:t>
      </w:r>
      <w:r>
        <w:rPr>
          <w:lang w:val="pt-PT"/>
        </w:rPr>
        <w:t xml:space="preserve"> </w:t>
      </w:r>
      <w:r>
        <w:t>ЕС</w:t>
      </w:r>
      <w:r>
        <w:rPr>
          <w:lang w:val="pt-PT"/>
        </w:rPr>
        <w:t xml:space="preserve">28 — </w:t>
      </w:r>
      <w:r>
        <w:t>оценка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материалния</w:t>
      </w:r>
      <w:r>
        <w:rPr>
          <w:lang w:val="pt-PT"/>
        </w:rPr>
        <w:t xml:space="preserve"> </w:t>
      </w:r>
      <w:r>
        <w:t>баланс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потоците</w:t>
      </w:r>
      <w:r>
        <w:rPr>
          <w:lang w:val="pt-PT"/>
        </w:rPr>
        <w:t xml:space="preserve">, </w:t>
      </w:r>
      <w:r>
        <w:t>отпадъците</w:t>
      </w:r>
      <w:r>
        <w:rPr>
          <w:lang w:val="pt-PT"/>
        </w:rPr>
        <w:t xml:space="preserve"> </w:t>
      </w:r>
      <w:r>
        <w:t>и</w:t>
      </w:r>
      <w:r>
        <w:rPr>
          <w:lang w:val="pt-PT"/>
        </w:rPr>
        <w:t xml:space="preserve"> </w:t>
      </w:r>
      <w:r>
        <w:t>емисиите</w:t>
      </w:r>
      <w:r>
        <w:rPr>
          <w:lang w:val="pt-PT"/>
        </w:rPr>
        <w:t xml:space="preserve"> </w:t>
      </w:r>
      <w:r>
        <w:t>в</w:t>
      </w:r>
      <w:r>
        <w:rPr>
          <w:lang w:val="pt-PT"/>
        </w:rPr>
        <w:t xml:space="preserve"> </w:t>
      </w:r>
      <w:r>
        <w:t>икономиката</w:t>
      </w:r>
      <w:r>
        <w:rPr>
          <w:lang w:val="pt-PT"/>
        </w:rPr>
        <w:t xml:space="preserve"> </w:t>
      </w:r>
      <w:r>
        <w:t>като</w:t>
      </w:r>
      <w:r>
        <w:rPr>
          <w:lang w:val="pt-PT"/>
        </w:rPr>
        <w:t xml:space="preserve"> </w:t>
      </w:r>
      <w:r>
        <w:t>цяло</w:t>
      </w:r>
      <w:r>
        <w:rPr>
          <w:lang w:val="pt-PT"/>
        </w:rPr>
        <w:t xml:space="preserve"> </w:t>
      </w:r>
      <w:r>
        <w:t>въз</w:t>
      </w:r>
      <w:r>
        <w:rPr>
          <w:lang w:val="pt-PT"/>
        </w:rPr>
        <w:t xml:space="preserve"> </w:t>
      </w:r>
      <w:r>
        <w:t>основа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официални</w:t>
      </w:r>
      <w:r>
        <w:rPr>
          <w:lang w:val="pt-PT"/>
        </w:rPr>
        <w:t xml:space="preserve"> </w:t>
      </w:r>
      <w:r>
        <w:t>статистически</w:t>
      </w:r>
      <w:r>
        <w:rPr>
          <w:lang w:val="pt-PT"/>
        </w:rPr>
        <w:t xml:space="preserve"> </w:t>
      </w:r>
      <w:r>
        <w:t>данни</w:t>
      </w:r>
      <w:r>
        <w:rPr>
          <w:lang w:val="pt-PT"/>
        </w:rPr>
        <w:t>“).</w:t>
      </w:r>
      <w:r>
        <w:rPr>
          <w:lang w:val="pt-PT"/>
        </w:rPr>
        <w:t xml:space="preserve"> </w:t>
      </w:r>
      <w:r>
        <w:t>В</w:t>
      </w:r>
      <w:r>
        <w:rPr>
          <w:lang w:val="pt-PT"/>
        </w:rPr>
        <w:t xml:space="preserve"> </w:t>
      </w:r>
      <w:r>
        <w:t>сп</w:t>
      </w:r>
      <w:r>
        <w:rPr>
          <w:lang w:val="pt-PT"/>
        </w:rPr>
        <w:t>. „Journal of Industrial Ecology“.</w:t>
      </w:r>
    </w:p>
  </w:footnote>
  <w:footnote w:id="10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r>
        <w:t>Използването</w:t>
      </w:r>
      <w:r>
        <w:rPr>
          <w:lang w:val="pt-PT"/>
        </w:rPr>
        <w:t xml:space="preserve"> </w:t>
      </w:r>
      <w:r>
        <w:t>за</w:t>
      </w:r>
      <w:r>
        <w:rPr>
          <w:lang w:val="pt-PT"/>
        </w:rPr>
        <w:t xml:space="preserve"> </w:t>
      </w:r>
      <w:r>
        <w:t>производство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енергия</w:t>
      </w:r>
      <w:r>
        <w:rPr>
          <w:lang w:val="pt-PT"/>
        </w:rPr>
        <w:t xml:space="preserve"> </w:t>
      </w:r>
      <w:r>
        <w:t>включва</w:t>
      </w:r>
      <w:r>
        <w:rPr>
          <w:lang w:val="pt-PT"/>
        </w:rPr>
        <w:t xml:space="preserve"> </w:t>
      </w:r>
      <w:r>
        <w:t>суровините</w:t>
      </w:r>
      <w:r>
        <w:rPr>
          <w:lang w:val="pt-PT"/>
        </w:rPr>
        <w:t xml:space="preserve">, </w:t>
      </w:r>
      <w:r>
        <w:t>използвани</w:t>
      </w:r>
      <w:r>
        <w:rPr>
          <w:lang w:val="pt-PT"/>
        </w:rPr>
        <w:t xml:space="preserve"> </w:t>
      </w:r>
      <w:r>
        <w:t>за</w:t>
      </w:r>
      <w:r>
        <w:rPr>
          <w:lang w:val="pt-PT"/>
        </w:rPr>
        <w:t xml:space="preserve"> </w:t>
      </w:r>
      <w:r>
        <w:t>изгаряне</w:t>
      </w:r>
      <w:r>
        <w:rPr>
          <w:lang w:val="pt-PT"/>
        </w:rPr>
        <w:t xml:space="preserve"> </w:t>
      </w:r>
      <w:r>
        <w:t>и</w:t>
      </w:r>
      <w:r>
        <w:rPr>
          <w:lang w:val="pt-PT"/>
        </w:rPr>
        <w:t xml:space="preserve"> </w:t>
      </w:r>
      <w:r>
        <w:t>за</w:t>
      </w:r>
      <w:r>
        <w:rPr>
          <w:lang w:val="pt-PT"/>
        </w:rPr>
        <w:t xml:space="preserve"> </w:t>
      </w:r>
      <w:r>
        <w:t>производство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храни</w:t>
      </w:r>
      <w:r>
        <w:rPr>
          <w:lang w:val="pt-PT"/>
        </w:rPr>
        <w:t xml:space="preserve"> </w:t>
      </w:r>
      <w:r>
        <w:t>и</w:t>
      </w:r>
      <w:r>
        <w:rPr>
          <w:lang w:val="pt-PT"/>
        </w:rPr>
        <w:t xml:space="preserve"> </w:t>
      </w:r>
      <w:r>
        <w:t>фуражи</w:t>
      </w:r>
      <w:r>
        <w:rPr>
          <w:lang w:val="pt-PT"/>
        </w:rPr>
        <w:t>.</w:t>
      </w:r>
    </w:p>
  </w:footnote>
  <w:footnote w:id="11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hyperlink r:id="rId7">
        <w:r>
          <w:rPr>
            <w:rStyle w:val="Hyperlink"/>
            <w:lang w:val="pt-PT"/>
          </w:rPr>
          <w:t>https://ec.europa.eu/info/law/better-regulation/initiatives/ares-2017-1830357_en</w:t>
        </w:r>
      </w:hyperlink>
      <w:r>
        <w:rPr>
          <w:lang w:val="pt-PT"/>
        </w:rPr>
        <w:t xml:space="preserve"> .</w:t>
      </w:r>
    </w:p>
  </w:footnote>
  <w:footnote w:id="12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r>
        <w:t>Съставители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официални</w:t>
      </w:r>
      <w:r>
        <w:rPr>
          <w:lang w:val="pt-PT"/>
        </w:rPr>
        <w:t xml:space="preserve"> </w:t>
      </w:r>
      <w:r>
        <w:t>статистически</w:t>
      </w:r>
      <w:r>
        <w:rPr>
          <w:lang w:val="pt-PT"/>
        </w:rPr>
        <w:t xml:space="preserve"> </w:t>
      </w:r>
      <w:r>
        <w:t>данни</w:t>
      </w:r>
      <w:r>
        <w:rPr>
          <w:lang w:val="pt-PT"/>
        </w:rPr>
        <w:t xml:space="preserve"> </w:t>
      </w:r>
      <w:r>
        <w:t>по</w:t>
      </w:r>
      <w:r>
        <w:rPr>
          <w:lang w:val="pt-PT"/>
        </w:rPr>
        <w:t xml:space="preserve">  </w:t>
      </w:r>
      <w:r>
        <w:t>сметките</w:t>
      </w:r>
      <w:r>
        <w:rPr>
          <w:lang w:val="pt-PT"/>
        </w:rPr>
        <w:t xml:space="preserve"> </w:t>
      </w:r>
      <w:r>
        <w:t>за</w:t>
      </w:r>
      <w:r>
        <w:rPr>
          <w:lang w:val="pt-PT"/>
        </w:rPr>
        <w:t xml:space="preserve"> </w:t>
      </w:r>
      <w:r>
        <w:t>околната</w:t>
      </w:r>
      <w:r>
        <w:rPr>
          <w:lang w:val="pt-PT"/>
        </w:rPr>
        <w:t xml:space="preserve"> </w:t>
      </w:r>
      <w:r>
        <w:t>сре</w:t>
      </w:r>
      <w:r>
        <w:t>да</w:t>
      </w:r>
      <w:r>
        <w:rPr>
          <w:lang w:val="pt-PT"/>
        </w:rPr>
        <w:t xml:space="preserve"> </w:t>
      </w:r>
      <w:r>
        <w:t>и</w:t>
      </w:r>
      <w:r>
        <w:rPr>
          <w:lang w:val="pt-PT"/>
        </w:rPr>
        <w:t xml:space="preserve"> </w:t>
      </w:r>
      <w:r>
        <w:t>експерти</w:t>
      </w:r>
      <w:r>
        <w:rPr>
          <w:lang w:val="pt-PT"/>
        </w:rPr>
        <w:t xml:space="preserve"> </w:t>
      </w:r>
      <w:r>
        <w:t>по</w:t>
      </w:r>
      <w:r>
        <w:rPr>
          <w:lang w:val="pt-PT"/>
        </w:rPr>
        <w:t xml:space="preserve"> </w:t>
      </w:r>
      <w:r>
        <w:t>ефективно</w:t>
      </w:r>
      <w:r>
        <w:rPr>
          <w:lang w:val="pt-PT"/>
        </w:rPr>
        <w:t xml:space="preserve"> </w:t>
      </w:r>
      <w:r>
        <w:t>използване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ресурсите</w:t>
      </w:r>
      <w:r>
        <w:rPr>
          <w:lang w:val="pt-PT"/>
        </w:rPr>
        <w:t xml:space="preserve">, </w:t>
      </w:r>
      <w:r>
        <w:t>както</w:t>
      </w:r>
      <w:r>
        <w:rPr>
          <w:lang w:val="pt-PT"/>
        </w:rPr>
        <w:t xml:space="preserve"> </w:t>
      </w:r>
      <w:r>
        <w:t>и</w:t>
      </w:r>
      <w:r>
        <w:rPr>
          <w:lang w:val="pt-PT"/>
        </w:rPr>
        <w:t xml:space="preserve"> </w:t>
      </w:r>
      <w:r>
        <w:t>в</w:t>
      </w:r>
      <w:r>
        <w:rPr>
          <w:lang w:val="pt-PT"/>
        </w:rPr>
        <w:t xml:space="preserve"> </w:t>
      </w:r>
      <w:r>
        <w:t>областта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интегрираната</w:t>
      </w:r>
      <w:r>
        <w:rPr>
          <w:lang w:val="pt-PT"/>
        </w:rPr>
        <w:t xml:space="preserve"> </w:t>
      </w:r>
      <w:r>
        <w:t>политика</w:t>
      </w:r>
      <w:r>
        <w:rPr>
          <w:lang w:val="pt-PT"/>
        </w:rPr>
        <w:t xml:space="preserve"> </w:t>
      </w:r>
      <w:r>
        <w:t>за</w:t>
      </w:r>
      <w:r>
        <w:rPr>
          <w:lang w:val="pt-PT"/>
        </w:rPr>
        <w:t xml:space="preserve"> </w:t>
      </w:r>
      <w:r>
        <w:t>продуктите</w:t>
      </w:r>
      <w:r>
        <w:rPr>
          <w:lang w:val="pt-PT"/>
        </w:rPr>
        <w:t xml:space="preserve"> </w:t>
      </w:r>
      <w:r>
        <w:t>и</w:t>
      </w:r>
      <w:r>
        <w:rPr>
          <w:lang w:val="pt-PT"/>
        </w:rPr>
        <w:t xml:space="preserve"> </w:t>
      </w:r>
      <w:r>
        <w:t>политиката</w:t>
      </w:r>
      <w:r>
        <w:rPr>
          <w:lang w:val="pt-PT"/>
        </w:rPr>
        <w:t xml:space="preserve"> </w:t>
      </w:r>
      <w:r>
        <w:t>за</w:t>
      </w:r>
      <w:r>
        <w:rPr>
          <w:lang w:val="pt-PT"/>
        </w:rPr>
        <w:t xml:space="preserve"> </w:t>
      </w:r>
      <w:r>
        <w:t>суровините</w:t>
      </w:r>
      <w:r>
        <w:rPr>
          <w:lang w:val="pt-PT"/>
        </w:rPr>
        <w:t xml:space="preserve">: </w:t>
      </w:r>
      <w:hyperlink r:id="rId8">
        <w:r>
          <w:rPr>
            <w:rStyle w:val="Hyperlink"/>
            <w:lang w:val="pt-PT"/>
          </w:rPr>
          <w:t>http:</w:t>
        </w:r>
        <w:r>
          <w:rPr>
            <w:rStyle w:val="Hyperlink"/>
            <w:lang w:val="pt-PT"/>
          </w:rPr>
          <w:t>//ec.europa.eu/transparency/regexpert/index.cfm?do=groupDetail.groupDetail&amp;groupID=2673</w:t>
        </w:r>
      </w:hyperlink>
      <w:r>
        <w:rPr>
          <w:lang w:val="pt-PT"/>
        </w:rPr>
        <w:t xml:space="preserve">, </w:t>
      </w:r>
      <w:hyperlink r:id="rId9">
        <w:r>
          <w:rPr>
            <w:rStyle w:val="Hyperlink"/>
            <w:lang w:val="pt-PT"/>
          </w:rPr>
          <w:t>http://ec.europa.eu/transparency/regexpert/index.cfm?do=</w:t>
        </w:r>
        <w:r>
          <w:rPr>
            <w:rStyle w:val="Hyperlink"/>
            <w:lang w:val="pt-PT"/>
          </w:rPr>
          <w:t>groupDetail.groupDetail&amp;groupID=470</w:t>
        </w:r>
      </w:hyperlink>
      <w:r>
        <w:rPr>
          <w:lang w:val="pt-PT"/>
        </w:rPr>
        <w:t xml:space="preserve">, </w:t>
      </w:r>
      <w:hyperlink r:id="rId10">
        <w:r>
          <w:rPr>
            <w:rStyle w:val="Hyperlink"/>
            <w:lang w:val="pt-PT"/>
          </w:rPr>
          <w:t>http://ec.europa.eu/transparency/regexpert/index.cfm?do=groupDetail.groupDetail&amp;groupID=2812</w:t>
        </w:r>
      </w:hyperlink>
      <w:r>
        <w:rPr>
          <w:lang w:val="pt-PT"/>
        </w:rPr>
        <w:t xml:space="preserve">,   </w:t>
      </w:r>
      <w:hyperlink r:id="rId11">
        <w:r>
          <w:rPr>
            <w:rStyle w:val="Hyperlink"/>
            <w:lang w:val="pt-PT"/>
          </w:rPr>
          <w:t>http://ec.europa.eu/transparency/regexpert/index.cfm?do=groupDetail.groupDetail&amp;groupID=1353</w:t>
        </w:r>
      </w:hyperlink>
      <w:r>
        <w:rPr>
          <w:lang w:val="pt-PT"/>
        </w:rPr>
        <w:t>.</w:t>
      </w:r>
    </w:p>
  </w:footnote>
  <w:footnote w:id="13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COM(2015) 595 final</w:t>
      </w:r>
    </w:p>
  </w:footnote>
  <w:footnote w:id="14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hyperlink r:id="rId12">
        <w:r>
          <w:rPr>
            <w:rStyle w:val="Hyperlink"/>
            <w:lang w:val="pt-PT"/>
          </w:rPr>
          <w:t>COM(2015) 596 final</w:t>
        </w:r>
      </w:hyperlink>
      <w:r>
        <w:rPr>
          <w:rStyle w:val="Hyperlink"/>
          <w:lang w:val="pt-PT"/>
        </w:rPr>
        <w:t>.</w:t>
      </w:r>
    </w:p>
  </w:footnote>
  <w:footnote w:id="15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hyperlink r:id="rId13">
        <w:r>
          <w:rPr>
            <w:rStyle w:val="Hyperlink"/>
            <w:lang w:val="pt-PT"/>
          </w:rPr>
          <w:t>http://rmis.jrc.ec.europa.eu/</w:t>
        </w:r>
      </w:hyperlink>
    </w:p>
  </w:footnote>
  <w:footnote w:id="16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COM(2017) 490.</w:t>
      </w:r>
    </w:p>
  </w:footnote>
  <w:footnote w:id="17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r>
        <w:t>Например</w:t>
      </w:r>
      <w:r>
        <w:rPr>
          <w:lang w:val="pt-PT"/>
        </w:rPr>
        <w:t xml:space="preserve"> </w:t>
      </w:r>
      <w:r>
        <w:t>кобалт</w:t>
      </w:r>
      <w:r>
        <w:rPr>
          <w:lang w:val="pt-PT"/>
        </w:rPr>
        <w:t xml:space="preserve"> </w:t>
      </w:r>
      <w:r>
        <w:t>за</w:t>
      </w:r>
      <w:r>
        <w:rPr>
          <w:lang w:val="pt-PT"/>
        </w:rPr>
        <w:t xml:space="preserve"> </w:t>
      </w:r>
      <w:r>
        <w:t>батерии</w:t>
      </w:r>
      <w:r>
        <w:rPr>
          <w:lang w:val="pt-PT"/>
        </w:rPr>
        <w:t xml:space="preserve">, </w:t>
      </w:r>
      <w:r>
        <w:t>използвани</w:t>
      </w:r>
      <w:r>
        <w:rPr>
          <w:lang w:val="pt-PT"/>
        </w:rPr>
        <w:t xml:space="preserve"> </w:t>
      </w:r>
      <w:r>
        <w:t>в</w:t>
      </w:r>
      <w:r>
        <w:rPr>
          <w:lang w:val="pt-PT"/>
        </w:rPr>
        <w:t xml:space="preserve"> </w:t>
      </w:r>
      <w:r>
        <w:t>електрич</w:t>
      </w:r>
      <w:r>
        <w:t>еските</w:t>
      </w:r>
      <w:r>
        <w:rPr>
          <w:lang w:val="pt-PT"/>
        </w:rPr>
        <w:t xml:space="preserve"> </w:t>
      </w:r>
      <w:r>
        <w:t>автомобили</w:t>
      </w:r>
      <w:r>
        <w:rPr>
          <w:lang w:val="pt-PT"/>
        </w:rPr>
        <w:t xml:space="preserve">, </w:t>
      </w:r>
      <w:r>
        <w:t>и</w:t>
      </w:r>
      <w:r>
        <w:rPr>
          <w:lang w:val="pt-PT"/>
        </w:rPr>
        <w:t xml:space="preserve"> </w:t>
      </w:r>
      <w:r>
        <w:t>силиций</w:t>
      </w:r>
      <w:r>
        <w:rPr>
          <w:lang w:val="pt-PT"/>
        </w:rPr>
        <w:t xml:space="preserve"> </w:t>
      </w:r>
      <w:r>
        <w:t>за</w:t>
      </w:r>
      <w:r>
        <w:rPr>
          <w:lang w:val="pt-PT"/>
        </w:rPr>
        <w:t xml:space="preserve"> </w:t>
      </w:r>
      <w:r>
        <w:t>соларни</w:t>
      </w:r>
      <w:r>
        <w:rPr>
          <w:lang w:val="pt-PT"/>
        </w:rPr>
        <w:t xml:space="preserve"> </w:t>
      </w:r>
      <w:r>
        <w:t>панели</w:t>
      </w:r>
      <w:r>
        <w:rPr>
          <w:lang w:val="pt-PT"/>
        </w:rPr>
        <w:t xml:space="preserve">. </w:t>
      </w:r>
    </w:p>
  </w:footnote>
  <w:footnote w:id="18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hyperlink r:id="rId14">
        <w:r>
          <w:rPr>
            <w:rStyle w:val="Hyperlink"/>
            <w:lang w:val="pt-PT"/>
          </w:rPr>
          <w:t>http://ec.europa.eu/environment/gpp/index_en.htm</w:t>
        </w:r>
      </w:hyperlink>
      <w:r>
        <w:rPr>
          <w:lang w:val="pt-PT"/>
        </w:rPr>
        <w:t xml:space="preserve"> </w:t>
      </w:r>
    </w:p>
  </w:footnote>
  <w:footnote w:id="19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r>
        <w:t>Отпадъци</w:t>
      </w:r>
      <w:r>
        <w:rPr>
          <w:lang w:val="pt-PT"/>
        </w:rPr>
        <w:t xml:space="preserve"> </w:t>
      </w:r>
      <w:r>
        <w:t>от</w:t>
      </w:r>
      <w:r>
        <w:rPr>
          <w:lang w:val="pt-PT"/>
        </w:rPr>
        <w:t xml:space="preserve"> </w:t>
      </w:r>
      <w:r>
        <w:t>домакинства</w:t>
      </w:r>
      <w:r>
        <w:rPr>
          <w:lang w:val="pt-PT"/>
        </w:rPr>
        <w:t xml:space="preserve"> </w:t>
      </w:r>
      <w:r>
        <w:t>и</w:t>
      </w:r>
      <w:r>
        <w:rPr>
          <w:lang w:val="pt-PT"/>
        </w:rPr>
        <w:t xml:space="preserve"> </w:t>
      </w:r>
      <w:r>
        <w:t>от</w:t>
      </w:r>
      <w:r>
        <w:rPr>
          <w:lang w:val="pt-PT"/>
        </w:rPr>
        <w:t xml:space="preserve"> </w:t>
      </w:r>
      <w:r>
        <w:t>обществени</w:t>
      </w:r>
      <w:r>
        <w:rPr>
          <w:lang w:val="pt-PT"/>
        </w:rPr>
        <w:t xml:space="preserve"> </w:t>
      </w:r>
      <w:r>
        <w:t>места</w:t>
      </w:r>
      <w:r>
        <w:rPr>
          <w:lang w:val="pt-PT"/>
        </w:rPr>
        <w:t xml:space="preserve"> </w:t>
      </w:r>
      <w:r>
        <w:t>и</w:t>
      </w:r>
      <w:r>
        <w:rPr>
          <w:lang w:val="pt-PT"/>
        </w:rPr>
        <w:t xml:space="preserve"> </w:t>
      </w:r>
      <w:r>
        <w:t>подобни</w:t>
      </w:r>
      <w:r>
        <w:rPr>
          <w:lang w:val="pt-PT"/>
        </w:rPr>
        <w:t xml:space="preserve"> </w:t>
      </w:r>
      <w:r>
        <w:t>отпадъци</w:t>
      </w:r>
      <w:r>
        <w:rPr>
          <w:lang w:val="pt-PT"/>
        </w:rPr>
        <w:t xml:space="preserve"> </w:t>
      </w:r>
      <w:r>
        <w:t>от</w:t>
      </w:r>
      <w:r>
        <w:rPr>
          <w:lang w:val="pt-PT"/>
        </w:rPr>
        <w:t xml:space="preserve"> </w:t>
      </w:r>
      <w:r>
        <w:t>други</w:t>
      </w:r>
      <w:r>
        <w:rPr>
          <w:lang w:val="pt-PT"/>
        </w:rPr>
        <w:t xml:space="preserve"> </w:t>
      </w:r>
      <w:r>
        <w:t>източници</w:t>
      </w:r>
      <w:r>
        <w:rPr>
          <w:lang w:val="pt-PT"/>
        </w:rPr>
        <w:t>.</w:t>
      </w:r>
    </w:p>
  </w:footnote>
  <w:footnote w:id="20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r>
        <w:t>Част</w:t>
      </w:r>
      <w:r>
        <w:rPr>
          <w:lang w:val="pt-PT"/>
        </w:rPr>
        <w:t xml:space="preserve"> </w:t>
      </w:r>
      <w:r>
        <w:t>от</w:t>
      </w:r>
      <w:r>
        <w:rPr>
          <w:lang w:val="pt-PT"/>
        </w:rPr>
        <w:t xml:space="preserve"> </w:t>
      </w:r>
      <w:r>
        <w:t>тези</w:t>
      </w:r>
      <w:r>
        <w:rPr>
          <w:lang w:val="pt-PT"/>
        </w:rPr>
        <w:t xml:space="preserve"> </w:t>
      </w:r>
      <w:r>
        <w:t>разлики</w:t>
      </w:r>
      <w:r>
        <w:rPr>
          <w:lang w:val="pt-PT"/>
        </w:rPr>
        <w:t xml:space="preserve"> </w:t>
      </w:r>
      <w:r>
        <w:t>могат</w:t>
      </w:r>
      <w:r>
        <w:rPr>
          <w:lang w:val="pt-PT"/>
        </w:rPr>
        <w:t xml:space="preserve"> </w:t>
      </w:r>
      <w:r>
        <w:t>да</w:t>
      </w:r>
      <w:r>
        <w:rPr>
          <w:lang w:val="pt-PT"/>
        </w:rPr>
        <w:t xml:space="preserve"> </w:t>
      </w:r>
      <w:r>
        <w:t>бъдат</w:t>
      </w:r>
      <w:r>
        <w:rPr>
          <w:lang w:val="pt-PT"/>
        </w:rPr>
        <w:t xml:space="preserve"> </w:t>
      </w:r>
      <w:r>
        <w:t>обяснени</w:t>
      </w:r>
      <w:r>
        <w:rPr>
          <w:lang w:val="pt-PT"/>
        </w:rPr>
        <w:t xml:space="preserve"> </w:t>
      </w:r>
      <w:r>
        <w:t>с</w:t>
      </w:r>
      <w:r>
        <w:rPr>
          <w:lang w:val="pt-PT"/>
        </w:rPr>
        <w:t xml:space="preserve"> </w:t>
      </w:r>
      <w:r>
        <w:t>различните</w:t>
      </w:r>
      <w:r>
        <w:rPr>
          <w:lang w:val="pt-PT"/>
        </w:rPr>
        <w:t xml:space="preserve"> </w:t>
      </w:r>
      <w:r>
        <w:t>начини</w:t>
      </w:r>
      <w:r>
        <w:rPr>
          <w:lang w:val="pt-PT"/>
        </w:rPr>
        <w:t xml:space="preserve">, </w:t>
      </w:r>
      <w:r>
        <w:t>по</w:t>
      </w:r>
      <w:r>
        <w:rPr>
          <w:lang w:val="pt-PT"/>
        </w:rPr>
        <w:t xml:space="preserve"> </w:t>
      </w:r>
      <w:r>
        <w:t>които</w:t>
      </w:r>
      <w:r>
        <w:rPr>
          <w:lang w:val="pt-PT"/>
        </w:rPr>
        <w:t xml:space="preserve"> </w:t>
      </w:r>
      <w:r>
        <w:t>държавите</w:t>
      </w:r>
      <w:r>
        <w:rPr>
          <w:lang w:val="pt-PT"/>
        </w:rPr>
        <w:t xml:space="preserve"> </w:t>
      </w:r>
      <w:r>
        <w:t>членки</w:t>
      </w:r>
      <w:r>
        <w:rPr>
          <w:lang w:val="pt-PT"/>
        </w:rPr>
        <w:t xml:space="preserve"> </w:t>
      </w:r>
      <w:r>
        <w:t>измерват</w:t>
      </w:r>
      <w:r>
        <w:rPr>
          <w:lang w:val="pt-PT"/>
        </w:rPr>
        <w:t xml:space="preserve"> </w:t>
      </w:r>
      <w:r>
        <w:t>генерирането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отпадъци</w:t>
      </w:r>
      <w:r>
        <w:rPr>
          <w:lang w:val="pt-PT"/>
        </w:rPr>
        <w:t>.</w:t>
      </w:r>
    </w:p>
  </w:footnote>
  <w:footnote w:id="21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hyperlink r:id="rId15">
        <w:r>
          <w:rPr>
            <w:rStyle w:val="Hyperlink"/>
            <w:lang w:val="pt-PT"/>
          </w:rPr>
          <w:t>https://ec.europa.eu/food/safety/food_waste/eu_actions_en</w:t>
        </w:r>
      </w:hyperlink>
      <w:r>
        <w:rPr>
          <w:lang w:val="pt-PT"/>
        </w:rPr>
        <w:t xml:space="preserve"> </w:t>
      </w:r>
    </w:p>
  </w:footnote>
  <w:footnote w:id="22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COM(2015) 595 final.</w:t>
      </w:r>
    </w:p>
  </w:footnote>
  <w:footnote w:id="23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r>
        <w:t>Държавите</w:t>
      </w:r>
      <w:r>
        <w:rPr>
          <w:lang w:val="pt-PT"/>
        </w:rPr>
        <w:t xml:space="preserve"> </w:t>
      </w:r>
      <w:r>
        <w:t>членки</w:t>
      </w:r>
      <w:r>
        <w:rPr>
          <w:lang w:val="pt-PT"/>
        </w:rPr>
        <w:t xml:space="preserve"> </w:t>
      </w:r>
      <w:r>
        <w:t>използват</w:t>
      </w:r>
      <w:r>
        <w:rPr>
          <w:lang w:val="pt-PT"/>
        </w:rPr>
        <w:t xml:space="preserve"> </w:t>
      </w:r>
      <w:r>
        <w:t>различни</w:t>
      </w:r>
      <w:r>
        <w:rPr>
          <w:lang w:val="pt-PT"/>
        </w:rPr>
        <w:t xml:space="preserve"> </w:t>
      </w:r>
      <w:r>
        <w:t>методи</w:t>
      </w:r>
      <w:r>
        <w:rPr>
          <w:lang w:val="pt-PT"/>
        </w:rPr>
        <w:t xml:space="preserve"> </w:t>
      </w:r>
      <w:r>
        <w:t>за</w:t>
      </w:r>
      <w:r>
        <w:rPr>
          <w:lang w:val="pt-PT"/>
        </w:rPr>
        <w:t xml:space="preserve"> </w:t>
      </w:r>
      <w:r>
        <w:t>изчисляването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равнищата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рециклиране</w:t>
      </w:r>
      <w:r>
        <w:rPr>
          <w:lang w:val="pt-PT"/>
        </w:rPr>
        <w:t xml:space="preserve">, </w:t>
      </w:r>
      <w:r>
        <w:t>което</w:t>
      </w:r>
      <w:r>
        <w:rPr>
          <w:lang w:val="pt-PT"/>
        </w:rPr>
        <w:t xml:space="preserve"> </w:t>
      </w:r>
      <w:r>
        <w:t>може</w:t>
      </w:r>
      <w:r>
        <w:rPr>
          <w:lang w:val="pt-PT"/>
        </w:rPr>
        <w:t xml:space="preserve"> </w:t>
      </w:r>
      <w:r>
        <w:t>да</w:t>
      </w:r>
      <w:r>
        <w:rPr>
          <w:lang w:val="pt-PT"/>
        </w:rPr>
        <w:t xml:space="preserve"> </w:t>
      </w:r>
      <w:r>
        <w:t>обясни</w:t>
      </w:r>
      <w:r>
        <w:rPr>
          <w:lang w:val="pt-PT"/>
        </w:rPr>
        <w:t xml:space="preserve"> </w:t>
      </w:r>
      <w:r>
        <w:t>част</w:t>
      </w:r>
      <w:r>
        <w:rPr>
          <w:lang w:val="pt-PT"/>
        </w:rPr>
        <w:t xml:space="preserve"> </w:t>
      </w:r>
      <w:r>
        <w:t>от</w:t>
      </w:r>
      <w:r>
        <w:rPr>
          <w:lang w:val="pt-PT"/>
        </w:rPr>
        <w:t xml:space="preserve"> </w:t>
      </w:r>
      <w:r>
        <w:t>разликите</w:t>
      </w:r>
      <w:r>
        <w:rPr>
          <w:lang w:val="pt-PT"/>
        </w:rPr>
        <w:t xml:space="preserve">. </w:t>
      </w:r>
      <w:r>
        <w:t>Комисията</w:t>
      </w:r>
      <w:r>
        <w:rPr>
          <w:lang w:val="pt-PT"/>
        </w:rPr>
        <w:t xml:space="preserve"> </w:t>
      </w:r>
      <w:r>
        <w:t>предложи</w:t>
      </w:r>
      <w:r>
        <w:rPr>
          <w:lang w:val="pt-PT"/>
        </w:rPr>
        <w:t xml:space="preserve"> </w:t>
      </w:r>
      <w:r>
        <w:t>общ</w:t>
      </w:r>
      <w:r>
        <w:rPr>
          <w:lang w:val="pt-PT"/>
        </w:rPr>
        <w:t xml:space="preserve"> </w:t>
      </w:r>
      <w:r>
        <w:t>метод</w:t>
      </w:r>
      <w:r>
        <w:rPr>
          <w:lang w:val="pt-PT"/>
        </w:rPr>
        <w:t xml:space="preserve"> </w:t>
      </w:r>
      <w:r>
        <w:t>в</w:t>
      </w:r>
      <w:r>
        <w:rPr>
          <w:lang w:val="pt-PT"/>
        </w:rPr>
        <w:t xml:space="preserve"> </w:t>
      </w:r>
      <w:r>
        <w:t>своето</w:t>
      </w:r>
      <w:r>
        <w:rPr>
          <w:lang w:val="pt-PT"/>
        </w:rPr>
        <w:t xml:space="preserve"> </w:t>
      </w:r>
      <w:r>
        <w:t>законодателно</w:t>
      </w:r>
      <w:r>
        <w:rPr>
          <w:lang w:val="pt-PT"/>
        </w:rPr>
        <w:t xml:space="preserve"> </w:t>
      </w:r>
      <w:r>
        <w:t>предложение</w:t>
      </w:r>
      <w:r>
        <w:rPr>
          <w:lang w:val="pt-PT"/>
        </w:rPr>
        <w:t xml:space="preserve"> </w:t>
      </w:r>
      <w:r>
        <w:t>за</w:t>
      </w:r>
      <w:r>
        <w:rPr>
          <w:lang w:val="pt-PT"/>
        </w:rPr>
        <w:t xml:space="preserve"> </w:t>
      </w:r>
      <w:r>
        <w:t>отпадъците</w:t>
      </w:r>
      <w:r>
        <w:rPr>
          <w:lang w:val="pt-PT"/>
        </w:rPr>
        <w:t>.</w:t>
      </w:r>
    </w:p>
  </w:footnote>
  <w:footnote w:id="24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hyperlink r:id="rId16">
        <w:r>
          <w:rPr>
            <w:rStyle w:val="Hyperlink"/>
            <w:lang w:val="pt-PT"/>
          </w:rPr>
          <w:t>COM(2015) 596 final</w:t>
        </w:r>
      </w:hyperlink>
      <w:r>
        <w:rPr>
          <w:rStyle w:val="Hyperlink"/>
          <w:lang w:val="pt-PT"/>
        </w:rPr>
        <w:t>.</w:t>
      </w:r>
    </w:p>
  </w:footnote>
  <w:footnote w:id="25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r>
        <w:t>Или</w:t>
      </w:r>
      <w:r>
        <w:rPr>
          <w:lang w:val="pt-PT"/>
        </w:rPr>
        <w:t xml:space="preserve"> </w:t>
      </w:r>
      <w:r>
        <w:t>са</w:t>
      </w:r>
      <w:r>
        <w:rPr>
          <w:lang w:val="pt-PT"/>
        </w:rPr>
        <w:t xml:space="preserve"> </w:t>
      </w:r>
      <w:r>
        <w:t>го</w:t>
      </w:r>
      <w:r>
        <w:rPr>
          <w:lang w:val="pt-PT"/>
        </w:rPr>
        <w:t xml:space="preserve"> </w:t>
      </w:r>
      <w:r>
        <w:t>подготвили</w:t>
      </w:r>
      <w:r>
        <w:rPr>
          <w:lang w:val="pt-PT"/>
        </w:rPr>
        <w:t xml:space="preserve"> </w:t>
      </w:r>
      <w:r>
        <w:t>за</w:t>
      </w:r>
      <w:r>
        <w:rPr>
          <w:lang w:val="pt-PT"/>
        </w:rPr>
        <w:t xml:space="preserve"> </w:t>
      </w:r>
      <w:r>
        <w:t>повторна</w:t>
      </w:r>
      <w:r>
        <w:rPr>
          <w:lang w:val="pt-PT"/>
        </w:rPr>
        <w:t xml:space="preserve"> </w:t>
      </w:r>
      <w:r>
        <w:t>употреба</w:t>
      </w:r>
      <w:r>
        <w:rPr>
          <w:lang w:val="pt-PT"/>
        </w:rPr>
        <w:t>.</w:t>
      </w:r>
    </w:p>
  </w:footnote>
  <w:footnote w:id="26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r>
        <w:t>Целта</w:t>
      </w:r>
      <w:r>
        <w:rPr>
          <w:lang w:val="pt-PT"/>
        </w:rPr>
        <w:t xml:space="preserve"> </w:t>
      </w:r>
      <w:r>
        <w:t>обхваща</w:t>
      </w:r>
      <w:r>
        <w:rPr>
          <w:lang w:val="pt-PT"/>
        </w:rPr>
        <w:t xml:space="preserve"> </w:t>
      </w:r>
      <w:r>
        <w:t>не</w:t>
      </w:r>
      <w:r>
        <w:rPr>
          <w:lang w:val="pt-PT"/>
        </w:rPr>
        <w:t xml:space="preserve"> </w:t>
      </w:r>
      <w:r>
        <w:t>само</w:t>
      </w:r>
      <w:r>
        <w:rPr>
          <w:lang w:val="pt-PT"/>
        </w:rPr>
        <w:t xml:space="preserve"> </w:t>
      </w:r>
      <w:r>
        <w:t>рециклирането</w:t>
      </w:r>
      <w:r>
        <w:rPr>
          <w:lang w:val="pt-PT"/>
        </w:rPr>
        <w:t xml:space="preserve">, </w:t>
      </w:r>
      <w:r>
        <w:t>но</w:t>
      </w:r>
      <w:r>
        <w:rPr>
          <w:lang w:val="pt-PT"/>
        </w:rPr>
        <w:t xml:space="preserve"> </w:t>
      </w:r>
      <w:r>
        <w:t>и</w:t>
      </w:r>
      <w:r>
        <w:rPr>
          <w:lang w:val="pt-PT"/>
        </w:rPr>
        <w:t xml:space="preserve"> </w:t>
      </w:r>
      <w:r>
        <w:t>повторното</w:t>
      </w:r>
      <w:r>
        <w:rPr>
          <w:lang w:val="pt-PT"/>
        </w:rPr>
        <w:t xml:space="preserve"> </w:t>
      </w:r>
      <w:r>
        <w:t>изпо</w:t>
      </w:r>
      <w:r>
        <w:t>лзване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материалите</w:t>
      </w:r>
      <w:r>
        <w:rPr>
          <w:lang w:val="pt-PT"/>
        </w:rPr>
        <w:t xml:space="preserve"> </w:t>
      </w:r>
      <w:r>
        <w:t>или</w:t>
      </w:r>
      <w:r>
        <w:rPr>
          <w:lang w:val="pt-PT"/>
        </w:rPr>
        <w:t xml:space="preserve"> </w:t>
      </w:r>
      <w:r>
        <w:t>тяхното</w:t>
      </w:r>
      <w:r>
        <w:rPr>
          <w:lang w:val="pt-PT"/>
        </w:rPr>
        <w:t xml:space="preserve"> </w:t>
      </w:r>
      <w:r>
        <w:t>оползотворяване</w:t>
      </w:r>
      <w:r>
        <w:rPr>
          <w:lang w:val="pt-PT"/>
        </w:rPr>
        <w:t xml:space="preserve"> </w:t>
      </w:r>
      <w:r>
        <w:t>по</w:t>
      </w:r>
      <w:r>
        <w:rPr>
          <w:lang w:val="pt-PT"/>
        </w:rPr>
        <w:t xml:space="preserve"> </w:t>
      </w:r>
      <w:r>
        <w:t>друг</w:t>
      </w:r>
      <w:r>
        <w:rPr>
          <w:lang w:val="pt-PT"/>
        </w:rPr>
        <w:t xml:space="preserve"> </w:t>
      </w:r>
      <w:r>
        <w:t>начин</w:t>
      </w:r>
      <w:r>
        <w:rPr>
          <w:lang w:val="pt-PT"/>
        </w:rPr>
        <w:t xml:space="preserve">, </w:t>
      </w:r>
      <w:r>
        <w:t>включително</w:t>
      </w:r>
      <w:r>
        <w:rPr>
          <w:lang w:val="pt-PT"/>
        </w:rPr>
        <w:t xml:space="preserve"> </w:t>
      </w:r>
      <w:r>
        <w:t>насипването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отпадъци</w:t>
      </w:r>
      <w:r>
        <w:rPr>
          <w:lang w:val="pt-PT"/>
        </w:rPr>
        <w:t xml:space="preserve"> </w:t>
      </w:r>
      <w:r>
        <w:t>от</w:t>
      </w:r>
      <w:r>
        <w:rPr>
          <w:lang w:val="pt-PT"/>
        </w:rPr>
        <w:t xml:space="preserve"> </w:t>
      </w:r>
      <w:r>
        <w:t>строителство</w:t>
      </w:r>
      <w:r>
        <w:rPr>
          <w:lang w:val="pt-PT"/>
        </w:rPr>
        <w:t xml:space="preserve"> </w:t>
      </w:r>
      <w:r>
        <w:t>и</w:t>
      </w:r>
      <w:r>
        <w:rPr>
          <w:lang w:val="pt-PT"/>
        </w:rPr>
        <w:t xml:space="preserve"> </w:t>
      </w:r>
      <w:r>
        <w:t>разрушаване</w:t>
      </w:r>
      <w:r>
        <w:rPr>
          <w:lang w:val="pt-PT"/>
        </w:rPr>
        <w:t xml:space="preserve">, </w:t>
      </w:r>
      <w:r>
        <w:t>с</w:t>
      </w:r>
      <w:r>
        <w:rPr>
          <w:lang w:val="pt-PT"/>
        </w:rPr>
        <w:t xml:space="preserve"> </w:t>
      </w:r>
      <w:r>
        <w:t>изключение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естествени</w:t>
      </w:r>
      <w:r>
        <w:rPr>
          <w:lang w:val="pt-PT"/>
        </w:rPr>
        <w:t xml:space="preserve"> </w:t>
      </w:r>
      <w:r>
        <w:t>материали</w:t>
      </w:r>
      <w:r>
        <w:rPr>
          <w:lang w:val="pt-PT"/>
        </w:rPr>
        <w:t>.</w:t>
      </w:r>
    </w:p>
  </w:footnote>
  <w:footnote w:id="27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r>
        <w:t>Операция</w:t>
      </w:r>
      <w:r>
        <w:rPr>
          <w:lang w:val="pt-PT"/>
        </w:rPr>
        <w:t xml:space="preserve"> </w:t>
      </w:r>
      <w:r>
        <w:t>по</w:t>
      </w:r>
      <w:r>
        <w:rPr>
          <w:lang w:val="pt-PT"/>
        </w:rPr>
        <w:t xml:space="preserve"> </w:t>
      </w:r>
      <w:r>
        <w:t>оползотворяване</w:t>
      </w:r>
      <w:r>
        <w:rPr>
          <w:lang w:val="pt-PT"/>
        </w:rPr>
        <w:t xml:space="preserve">, </w:t>
      </w:r>
      <w:r>
        <w:t>при</w:t>
      </w:r>
      <w:r>
        <w:rPr>
          <w:lang w:val="pt-PT"/>
        </w:rPr>
        <w:t xml:space="preserve"> </w:t>
      </w:r>
      <w:r>
        <w:t>която</w:t>
      </w:r>
      <w:r>
        <w:rPr>
          <w:lang w:val="pt-PT"/>
        </w:rPr>
        <w:t xml:space="preserve"> </w:t>
      </w:r>
      <w:r>
        <w:t>подходящи</w:t>
      </w:r>
      <w:r>
        <w:rPr>
          <w:lang w:val="pt-PT"/>
        </w:rPr>
        <w:t xml:space="preserve"> </w:t>
      </w:r>
      <w:r>
        <w:t>отпадъци</w:t>
      </w:r>
      <w:r>
        <w:rPr>
          <w:lang w:val="pt-PT"/>
        </w:rPr>
        <w:t xml:space="preserve"> </w:t>
      </w:r>
      <w:r>
        <w:t>се</w:t>
      </w:r>
      <w:r>
        <w:rPr>
          <w:lang w:val="pt-PT"/>
        </w:rPr>
        <w:t xml:space="preserve"> </w:t>
      </w:r>
      <w:r>
        <w:t>използват</w:t>
      </w:r>
      <w:r>
        <w:rPr>
          <w:lang w:val="pt-PT"/>
        </w:rPr>
        <w:t xml:space="preserve"> </w:t>
      </w:r>
      <w:r>
        <w:t>за</w:t>
      </w:r>
      <w:r>
        <w:rPr>
          <w:lang w:val="pt-PT"/>
        </w:rPr>
        <w:t xml:space="preserve"> </w:t>
      </w:r>
      <w:r>
        <w:t>рекултивационни</w:t>
      </w:r>
      <w:r>
        <w:rPr>
          <w:lang w:val="pt-PT"/>
        </w:rPr>
        <w:t xml:space="preserve"> </w:t>
      </w:r>
      <w:r>
        <w:t>цели</w:t>
      </w:r>
      <w:r>
        <w:rPr>
          <w:lang w:val="pt-PT"/>
        </w:rPr>
        <w:t xml:space="preserve"> </w:t>
      </w:r>
      <w:r>
        <w:t>в</w:t>
      </w:r>
      <w:r>
        <w:rPr>
          <w:lang w:val="pt-PT"/>
        </w:rPr>
        <w:t xml:space="preserve"> </w:t>
      </w:r>
      <w:r>
        <w:t>изкопните</w:t>
      </w:r>
      <w:r>
        <w:rPr>
          <w:lang w:val="pt-PT"/>
        </w:rPr>
        <w:t xml:space="preserve"> </w:t>
      </w:r>
      <w:r>
        <w:t>зони</w:t>
      </w:r>
      <w:r>
        <w:rPr>
          <w:lang w:val="pt-PT"/>
        </w:rPr>
        <w:t xml:space="preserve"> </w:t>
      </w:r>
      <w:r>
        <w:t>или</w:t>
      </w:r>
      <w:r>
        <w:rPr>
          <w:lang w:val="pt-PT"/>
        </w:rPr>
        <w:t xml:space="preserve"> </w:t>
      </w:r>
      <w:r>
        <w:t>за</w:t>
      </w:r>
      <w:r>
        <w:rPr>
          <w:lang w:val="pt-PT"/>
        </w:rPr>
        <w:t xml:space="preserve"> </w:t>
      </w:r>
      <w:r>
        <w:t>инженерни</w:t>
      </w:r>
      <w:r>
        <w:rPr>
          <w:lang w:val="pt-PT"/>
        </w:rPr>
        <w:t xml:space="preserve"> </w:t>
      </w:r>
      <w:r>
        <w:t>цели</w:t>
      </w:r>
      <w:r>
        <w:rPr>
          <w:lang w:val="pt-PT"/>
        </w:rPr>
        <w:t xml:space="preserve"> </w:t>
      </w:r>
      <w:r>
        <w:t>при</w:t>
      </w:r>
      <w:r>
        <w:rPr>
          <w:lang w:val="pt-PT"/>
        </w:rPr>
        <w:t xml:space="preserve"> </w:t>
      </w:r>
      <w:r>
        <w:t>благоустройството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терени</w:t>
      </w:r>
      <w:r>
        <w:rPr>
          <w:lang w:val="pt-PT"/>
        </w:rPr>
        <w:t>.</w:t>
      </w:r>
    </w:p>
  </w:footnote>
  <w:footnote w:id="28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r>
        <w:t>Т</w:t>
      </w:r>
      <w:r>
        <w:rPr>
          <w:lang w:val="pt-PT"/>
        </w:rPr>
        <w:t>.</w:t>
      </w:r>
      <w:r>
        <w:t>е</w:t>
      </w:r>
      <w:r>
        <w:rPr>
          <w:lang w:val="pt-PT"/>
        </w:rPr>
        <w:t xml:space="preserve">. </w:t>
      </w:r>
      <w:r>
        <w:t>дейности</w:t>
      </w:r>
      <w:r>
        <w:rPr>
          <w:lang w:val="pt-PT"/>
        </w:rPr>
        <w:t xml:space="preserve"> </w:t>
      </w:r>
      <w:r>
        <w:t>за</w:t>
      </w:r>
      <w:r>
        <w:rPr>
          <w:lang w:val="pt-PT"/>
        </w:rPr>
        <w:t xml:space="preserve"> </w:t>
      </w:r>
      <w:r>
        <w:t>повторно</w:t>
      </w:r>
      <w:r>
        <w:rPr>
          <w:lang w:val="pt-PT"/>
        </w:rPr>
        <w:t xml:space="preserve"> </w:t>
      </w:r>
      <w:r>
        <w:t>използване</w:t>
      </w:r>
      <w:r>
        <w:rPr>
          <w:lang w:val="pt-PT"/>
        </w:rPr>
        <w:t xml:space="preserve"> </w:t>
      </w:r>
      <w:r>
        <w:t>и</w:t>
      </w:r>
      <w:r>
        <w:rPr>
          <w:lang w:val="pt-PT"/>
        </w:rPr>
        <w:t xml:space="preserve"> </w:t>
      </w:r>
      <w:r>
        <w:t>рециклиране</w:t>
      </w:r>
      <w:r>
        <w:rPr>
          <w:lang w:val="pt-PT"/>
        </w:rPr>
        <w:t xml:space="preserve">. </w:t>
      </w:r>
      <w:r>
        <w:t>Дейностите</w:t>
      </w:r>
      <w:r>
        <w:rPr>
          <w:lang w:val="pt-PT"/>
        </w:rPr>
        <w:t xml:space="preserve"> </w:t>
      </w:r>
      <w:r>
        <w:t>за</w:t>
      </w:r>
      <w:r>
        <w:rPr>
          <w:lang w:val="pt-PT"/>
        </w:rPr>
        <w:t xml:space="preserve"> </w:t>
      </w:r>
      <w:r>
        <w:t>отдаване</w:t>
      </w:r>
      <w:r>
        <w:rPr>
          <w:lang w:val="pt-PT"/>
        </w:rPr>
        <w:t xml:space="preserve"> </w:t>
      </w:r>
      <w:r>
        <w:t>под</w:t>
      </w:r>
      <w:r>
        <w:rPr>
          <w:lang w:val="pt-PT"/>
        </w:rPr>
        <w:t xml:space="preserve"> </w:t>
      </w:r>
      <w:r>
        <w:t>наем</w:t>
      </w:r>
      <w:r>
        <w:rPr>
          <w:lang w:val="pt-PT"/>
        </w:rPr>
        <w:t xml:space="preserve"> </w:t>
      </w:r>
      <w:r>
        <w:t>и</w:t>
      </w:r>
      <w:r>
        <w:rPr>
          <w:lang w:val="pt-PT"/>
        </w:rPr>
        <w:t xml:space="preserve"> </w:t>
      </w:r>
      <w:r>
        <w:t>лизинг</w:t>
      </w:r>
      <w:r>
        <w:rPr>
          <w:lang w:val="pt-PT"/>
        </w:rPr>
        <w:t xml:space="preserve"> </w:t>
      </w:r>
      <w:r>
        <w:t>също</w:t>
      </w:r>
      <w:r>
        <w:rPr>
          <w:lang w:val="pt-PT"/>
        </w:rPr>
        <w:t xml:space="preserve"> </w:t>
      </w:r>
      <w:r>
        <w:t>могат</w:t>
      </w:r>
      <w:r>
        <w:rPr>
          <w:lang w:val="pt-PT"/>
        </w:rPr>
        <w:t xml:space="preserve"> </w:t>
      </w:r>
      <w:r>
        <w:t>да</w:t>
      </w:r>
      <w:r>
        <w:rPr>
          <w:lang w:val="pt-PT"/>
        </w:rPr>
        <w:t xml:space="preserve"> </w:t>
      </w:r>
      <w:r>
        <w:t>допринесат</w:t>
      </w:r>
      <w:r>
        <w:rPr>
          <w:lang w:val="pt-PT"/>
        </w:rPr>
        <w:t xml:space="preserve"> </w:t>
      </w:r>
      <w:r>
        <w:t>за</w:t>
      </w:r>
      <w:r>
        <w:rPr>
          <w:lang w:val="pt-PT"/>
        </w:rPr>
        <w:t xml:space="preserve"> </w:t>
      </w:r>
      <w:r>
        <w:t>кръговата</w:t>
      </w:r>
      <w:r>
        <w:rPr>
          <w:lang w:val="pt-PT"/>
        </w:rPr>
        <w:t xml:space="preserve"> </w:t>
      </w:r>
      <w:r>
        <w:t>икономика</w:t>
      </w:r>
      <w:r>
        <w:rPr>
          <w:lang w:val="pt-PT"/>
        </w:rPr>
        <w:t xml:space="preserve">, </w:t>
      </w:r>
      <w:r>
        <w:t>но</w:t>
      </w:r>
      <w:r>
        <w:rPr>
          <w:lang w:val="pt-PT"/>
        </w:rPr>
        <w:t xml:space="preserve"> </w:t>
      </w:r>
      <w:r>
        <w:t>засега</w:t>
      </w:r>
      <w:r>
        <w:rPr>
          <w:lang w:val="pt-PT"/>
        </w:rPr>
        <w:t xml:space="preserve"> </w:t>
      </w:r>
      <w:r>
        <w:t>не</w:t>
      </w:r>
      <w:r>
        <w:rPr>
          <w:lang w:val="pt-PT"/>
        </w:rPr>
        <w:t xml:space="preserve"> </w:t>
      </w:r>
      <w:r>
        <w:t>са</w:t>
      </w:r>
      <w:r>
        <w:rPr>
          <w:lang w:val="pt-PT"/>
        </w:rPr>
        <w:t xml:space="preserve"> </w:t>
      </w:r>
      <w:r>
        <w:t>включени</w:t>
      </w:r>
      <w:r>
        <w:rPr>
          <w:lang w:val="pt-PT"/>
        </w:rPr>
        <w:t xml:space="preserve">, </w:t>
      </w:r>
      <w:r>
        <w:t>защото</w:t>
      </w:r>
      <w:r>
        <w:rPr>
          <w:lang w:val="pt-PT"/>
        </w:rPr>
        <w:t xml:space="preserve"> </w:t>
      </w:r>
      <w:r>
        <w:t>сегашните</w:t>
      </w:r>
      <w:r>
        <w:rPr>
          <w:lang w:val="pt-PT"/>
        </w:rPr>
        <w:t xml:space="preserve"> </w:t>
      </w:r>
      <w:r>
        <w:t>статистически</w:t>
      </w:r>
      <w:r>
        <w:rPr>
          <w:lang w:val="pt-PT"/>
        </w:rPr>
        <w:t xml:space="preserve"> </w:t>
      </w:r>
      <w:r>
        <w:t>данни</w:t>
      </w:r>
      <w:r>
        <w:rPr>
          <w:lang w:val="pt-PT"/>
        </w:rPr>
        <w:t xml:space="preserve"> </w:t>
      </w:r>
      <w:r>
        <w:t>не</w:t>
      </w:r>
      <w:r>
        <w:rPr>
          <w:lang w:val="pt-PT"/>
        </w:rPr>
        <w:t xml:space="preserve"> </w:t>
      </w:r>
      <w:r>
        <w:t>позволяват</w:t>
      </w:r>
      <w:r>
        <w:rPr>
          <w:lang w:val="pt-PT"/>
        </w:rPr>
        <w:t xml:space="preserve"> </w:t>
      </w:r>
      <w:r>
        <w:t>достатъчно</w:t>
      </w:r>
      <w:r>
        <w:rPr>
          <w:lang w:val="pt-PT"/>
        </w:rPr>
        <w:t xml:space="preserve"> </w:t>
      </w:r>
      <w:r>
        <w:t>прецизното</w:t>
      </w:r>
      <w:r>
        <w:rPr>
          <w:lang w:val="pt-PT"/>
        </w:rPr>
        <w:t xml:space="preserve"> </w:t>
      </w:r>
      <w:r>
        <w:t>разграничаване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дейностите</w:t>
      </w:r>
      <w:r>
        <w:rPr>
          <w:lang w:val="pt-PT"/>
        </w:rPr>
        <w:t xml:space="preserve">, </w:t>
      </w:r>
      <w:r>
        <w:t>които</w:t>
      </w:r>
      <w:r>
        <w:rPr>
          <w:lang w:val="pt-PT"/>
        </w:rPr>
        <w:t xml:space="preserve"> </w:t>
      </w:r>
      <w:r>
        <w:t>определено</w:t>
      </w:r>
      <w:r>
        <w:rPr>
          <w:lang w:val="pt-PT"/>
        </w:rPr>
        <w:t xml:space="preserve"> </w:t>
      </w:r>
      <w:r>
        <w:t>допринасят</w:t>
      </w:r>
      <w:r>
        <w:rPr>
          <w:lang w:val="pt-PT"/>
        </w:rPr>
        <w:t xml:space="preserve"> </w:t>
      </w:r>
      <w:r>
        <w:t>за</w:t>
      </w:r>
      <w:r>
        <w:rPr>
          <w:lang w:val="pt-PT"/>
        </w:rPr>
        <w:t xml:space="preserve"> </w:t>
      </w:r>
      <w:r>
        <w:t>кръговата</w:t>
      </w:r>
      <w:r>
        <w:rPr>
          <w:lang w:val="pt-PT"/>
        </w:rPr>
        <w:t xml:space="preserve"> </w:t>
      </w:r>
      <w:r>
        <w:t>икономика</w:t>
      </w:r>
      <w:r>
        <w:rPr>
          <w:lang w:val="pt-PT"/>
        </w:rPr>
        <w:t xml:space="preserve"> </w:t>
      </w:r>
      <w:r>
        <w:t>от</w:t>
      </w:r>
      <w:r>
        <w:rPr>
          <w:lang w:val="pt-PT"/>
        </w:rPr>
        <w:t xml:space="preserve"> </w:t>
      </w:r>
      <w:r>
        <w:t>тези</w:t>
      </w:r>
      <w:r>
        <w:rPr>
          <w:lang w:val="pt-PT"/>
        </w:rPr>
        <w:t xml:space="preserve">, </w:t>
      </w:r>
      <w:r>
        <w:t>които</w:t>
      </w:r>
      <w:r>
        <w:rPr>
          <w:lang w:val="pt-PT"/>
        </w:rPr>
        <w:t xml:space="preserve"> </w:t>
      </w:r>
      <w:r>
        <w:t>не</w:t>
      </w:r>
      <w:r>
        <w:rPr>
          <w:lang w:val="pt-PT"/>
        </w:rPr>
        <w:t xml:space="preserve"> </w:t>
      </w:r>
      <w:r>
        <w:t>допринасят</w:t>
      </w:r>
      <w:r>
        <w:rPr>
          <w:lang w:val="pt-PT"/>
        </w:rPr>
        <w:t xml:space="preserve">. </w:t>
      </w:r>
      <w:r>
        <w:t>За</w:t>
      </w:r>
      <w:r>
        <w:rPr>
          <w:lang w:val="pt-PT"/>
        </w:rPr>
        <w:t xml:space="preserve"> </w:t>
      </w:r>
      <w:r>
        <w:t>повече</w:t>
      </w:r>
      <w:r>
        <w:rPr>
          <w:lang w:val="pt-PT"/>
        </w:rPr>
        <w:t xml:space="preserve"> </w:t>
      </w:r>
      <w:r>
        <w:t>информация</w:t>
      </w:r>
      <w:r>
        <w:rPr>
          <w:lang w:val="pt-PT"/>
        </w:rPr>
        <w:t xml:space="preserve"> </w:t>
      </w:r>
      <w:r>
        <w:t>виж</w:t>
      </w:r>
      <w:r>
        <w:rPr>
          <w:lang w:val="pt-PT"/>
        </w:rPr>
        <w:t xml:space="preserve"> </w:t>
      </w:r>
      <w:r>
        <w:t>Работния</w:t>
      </w:r>
      <w:r>
        <w:rPr>
          <w:lang w:val="pt-PT"/>
        </w:rPr>
        <w:t xml:space="preserve"> </w:t>
      </w:r>
      <w:r>
        <w:t>документ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службите</w:t>
      </w:r>
      <w:r>
        <w:rPr>
          <w:lang w:val="pt-PT"/>
        </w:rPr>
        <w:t xml:space="preserve"> </w:t>
      </w:r>
      <w:r>
        <w:t>на</w:t>
      </w:r>
      <w:r>
        <w:rPr>
          <w:lang w:val="pt-PT"/>
        </w:rPr>
        <w:t xml:space="preserve"> </w:t>
      </w:r>
      <w:r>
        <w:t>Коми</w:t>
      </w:r>
      <w:r>
        <w:t>сията</w:t>
      </w:r>
      <w:r>
        <w:rPr>
          <w:lang w:val="pt-PT"/>
        </w:rPr>
        <w:t>.</w:t>
      </w:r>
    </w:p>
  </w:footnote>
  <w:footnote w:id="29">
    <w:p w:rsidR="004C6503" w:rsidRDefault="00D43464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hyperlink r:id="rId17">
        <w:r>
          <w:rPr>
            <w:rStyle w:val="Hyperlink"/>
            <w:lang w:val="pt-PT"/>
          </w:rPr>
          <w:t>http://ec.europa.eu/eurostat/web/circular-economy</w:t>
        </w:r>
      </w:hyperlink>
      <w:r>
        <w:rPr>
          <w:rStyle w:val="Hyperlink"/>
          <w:lang w:val="pt-P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03" w:rsidRDefault="004C65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03" w:rsidRDefault="004C6503"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03" w:rsidRDefault="004C6503"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03" w:rsidRDefault="004C650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03" w:rsidRDefault="004C650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03" w:rsidRDefault="004C65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868"/>
    <w:multiLevelType w:val="hybridMultilevel"/>
    <w:tmpl w:val="02501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119D5"/>
    <w:multiLevelType w:val="hybridMultilevel"/>
    <w:tmpl w:val="882810D6"/>
    <w:lvl w:ilvl="0" w:tplc="640A2BD4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17B9D"/>
    <w:multiLevelType w:val="hybridMultilevel"/>
    <w:tmpl w:val="064CD4BA"/>
    <w:lvl w:ilvl="0" w:tplc="4BA2E9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gnus Gislev">
    <w15:presenceInfo w15:providerId="None" w15:userId="Magnus Gisl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85525D5A-AD12-4760-BDD1-3B7874A78325"/>
    <w:docVar w:name="LW_COVERPAGE_TYPE" w:val="1"/>
    <w:docVar w:name="LW_CROSSREFERENCE" w:val="{SWD(2018) 17 final}"/>
    <w:docVar w:name="LW_DocType" w:val="NORMAL"/>
    <w:docVar w:name="LW_EMISSION" w:val="16.1.2018"/>
    <w:docVar w:name="LW_EMISSION_ISODATE" w:val="2018-01-16"/>
    <w:docVar w:name="LW_EMISSION_LOCATION" w:val="STR"/>
    <w:docVar w:name="LW_EMISSION_PREFIX" w:val="Страсбург, "/>
    <w:docVar w:name="LW_EMISSION_SUFFIX" w:val="\u1075?."/>
    <w:docVar w:name="LW_ID_DOCTYPE_NONLW" w:val="CP-014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8) 29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ITRE.OBJ.CP" w:val="\u1086?\u1090?\u1085?\u1086?\u1089?\u1085?\u1086? \u1088?\u1072?\u1084?\u1082?\u1072? \u1079?\u1072? \u1084?\u1086?\u1085?\u1080?\u1090?\u1086?\u1088?\u1080?\u1085?\u1075? \u1085?\u1072? \u1082?\u1088?\u1098?\u1075?\u1086?\u1074?\u1072?\u1090?\u1072? \u1080?\u1082?\u1086?\u1085?\u1086?\u1084?\u1080?\u1082?\u1072?"/>
    <w:docVar w:name="LW_TYPE.DOC.CP" w:val="\u1057?\u1066?\u1054?\u1041?\u1065?\u1045?\u1053?\u1048?\u1045? \u1053?\u1040? \u1050?\u1054?\u1052?\u1048?\u1057?\u1048?\u1071?\u1058?\u1040? \u1044?\u1054? \u1045?\u1042?\u1056?\u1054?\u1055?\u1045?\u1049?\u1057?\u1050?\u1048?\u1071? \u1055?\u1040?\u1056?\u1051?\u1040?\u1052?\u1045?\u1053?\u1058?, \u1057?\u1066?\u1042?\u1045?\u1058?\u1040?, \u1045?\u1042?\u1056?\u1054?\u1055?\u1045?\u1049?\u1057?\u1050?\u1048?\u1071? \u1048?\u1050?\u1054?\u1053?\u1054?\u1052?\u1048?\u1063?\u1045?\u1057?\u1050?\u1048? \u1048? \u1057?\u1054?\u1062?\u1048?\u1040?\u1051?\u1045?\u1053? \u1050?\u1054?\u1052?\u1048?\u1058?\u1045?\u1058? \u1048? \u1050?\u1054?\u1052?\u1048?\u1058?\u1045?\u1058?\u1040? \u1053?\u1040? \u1056?\u1045?\u1043?\u1048?\u1054?\u1053?\u1048?\u1058?\u1045?"/>
    <w:docVar w:name="LW_TYPE.DOC.CP.USERTEXT" w:val="&lt;EMPTY&gt;"/>
    <w:docVar w:name="Stamp" w:val="\\dossiers.dgt.cec.eu.int\dossiers\ENV\ENV-2017-00787\ENV-2017-00787-00-00-EN-REV-00.201710201550353413389.DOCX"/>
  </w:docVars>
  <w:rsids>
    <w:rsidRoot w:val="004C6503"/>
    <w:rsid w:val="004C6503"/>
    <w:rsid w:val="00D4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pPr>
      <w:numPr>
        <w:numId w:val="1"/>
      </w:numPr>
      <w:spacing w:after="120"/>
      <w:ind w:left="425" w:hanging="357"/>
      <w:contextualSpacing w:val="0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b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</w:style>
  <w:style w:type="character" w:customStyle="1" w:styleId="FooterCoverPageChar">
    <w:name w:val="Footer Cover Page Char"/>
    <w:basedOn w:val="DefaultParagraphFont"/>
    <w:link w:val="FooterCoverPage"/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</w:style>
  <w:style w:type="character" w:customStyle="1" w:styleId="HeaderCoverPageChar">
    <w:name w:val="Header Cover Page Char"/>
    <w:basedOn w:val="DefaultParagraphFont"/>
    <w:link w:val="HeaderCoverPage"/>
  </w:style>
  <w:style w:type="paragraph" w:styleId="FootnoteText">
    <w:name w:val="footnote text"/>
    <w:aliases w:val="footnote,Footnote text,fn,Schriftart: 9 pt,Schriftart: 10 pt,Schriftart: 8 pt,WB-Fußnotentext,Footnote Text_EP-LCA,Text_EP-LCA,Char5,Text,Reference,Fußnote,Footnote Text Char Char,Footnote Text Char Char Char Char,Footnote Text1,o,Fußn,f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,fn Char,Schriftart: 9 pt Char,Schriftart: 10 pt Char,Schriftart: 8 pt Char,WB-Fußnotentext Char,Footnote Text_EP-LCA Char,Text_EP-LCA Char,Char5 Char,Text Char,Reference Char,Fußnote Char,o Char,f Char"/>
    <w:basedOn w:val="DefaultParagraphFont"/>
    <w:uiPriority w:val="99"/>
    <w:rPr>
      <w:sz w:val="20"/>
      <w:szCs w:val="20"/>
    </w:rPr>
  </w:style>
  <w:style w:type="character" w:styleId="FootnoteReference">
    <w:name w:val="footnote reference"/>
    <w:aliases w:val="Footnote symbol,Footnote reference number,Footnote,Times 10 Point,Exposant 3 Point,Ref,de nota al pie,note TESI,SUPERS,EN Footnote Reference,EN Footnote text,number,no...,(Footnote Reference),Footnote Reference_EP-LCA"/>
    <w:basedOn w:val="DefaultParagraphFont"/>
    <w:unhideWhenUsed/>
    <w:rPr>
      <w:vertAlign w:val="superscript"/>
    </w:rPr>
  </w:style>
  <w:style w:type="paragraph" w:customStyle="1" w:styleId="Figurecaption">
    <w:name w:val="Figure caption"/>
    <w:basedOn w:val="Normal"/>
    <w:link w:val="FigurecaptionChar"/>
    <w:qFormat/>
    <w:pPr>
      <w:spacing w:after="120"/>
    </w:pPr>
    <w:rPr>
      <w:rFonts w:cs="Arial"/>
      <w:b/>
      <w:sz w:val="20"/>
      <w:szCs w:val="20"/>
    </w:rPr>
  </w:style>
  <w:style w:type="character" w:customStyle="1" w:styleId="FigurecaptionChar">
    <w:name w:val="Figure caption Char"/>
    <w:basedOn w:val="DefaultParagraphFont"/>
    <w:link w:val="Figurecaption"/>
    <w:rPr>
      <w:rFonts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qFormat/>
    <w:pPr>
      <w:widowControl w:val="0"/>
      <w:autoSpaceDE w:val="0"/>
      <w:autoSpaceDN w:val="0"/>
      <w:adjustRightInd w:val="0"/>
      <w:spacing w:after="113" w:line="236" w:lineRule="atLeast"/>
      <w:jc w:val="both"/>
      <w:textAlignment w:val="center"/>
    </w:pPr>
    <w:rPr>
      <w:rFonts w:ascii="Arial" w:eastAsia="Cambria" w:hAnsi="Arial" w:cs="Times-Roman"/>
      <w:color w:val="000000"/>
      <w:sz w:val="19"/>
      <w:szCs w:val="16"/>
      <w:lang w:eastAsia="en-GB"/>
    </w:rPr>
  </w:style>
  <w:style w:type="character" w:customStyle="1" w:styleId="BodyChar">
    <w:name w:val="Body Char"/>
    <w:link w:val="Body"/>
    <w:rPr>
      <w:rFonts w:ascii="Arial" w:eastAsia="Cambria" w:hAnsi="Arial" w:cs="Times-Roman"/>
      <w:color w:val="000000"/>
      <w:sz w:val="19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Heading1Char"/>
    <w:link w:val="FooterSensitivity"/>
    <w:rPr>
      <w:b/>
      <w:sz w:val="32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Heading1Char"/>
    <w:link w:val="HeaderSensitivity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pPr>
      <w:numPr>
        <w:numId w:val="1"/>
      </w:numPr>
      <w:spacing w:after="120"/>
      <w:ind w:left="425" w:hanging="357"/>
      <w:contextualSpacing w:val="0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b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</w:style>
  <w:style w:type="character" w:customStyle="1" w:styleId="FooterCoverPageChar">
    <w:name w:val="Footer Cover Page Char"/>
    <w:basedOn w:val="DefaultParagraphFont"/>
    <w:link w:val="FooterCoverPage"/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</w:style>
  <w:style w:type="character" w:customStyle="1" w:styleId="HeaderCoverPageChar">
    <w:name w:val="Header Cover Page Char"/>
    <w:basedOn w:val="DefaultParagraphFont"/>
    <w:link w:val="HeaderCoverPage"/>
  </w:style>
  <w:style w:type="paragraph" w:styleId="FootnoteText">
    <w:name w:val="footnote text"/>
    <w:aliases w:val="footnote,Footnote text,fn,Schriftart: 9 pt,Schriftart: 10 pt,Schriftart: 8 pt,WB-Fußnotentext,Footnote Text_EP-LCA,Text_EP-LCA,Char5,Text,Reference,Fußnote,Footnote Text Char Char,Footnote Text Char Char Char Char,Footnote Text1,o,Fußn,f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,fn Char,Schriftart: 9 pt Char,Schriftart: 10 pt Char,Schriftart: 8 pt Char,WB-Fußnotentext Char,Footnote Text_EP-LCA Char,Text_EP-LCA Char,Char5 Char,Text Char,Reference Char,Fußnote Char,o Char,f Char"/>
    <w:basedOn w:val="DefaultParagraphFont"/>
    <w:uiPriority w:val="99"/>
    <w:rPr>
      <w:sz w:val="20"/>
      <w:szCs w:val="20"/>
    </w:rPr>
  </w:style>
  <w:style w:type="character" w:styleId="FootnoteReference">
    <w:name w:val="footnote reference"/>
    <w:aliases w:val="Footnote symbol,Footnote reference number,Footnote,Times 10 Point,Exposant 3 Point,Ref,de nota al pie,note TESI,SUPERS,EN Footnote Reference,EN Footnote text,number,no...,(Footnote Reference),Footnote Reference_EP-LCA"/>
    <w:basedOn w:val="DefaultParagraphFont"/>
    <w:unhideWhenUsed/>
    <w:rPr>
      <w:vertAlign w:val="superscript"/>
    </w:rPr>
  </w:style>
  <w:style w:type="paragraph" w:customStyle="1" w:styleId="Figurecaption">
    <w:name w:val="Figure caption"/>
    <w:basedOn w:val="Normal"/>
    <w:link w:val="FigurecaptionChar"/>
    <w:qFormat/>
    <w:pPr>
      <w:spacing w:after="120"/>
    </w:pPr>
    <w:rPr>
      <w:rFonts w:cs="Arial"/>
      <w:b/>
      <w:sz w:val="20"/>
      <w:szCs w:val="20"/>
    </w:rPr>
  </w:style>
  <w:style w:type="character" w:customStyle="1" w:styleId="FigurecaptionChar">
    <w:name w:val="Figure caption Char"/>
    <w:basedOn w:val="DefaultParagraphFont"/>
    <w:link w:val="Figurecaption"/>
    <w:rPr>
      <w:rFonts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qFormat/>
    <w:pPr>
      <w:widowControl w:val="0"/>
      <w:autoSpaceDE w:val="0"/>
      <w:autoSpaceDN w:val="0"/>
      <w:adjustRightInd w:val="0"/>
      <w:spacing w:after="113" w:line="236" w:lineRule="atLeast"/>
      <w:jc w:val="both"/>
      <w:textAlignment w:val="center"/>
    </w:pPr>
    <w:rPr>
      <w:rFonts w:ascii="Arial" w:eastAsia="Cambria" w:hAnsi="Arial" w:cs="Times-Roman"/>
      <w:color w:val="000000"/>
      <w:sz w:val="19"/>
      <w:szCs w:val="16"/>
      <w:lang w:eastAsia="en-GB"/>
    </w:rPr>
  </w:style>
  <w:style w:type="character" w:customStyle="1" w:styleId="BodyChar">
    <w:name w:val="Body Char"/>
    <w:link w:val="Body"/>
    <w:rPr>
      <w:rFonts w:ascii="Arial" w:eastAsia="Cambria" w:hAnsi="Arial" w:cs="Times-Roman"/>
      <w:color w:val="000000"/>
      <w:sz w:val="19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Heading1Char"/>
    <w:link w:val="FooterSensitivity"/>
    <w:rPr>
      <w:b/>
      <w:sz w:val="32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Heading1Char"/>
    <w:link w:val="HeaderSensitivity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fontTable" Target="fontTable.xml"/><Relationship Id="rId30" Type="http://schemas.microsoft.com/office/2011/relationships/commentsExtended" Target="commentsExtended.xml"/></Relationships>
</file>

<file path=word/_rels/footnotes.xml.rels><?xml version='1.0' encoding='UTF-8' standalone='yes'?>
<Relationships xmlns="http://schemas.openxmlformats.org/package/2006/relationships"><Relationship Id="rId8" Type="http://schemas.openxmlformats.org/officeDocument/2006/relationships/hyperlink" Target="http://ec.europa.eu/transparency/regexpert/index.cfm?do=groupDetail.groupDetail&amp;groupID=2673" TargetMode="External"/><Relationship Id="rId13" Type="http://schemas.openxmlformats.org/officeDocument/2006/relationships/hyperlink" Target="http://rmis.jrc.ec.europa.eu/" TargetMode="External"/><Relationship Id="rId3" Type="http://schemas.openxmlformats.org/officeDocument/2006/relationships/hyperlink" Target="http://www.europarl.europa.eu/oeil/popups/ficheprocedure.do?lang=en&amp;reference=2014/2208(INI)" TargetMode="External"/><Relationship Id="rId7" Type="http://schemas.openxmlformats.org/officeDocument/2006/relationships/hyperlink" Target="https://ec.europa.eu/info/law/better-regulation/initiatives/ares-2017-1830357_en" TargetMode="External"/><Relationship Id="rId12" Type="http://schemas.openxmlformats.org/officeDocument/2006/relationships/hyperlink" Target="http://eur-lex.europa.eu/legal-content/EN/TXT/?uri=CELEX:52015PC0596" TargetMode="External"/><Relationship Id="rId17" Type="http://schemas.openxmlformats.org/officeDocument/2006/relationships/hyperlink" Target="http://ec.europa.eu/eurostat/web/circular-economy" TargetMode="External"/><Relationship Id="rId2" Type="http://schemas.openxmlformats.org/officeDocument/2006/relationships/hyperlink" Target="http://www.consilium.europa.eu/en/press/press-releases/2016/06/20/envi-conclusions-circular-economy/pdf" TargetMode="External"/><Relationship Id="rId16" Type="http://schemas.openxmlformats.org/officeDocument/2006/relationships/hyperlink" Target="http://eur-lex.europa.eu/legal-content/EN/TXT/?uri=CELEX:52015PC0596" TargetMode="External"/><Relationship Id="rId1" Type="http://schemas.openxmlformats.org/officeDocument/2006/relationships/hyperlink" Target="https://ec.europa.eu/info/strategy/international-strategies/global-topics/sustainable-development-goals/eu-approach-sustainable-development_bg" TargetMode="External"/><Relationship Id="rId6" Type="http://schemas.openxmlformats.org/officeDocument/2006/relationships/hyperlink" Target="http://ec.europa.eu/eurostat/web/circular-economy" TargetMode="External"/><Relationship Id="rId11" Type="http://schemas.openxmlformats.org/officeDocument/2006/relationships/hyperlink" Target="http://ec.europa.eu/transparency/regexpert/index.cfm?do=groupDetail.groupDetail&amp;groupID=1353" TargetMode="External"/><Relationship Id="rId5" Type="http://schemas.openxmlformats.org/officeDocument/2006/relationships/hyperlink" Target="https://publications.europa.eu/en/publication-detail/-/publication/1ee65e21-9ac4-11e6-868c-01aa75ed71a1" TargetMode="External"/><Relationship Id="rId15" Type="http://schemas.openxmlformats.org/officeDocument/2006/relationships/hyperlink" Target="https://ec.europa.eu/food/safety/food_waste/eu_actions_en" TargetMode="External"/><Relationship Id="rId10" Type="http://schemas.openxmlformats.org/officeDocument/2006/relationships/hyperlink" Target="http://ec.europa.eu/transparency/regexpert/index.cfm?do=groupDetail.groupDetail&amp;groupID=2812" TargetMode="External"/><Relationship Id="rId4" Type="http://schemas.openxmlformats.org/officeDocument/2006/relationships/hyperlink" Target="http://ec.europa.eu/environment/resource_efficiency/targets_indicators/scoreboard/index_en.htm" TargetMode="External"/><Relationship Id="rId9" Type="http://schemas.openxmlformats.org/officeDocument/2006/relationships/hyperlink" Target="http://ec.europa.eu/transparency/regexpert/index.cfm?do=groupDetail.groupDetail&amp;groupID=470" TargetMode="External"/><Relationship Id="rId14" Type="http://schemas.openxmlformats.org/officeDocument/2006/relationships/hyperlink" Target="http://ec.europa.eu/environment/gpp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080BE-BBE6-48D8-80C9-3CBA9BC1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2930</Words>
  <Characters>17473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21</cp:revision>
  <cp:lastPrinted>2018-01-08T15:21:00Z</cp:lastPrinted>
  <dcterms:created xsi:type="dcterms:W3CDTF">2018-01-18T15:47:00Z</dcterms:created>
  <dcterms:modified xsi:type="dcterms:W3CDTF">2018-01-19T09:55:00Z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name="OP_sanitized" fmtid="{D5CDD505-2E9C-101B-9397-08002B2CF9AE}" pid="6">
    <vt:lpwstr>True</vt:lpwstr>
  </property>
</Properties>
</file>