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69D4828A8F5C4C1090588CC8111A8D74" style="width:450.35pt;height:366.1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rPr>
      </w:pPr>
      <w:r>
        <w:rPr>
          <w:noProof/>
        </w:rPr>
        <w:t>1.</w:t>
      </w:r>
      <w:r>
        <w:rPr>
          <w:noProof/>
        </w:rPr>
        <w:tab/>
        <w:t>КОНТЕКСТ НА ПРЕДЛОЖЕНИЕТО</w:t>
      </w:r>
    </w:p>
    <w:p>
      <w:pPr>
        <w:rPr>
          <w:rFonts w:eastAsia="Times New Roman"/>
          <w:noProof/>
          <w:szCs w:val="20"/>
        </w:rPr>
      </w:pPr>
      <w:r>
        <w:rPr>
          <w:noProof/>
        </w:rPr>
        <w:t>В Решение 2005/387/ПВР на Съвета относно обмена на информация, оценката на риска и контрола върху новите психоактивни вещества</w:t>
      </w:r>
      <w:r>
        <w:rPr>
          <w:rStyle w:val="FootnoteReference"/>
          <w:noProof/>
        </w:rPr>
        <w:footnoteReference w:id="1"/>
      </w:r>
      <w:r>
        <w:rPr>
          <w:noProof/>
        </w:rPr>
        <w:t xml:space="preserve"> се предвижда триетапна процедура, в резултат на която ново психоактивно вещество може да стане предмет на мерки за контрол на територията на Съюза.</w:t>
      </w:r>
    </w:p>
    <w:p>
      <w:pPr>
        <w:rPr>
          <w:rFonts w:eastAsia="Times New Roman"/>
          <w:noProof/>
          <w:szCs w:val="20"/>
        </w:rPr>
      </w:pPr>
      <w:r>
        <w:rPr>
          <w:noProof/>
        </w:rPr>
        <w:t>На 17 ноември 2016 г. бе публикуван съвместен доклад на Европейския център за мониторинг на наркотици и наркомании (ЕЦМНН) и Европол, изготвен в съответствие с член 5 от Решение 2005/387/ПВР на Съвета. На 23 януари 2017 г., след искане, отправено от Комисията и 11 държави членки и по силата на член 6, параграф 1 от горепосоченото решение на Съвета, Съветът поиска оценка на рисковете, свързани с употребата, производството и нелегалната търговия на новото психоактивно вещество акрилоилфентанил, на участието на организираната престъпност и на възможните последици от въвеждането на мерки за контрол на това вещество.</w:t>
      </w:r>
    </w:p>
    <w:p>
      <w:pPr>
        <w:rPr>
          <w:rFonts w:eastAsia="Times New Roman"/>
          <w:noProof/>
          <w:szCs w:val="20"/>
        </w:rPr>
      </w:pPr>
      <w:r>
        <w:rPr>
          <w:noProof/>
        </w:rPr>
        <w:t>Рисковете от акрилоилфентанил бяха подложени на оценка от страна на Научната комисия на ЕЦМНН в съответствие с разпоредбите на член 6, параграфи 2, 3 и 4 от Решението на Съвета. На 24 февруари 2017 г. председателят на Научната комисия представи на Комисията и на Съвета доклада за оценка на риска. Основните резултати от оценката на риска са следните:</w:t>
      </w:r>
    </w:p>
    <w:p>
      <w:pPr>
        <w:pStyle w:val="Tiret0"/>
        <w:numPr>
          <w:ilvl w:val="0"/>
          <w:numId w:val="10"/>
        </w:numPr>
        <w:rPr>
          <w:rFonts w:eastAsia="Calibri"/>
          <w:noProof/>
        </w:rPr>
      </w:pPr>
      <w:r>
        <w:rPr>
          <w:noProof/>
        </w:rPr>
        <w:t xml:space="preserve">акрилоилфентанил e синтетичен опиоид. Структурата му е сходна с тази на фентанила — контролирано вещество. Веществото е в наличност в Европейския съюз поне от април 2016 г. и е открито в 6 държави членки; </w:t>
      </w:r>
    </w:p>
    <w:p>
      <w:pPr>
        <w:pStyle w:val="Tiret0"/>
        <w:rPr>
          <w:rFonts w:eastAsia="Calibri"/>
          <w:noProof/>
        </w:rPr>
      </w:pPr>
      <w:r>
        <w:rPr>
          <w:noProof/>
        </w:rPr>
        <w:t>три държави членки са съобщили за 47 смъртни случая, свързани с акрилоилфентанил. В най-малко 40 смъртни случая акрилоилфентанил е бил причина за смъртта или има вероятност да е допринесъл за нея. Освен това се съобщава за повече от 20 остри интоксикации, за които има съмнение, че са причинени от акрилоилфентанил.</w:t>
      </w:r>
    </w:p>
    <w:p>
      <w:pPr>
        <w:rPr>
          <w:rFonts w:eastAsia="Calibri"/>
          <w:noProof/>
          <w:szCs w:val="20"/>
        </w:rPr>
      </w:pPr>
      <w:r>
        <w:rPr>
          <w:noProof/>
        </w:rPr>
        <w:t xml:space="preserve">В съответствие с член 8, параграф 1 от Решение 2005/387/ПВР на Съвета в срок от шест седмици, считано от датата на получаване на доклада за оценка на риска, Комисията внася в Съвета инициатива за въвеждане на мерки за контрол на новите психоактивни вещества на територията на Съюза или доклад, в който обосновава позицията си относно липсата на необходимост от такава инициатива. Съгласно решението на Съда на Европейския съюз от 16 април 2015 г. по съединени дела C-317/13 и C-679/13 Европейският парламент трябва да бъде консултиран преди приемането на акт въз основа на член 8, параграф 1 от Решение 2005/387/ПВР на Съвета. </w:t>
      </w:r>
    </w:p>
    <w:p>
      <w:pPr>
        <w:pBdr>
          <w:top w:val="nil"/>
          <w:left w:val="nil"/>
          <w:bottom w:val="nil"/>
          <w:right w:val="nil"/>
          <w:between w:val="nil"/>
          <w:bar w:val="nil"/>
        </w:pBdr>
        <w:spacing w:before="0" w:after="240"/>
        <w:rPr>
          <w:rFonts w:eastAsia="Arial Unicode MS"/>
          <w:noProof/>
        </w:rPr>
      </w:pPr>
      <w:r>
        <w:rPr>
          <w:noProof/>
        </w:rPr>
        <w:t>Въз основа на констатациите от доклада за оценка на риска Комисията счита, че са налице основания за въвеждането на мерки за контрол на това вещество на територията на Съюза. Според доклада за оценка на риска острата токсичност на акрилоилфентанил е такава, че може да причини сериозни увреждания на човешкото здраве.</w:t>
      </w:r>
    </w:p>
    <w:p>
      <w:pPr>
        <w:pStyle w:val="ManualHeading1"/>
        <w:rPr>
          <w:noProof/>
        </w:rPr>
      </w:pPr>
      <w:r>
        <w:rPr>
          <w:noProof/>
        </w:rPr>
        <w:t>2.</w:t>
      </w:r>
      <w:r>
        <w:rPr>
          <w:noProof/>
        </w:rPr>
        <w:tab/>
        <w:t xml:space="preserve">ЦЕЛ НА ПРЕДЛОЖЕНИЕТО </w:t>
      </w:r>
    </w:p>
    <w:p>
      <w:pPr>
        <w:pBdr>
          <w:top w:val="nil"/>
          <w:left w:val="nil"/>
          <w:bottom w:val="nil"/>
          <w:right w:val="nil"/>
          <w:between w:val="nil"/>
          <w:bar w:val="nil"/>
        </w:pBdr>
        <w:spacing w:before="0" w:after="240"/>
        <w:rPr>
          <w:rFonts w:eastAsia="Arial Unicode MS"/>
          <w:noProof/>
          <w:u w:color="000000"/>
          <w:bdr w:val="nil"/>
        </w:rPr>
      </w:pPr>
      <w:r>
        <w:rPr>
          <w:noProof/>
        </w:rPr>
        <w:t>Целта на настоящото предложение за решение за изпълнение на Съвета е да се приканят държавите членки да въведат по отношение на акрилоилфентанил мерките за контрол и наказателноправните санкции, предвидени в националното им законодателство по силата на задълженията им съгласно Конвенцията на ООН от 1971 г. за психотропните вещества.</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2017/0073 (NLE)</w:t>
      </w:r>
    </w:p>
    <w:p>
      <w:pPr>
        <w:pStyle w:val="Statut"/>
        <w:rPr>
          <w:noProof/>
        </w:rPr>
      </w:pPr>
      <w:r>
        <w:rPr>
          <w:noProof/>
        </w:rPr>
        <w:t>Предложение за</w:t>
      </w:r>
    </w:p>
    <w:p>
      <w:pPr>
        <w:pStyle w:val="Typedudocument"/>
        <w:rPr>
          <w:noProof/>
        </w:rPr>
      </w:pPr>
      <w:r>
        <w:rPr>
          <w:noProof/>
        </w:rPr>
        <w:t>РЕШЕНИЕ ЗА ИЗПЪЛНЕНИЕ НА СЪВЕТА</w:t>
      </w:r>
    </w:p>
    <w:p>
      <w:pPr>
        <w:pStyle w:val="Titreobjet"/>
        <w:rPr>
          <w:noProof/>
        </w:rPr>
      </w:pPr>
      <w:r>
        <w:rPr>
          <w:noProof/>
        </w:rPr>
        <w:t xml:space="preserve">за въвеждане по отношение на новото психоактивно вещество </w:t>
      </w:r>
      <w:r>
        <w:rPr>
          <w:i/>
          <w:noProof/>
        </w:rPr>
        <w:t>N</w:t>
      </w:r>
      <w:r>
        <w:rPr>
          <w:noProof/>
        </w:rPr>
        <w:t>- (1-phenethylpiperidin-4-yl)-</w:t>
      </w:r>
      <w:r>
        <w:rPr>
          <w:i/>
          <w:noProof/>
        </w:rPr>
        <w:t>N</w:t>
      </w:r>
      <w:r>
        <w:rPr>
          <w:noProof/>
        </w:rPr>
        <w:t>-phenylacrylamide (акрилоилфентанил) на мерки за контрол</w:t>
      </w:r>
    </w:p>
    <w:p>
      <w:pPr>
        <w:pStyle w:val="Institutionquiagit"/>
        <w:rPr>
          <w:noProof/>
        </w:rPr>
      </w:pPr>
      <w:r>
        <w:rPr>
          <w:noProof/>
        </w:rPr>
        <w:t>СЪВЕТЪТ НА ЕВРОПЕЙСКИЯ СЪЮЗ,</w:t>
      </w:r>
    </w:p>
    <w:p>
      <w:pPr>
        <w:rPr>
          <w:noProof/>
        </w:rPr>
      </w:pPr>
      <w:r>
        <w:rPr>
          <w:noProof/>
        </w:rPr>
        <w:t xml:space="preserve">като взе предвид Договора за функционирането на Европейския съюз, </w:t>
      </w:r>
    </w:p>
    <w:p>
      <w:pPr>
        <w:rPr>
          <w:noProof/>
        </w:rPr>
      </w:pPr>
      <w:r>
        <w:rPr>
          <w:noProof/>
        </w:rPr>
        <w:t>като взе предвид Решение 2005/387/ПВР на Съвета от 10 май 2005 г. относно обмена на информация, оценката на риска и контрола върху новите психоактивни вещества</w:t>
      </w:r>
      <w:r>
        <w:rPr>
          <w:rStyle w:val="FootnoteReference"/>
          <w:noProof/>
        </w:rPr>
        <w:footnoteReference w:id="2"/>
      </w:r>
      <w:r>
        <w:rPr>
          <w:noProof/>
        </w:rPr>
        <w:t>, и по-специално член 8, параграф 3 от него,</w:t>
      </w:r>
    </w:p>
    <w:p>
      <w:pPr>
        <w:rPr>
          <w:noProof/>
        </w:rPr>
      </w:pPr>
      <w:r>
        <w:rPr>
          <w:noProof/>
        </w:rPr>
        <w:t>като взе предвид становището на Европейския парламент</w:t>
      </w:r>
      <w:r>
        <w:rPr>
          <w:rStyle w:val="FootnoteReference"/>
          <w:noProof/>
        </w:rPr>
        <w:footnoteReference w:id="3"/>
      </w:r>
      <w:r>
        <w:rPr>
          <w:noProof/>
        </w:rPr>
        <w:t>,</w:t>
      </w:r>
    </w:p>
    <w:p>
      <w:pPr>
        <w:rPr>
          <w:noProof/>
        </w:rPr>
      </w:pPr>
      <w:r>
        <w:rPr>
          <w:noProof/>
        </w:rPr>
        <w:t>като взе предвид предложението на Европейската комисия,</w:t>
      </w:r>
    </w:p>
    <w:p>
      <w:pPr>
        <w:rPr>
          <w:noProof/>
        </w:rPr>
      </w:pPr>
      <w:r>
        <w:rPr>
          <w:noProof/>
        </w:rPr>
        <w:t>като има предвид, че:</w:t>
      </w:r>
    </w:p>
    <w:p>
      <w:pPr>
        <w:pStyle w:val="ManualConsidrant"/>
        <w:rPr>
          <w:noProof/>
        </w:rPr>
      </w:pPr>
      <w:r>
        <w:t>(1)</w:t>
      </w:r>
      <w:r>
        <w:tab/>
      </w:r>
      <w:r>
        <w:rPr>
          <w:noProof/>
        </w:rPr>
        <w:t xml:space="preserve">В съответствие с член 6 от Решение 2005/387/ПВР на специална сесия на разширената Научна комисия на Европейския център за мониторинг на наркотици и наркомании (ЕЦМНН) беше изготвен доклад за оценка на риска относно новото психоактивно вещество </w:t>
      </w:r>
      <w:r>
        <w:rPr>
          <w:i/>
          <w:noProof/>
        </w:rPr>
        <w:t>N</w:t>
      </w:r>
      <w:r>
        <w:rPr>
          <w:noProof/>
        </w:rPr>
        <w:t>-(1-phenethylpiperidin-4-yl)-</w:t>
      </w:r>
      <w:r>
        <w:rPr>
          <w:i/>
          <w:noProof/>
        </w:rPr>
        <w:t>N</w:t>
      </w:r>
      <w:r>
        <w:rPr>
          <w:noProof/>
        </w:rPr>
        <w:t>-phenylacrylamide (акрилоилфентанил), който впоследствие беше изпратен на Комисията и на Съвета на 24 февруари 2017 г.</w:t>
      </w:r>
    </w:p>
    <w:p>
      <w:pPr>
        <w:pStyle w:val="ManualConsidrant"/>
        <w:rPr>
          <w:noProof/>
        </w:rPr>
      </w:pPr>
      <w:r>
        <w:t>(2)</w:t>
      </w:r>
      <w:r>
        <w:tab/>
      </w:r>
      <w:r>
        <w:rPr>
          <w:noProof/>
        </w:rPr>
        <w:t>Акрилоилфентанил e синтетичен опиоид. Структурата му е сходна с тази на фентанила — контролирано вещество, широко използвано в медицината като допълнение към общата анестезия по време на хирургична интервенция и за овладяване на болката. Наличните данни подсказват, че акрилоилфентанил е мощен антиноцицептивен (обезболяващ) агент с дълготраен ефект, който въздейства върху опиоидната система.</w:t>
      </w:r>
    </w:p>
    <w:p>
      <w:pPr>
        <w:pStyle w:val="ManualConsidrant"/>
        <w:rPr>
          <w:noProof/>
        </w:rPr>
      </w:pPr>
      <w:r>
        <w:t>(3)</w:t>
      </w:r>
      <w:r>
        <w:tab/>
      </w:r>
      <w:r>
        <w:rPr>
          <w:noProof/>
        </w:rPr>
        <w:t>Акрилоилфентанил е в наличност в Европейския съюз поне от април 2016 г. и е открит в 6 държави членки. В повечето случаи веществото е било конфискувано под формата на течност, но е откривано и под други форми, като например таблетки, прахове и капсули. Откритите количества са относително малки. Трябва обаче да се отчете силното въздействие на веществото.</w:t>
      </w:r>
    </w:p>
    <w:p>
      <w:pPr>
        <w:pStyle w:val="ManualConsidrant"/>
        <w:rPr>
          <w:noProof/>
        </w:rPr>
      </w:pPr>
      <w:r>
        <w:t>(4)</w:t>
      </w:r>
      <w:r>
        <w:tab/>
      </w:r>
      <w:r>
        <w:rPr>
          <w:noProof/>
        </w:rPr>
        <w:t>Три държави членки са съобщили за 47 смъртни случая, свързани с акрилоилфентанил. В най-малко 40 смъртни случая акрилоилфентанил е бил причина за смъртта или има вероятност да е допринесъл за нея. Освен това се съобщава за повече от 20 остри интоксикации, за които има съмнения, че са причинени от акрилоилфентанил.</w:t>
      </w:r>
    </w:p>
    <w:p>
      <w:pPr>
        <w:pStyle w:val="ManualConsidrant"/>
        <w:rPr>
          <w:noProof/>
        </w:rPr>
      </w:pPr>
      <w:r>
        <w:t>(5)</w:t>
      </w:r>
      <w:r>
        <w:tab/>
      </w:r>
      <w:r>
        <w:rPr>
          <w:noProof/>
        </w:rPr>
        <w:t>Не съществува информация за участие на организираната престъпност в производството, разпространението, трафика и доставката на акрилоилфентанил в рамките на Съюза. Наличните данни показват, че по-голямата част от акрилоилфентанил на пазара в Европа се произвежда в химически дружества, установени в Китай.</w:t>
      </w:r>
    </w:p>
    <w:p>
      <w:pPr>
        <w:pStyle w:val="ManualConsidrant"/>
        <w:rPr>
          <w:noProof/>
        </w:rPr>
      </w:pPr>
      <w:r>
        <w:t>(6)</w:t>
      </w:r>
      <w:r>
        <w:tab/>
      </w:r>
      <w:r>
        <w:rPr>
          <w:noProof/>
        </w:rPr>
        <w:t>Акрилоилфентанил се продава като „химикал за научноизследователски цели“, обикновено под формата на прах или готов за употреба назален спрей, на дребно и на едро. Ограничените данни от конфискациите показват, че акрилоилфентанил може да се продава и на незаконния пазар на опиоиди.</w:t>
      </w:r>
    </w:p>
    <w:p>
      <w:pPr>
        <w:pStyle w:val="ManualConsidrant"/>
        <w:rPr>
          <w:noProof/>
        </w:rPr>
      </w:pPr>
      <w:r>
        <w:t>(7)</w:t>
      </w:r>
      <w:r>
        <w:tab/>
      </w:r>
      <w:r>
        <w:rPr>
          <w:noProof/>
        </w:rPr>
        <w:t>Акрилоилфентанил не е вписан сред подлежащите на контрол вещества, посочени в Единната конвенция на Организацията на обединените нации от 1961 г. по упойващите вещества, нито в Конвенцията на Организацията на обединените нации от 1971 г. за психотропните вещества. Веществото понастоящем не е предмет на оценка по системата на Организацията на обединените нации.</w:t>
      </w:r>
    </w:p>
    <w:p>
      <w:pPr>
        <w:pStyle w:val="ManualConsidrant"/>
        <w:rPr>
          <w:noProof/>
        </w:rPr>
      </w:pPr>
      <w:r>
        <w:t>(8)</w:t>
      </w:r>
      <w:r>
        <w:tab/>
      </w:r>
      <w:r>
        <w:rPr>
          <w:noProof/>
        </w:rPr>
        <w:t>Няма установена или призната употреба на акрилоилфентанил за медицински цели в хуманната или ветеринарната медицина. С изключение на употребата му в аналитични референтни материали, както и в научните изследвания относно неговите химични, фармакологични и токсикологични свойства в резултат от появата му на пазара на наркотици, няма данни веществото да се използва за други цели.</w:t>
      </w:r>
    </w:p>
    <w:p>
      <w:pPr>
        <w:pStyle w:val="ManualConsidrant"/>
        <w:rPr>
          <w:noProof/>
        </w:rPr>
      </w:pPr>
      <w:r>
        <w:t>(9)</w:t>
      </w:r>
      <w:r>
        <w:tab/>
      </w:r>
      <w:r>
        <w:rPr>
          <w:noProof/>
        </w:rPr>
        <w:t>В доклада за оценка на риска се посочва, че научните данни за акрилоилфентанил са ограничени, и се изтъква, че са необходими допълнителни изследвания. Въпреки това наличните данни и информация относно породените от веществото здравни и социални рискове дават достатъчно основание за въвеждането на мерки за контрол на акрилоилфентанил на територията на Съюза.</w:t>
      </w:r>
    </w:p>
    <w:p>
      <w:pPr>
        <w:pStyle w:val="ManualConsidrant"/>
        <w:rPr>
          <w:noProof/>
        </w:rPr>
      </w:pPr>
      <w:r>
        <w:t>(10)</w:t>
      </w:r>
      <w:r>
        <w:tab/>
      </w:r>
      <w:r>
        <w:rPr>
          <w:noProof/>
        </w:rPr>
        <w:t>Тъй като само 9 държави членки контролират акрилоилфентанил съгласно националното си законодателство за контрол на наркотиците, а 2 държави членки използват други законодателни мерки за контрол върху него, въвеждането по отношение на посоченото вещество на мерки за контрол на територията на Съюза би допринесло да се избегне появата на пречки при трансграничното сътрудничество в областта на правоприлагането и в съдебната област и би помогнало за предпазване от рисковете, които предлагането и употребата му могат да създадат.</w:t>
      </w:r>
    </w:p>
    <w:p>
      <w:pPr>
        <w:pStyle w:val="ManualConsidrant"/>
        <w:rPr>
          <w:noProof/>
        </w:rPr>
      </w:pPr>
      <w:r>
        <w:t>(11)</w:t>
      </w:r>
      <w:r>
        <w:tab/>
      </w:r>
      <w:r>
        <w:rPr>
          <w:noProof/>
        </w:rPr>
        <w:t>С Решение 2005/387/ПВР на Съвета се предоставят изпълнителни правомощия с цел на равнището на Съюза да се осигури бърза и основана на експертни становища реакция на появата на нови психоактивни вещества, установени и докладвани от държавите членки, чрез подлагане на тези вещества на мерки за контрол на територията на Съюза. Тъй като условията и процедурата за упражняването на тези изпълнителни правомощия са изпълнени, следва да бъде прието решение за изпълнение с цел да бъдат въведени мерки за контрол по отношение на акрилоилфентанил на територията на Съюза.</w:t>
      </w:r>
    </w:p>
    <w:p>
      <w:pPr>
        <w:pStyle w:val="ManualConsidrant"/>
        <w:rPr>
          <w:noProof/>
        </w:rPr>
      </w:pPr>
      <w:r>
        <w:t>(12)</w:t>
      </w:r>
      <w:r>
        <w:tab/>
      </w:r>
      <w:r>
        <w:rPr>
          <w:noProof/>
        </w:rPr>
        <w:t>Дания е обвързана от Решение 2005/387/ПВР и поради това участва в приемането и прилагането на настоящото решение, което се отнася за изпълнението на Решение 2005/387/ПВР.</w:t>
      </w:r>
    </w:p>
    <w:p>
      <w:pPr>
        <w:pStyle w:val="ManualConsidrant"/>
        <w:rPr>
          <w:noProof/>
        </w:rPr>
      </w:pPr>
      <w:r>
        <w:t>(13)</w:t>
      </w:r>
      <w:r>
        <w:tab/>
      </w:r>
      <w:r>
        <w:rPr>
          <w:noProof/>
        </w:rPr>
        <w:t>Ирландия е обвързана от Решение 2005/387/ПВР и поради това участва в приемането и прилагането на настоящото решение, което се отнася за изпълнението на Решение 2005/387/ПВР.</w:t>
      </w:r>
    </w:p>
    <w:p>
      <w:pPr>
        <w:pStyle w:val="ManualConsidrant"/>
        <w:rPr>
          <w:noProof/>
        </w:rPr>
      </w:pPr>
      <w:r>
        <w:t>(14)</w:t>
      </w:r>
      <w:r>
        <w:tab/>
      </w:r>
      <w:r>
        <w:rPr>
          <w:noProof/>
        </w:rPr>
        <w:t>Обединеното кралство не е обвързано от Решение 2005/387/ПВР и поради това не участва в приемането на настоящото решение, което е за изпълнение на Решение 2005/387/ПВР, и не е обвързано от него, нито от неговото прилагане.</w:t>
      </w:r>
    </w:p>
    <w:p>
      <w:pPr>
        <w:pStyle w:val="Formuledadoption"/>
        <w:rPr>
          <w:noProof/>
        </w:rPr>
      </w:pPr>
      <w:r>
        <w:rPr>
          <w:noProof/>
        </w:rPr>
        <w:t xml:space="preserve">ПРИЕ НАСТОЯЩОТО РЕШЕНИЕ: </w:t>
      </w:r>
    </w:p>
    <w:p>
      <w:pPr>
        <w:pStyle w:val="Titrearticle"/>
        <w:rPr>
          <w:noProof/>
        </w:rPr>
      </w:pPr>
      <w:r>
        <w:rPr>
          <w:noProof/>
        </w:rPr>
        <w:t>Член 1</w:t>
      </w:r>
    </w:p>
    <w:p>
      <w:pPr>
        <w:rPr>
          <w:noProof/>
        </w:rPr>
      </w:pPr>
      <w:r>
        <w:rPr>
          <w:noProof/>
        </w:rPr>
        <w:t xml:space="preserve">По отношение на новото психоактивно вещество, </w:t>
      </w:r>
      <w:r>
        <w:rPr>
          <w:i/>
          <w:noProof/>
        </w:rPr>
        <w:t>N</w:t>
      </w:r>
      <w:r>
        <w:rPr>
          <w:noProof/>
        </w:rPr>
        <w:t>-(1-phenethylpiperidin-4-yl)-</w:t>
      </w:r>
      <w:r>
        <w:rPr>
          <w:i/>
          <w:noProof/>
        </w:rPr>
        <w:t>N</w:t>
      </w:r>
      <w:r>
        <w:rPr>
          <w:noProof/>
        </w:rPr>
        <w:t>-phenylacrylamide (акрилоилфентанил) се въвеждат мерки за контрол на територията на Съюза.</w:t>
      </w:r>
    </w:p>
    <w:p>
      <w:pPr>
        <w:pStyle w:val="Titrearticle"/>
        <w:rPr>
          <w:noProof/>
        </w:rPr>
      </w:pPr>
      <w:r>
        <w:rPr>
          <w:noProof/>
        </w:rPr>
        <w:t>Член 2</w:t>
      </w:r>
    </w:p>
    <w:p>
      <w:pPr>
        <w:keepNext/>
        <w:keepLines/>
        <w:rPr>
          <w:noProof/>
        </w:rPr>
      </w:pPr>
      <w:r>
        <w:rPr>
          <w:noProof/>
        </w:rPr>
        <w:t xml:space="preserve">Най-късно до </w:t>
      </w:r>
      <w:r>
        <w:rPr>
          <w:i/>
          <w:noProof/>
        </w:rPr>
        <w:t>[една година от датата, на която е публикувано настоящото решение]</w:t>
      </w:r>
      <w:r>
        <w:rPr>
          <w:noProof/>
        </w:rPr>
        <w:t> държавите членки вземат необходимите мерки в съответствие със своето национално право да въведат по отношение на новото психоактивно вещество, посочено в член 1, мерките за контрол и наказателноправните санкции, предвидени в националното им законодателство по силата на задълженията им, произтичащи от Конвенцията на Организацията на обединените нации от 1971 г. за психотропните вещества</w:t>
      </w:r>
      <w:r>
        <w:rPr>
          <w:noProof/>
          <w:color w:val="000000" w:themeColor="text1"/>
        </w:rPr>
        <w:t>.</w:t>
      </w:r>
    </w:p>
    <w:p>
      <w:pPr>
        <w:rPr>
          <w:noProof/>
        </w:rPr>
      </w:pPr>
    </w:p>
    <w:p>
      <w:pPr>
        <w:keepNext/>
        <w:keepLines/>
        <w:rPr>
          <w:noProof/>
        </w:rPr>
      </w:pPr>
      <w:r>
        <w:rPr>
          <w:noProof/>
        </w:rPr>
        <w:t>Настоящото решение се прилага в съответствие с Договорите.</w:t>
      </w:r>
    </w:p>
    <w:p>
      <w:pPr>
        <w:keepNext/>
        <w:keepLines/>
        <w:rPr>
          <w:noProof/>
        </w:rPr>
      </w:pPr>
    </w:p>
    <w:p>
      <w:pPr>
        <w:keepNext/>
        <w:keepLines/>
        <w:rPr>
          <w:noProof/>
        </w:rPr>
      </w:pPr>
    </w:p>
    <w:p>
      <w:pPr>
        <w:pStyle w:val="Fait"/>
        <w:rPr>
          <w:noProof/>
        </w:rPr>
      </w:pPr>
      <w:r>
        <w:rPr>
          <w:noProof/>
        </w:rPr>
        <w:t>Съставено в Брюксел на  година.</w:t>
      </w:r>
    </w:p>
    <w:p>
      <w:pPr>
        <w:pStyle w:val="Institutionquisigne"/>
        <w:rPr>
          <w:noProof/>
        </w:rPr>
      </w:pPr>
      <w:r>
        <w:rPr>
          <w:noProof/>
        </w:rPr>
        <w:tab/>
        <w:t>За Съвета</w:t>
      </w:r>
    </w:p>
    <w:p>
      <w:pPr>
        <w:pStyle w:val="Personnequisigne"/>
        <w:rPr>
          <w:noProof/>
        </w:rPr>
      </w:pPr>
      <w:r>
        <w:rPr>
          <w:noProof/>
        </w:rPr>
        <w:tab/>
        <w:t>Председател</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pl-PL"/>
        </w:rPr>
      </w:pPr>
      <w:r>
        <w:rPr>
          <w:rStyle w:val="FootnoteReference"/>
        </w:rPr>
        <w:footnoteRef/>
      </w:r>
      <w:r>
        <w:tab/>
        <w:t>ОВ L 127, 20.5.2005 г., стр. 32.</w:t>
      </w:r>
    </w:p>
  </w:footnote>
  <w:footnote w:id="2">
    <w:p>
      <w:pPr>
        <w:pStyle w:val="FootnoteText"/>
        <w:rPr>
          <w:lang w:val="pl-PL"/>
        </w:rPr>
      </w:pPr>
      <w:r>
        <w:rPr>
          <w:rStyle w:val="FootnoteReference"/>
        </w:rPr>
        <w:footnoteRef/>
      </w:r>
      <w:r>
        <w:tab/>
        <w:t>ОВ L 127, 20.5.2005 г., стр. 32.</w:t>
      </w:r>
    </w:p>
  </w:footnote>
  <w:footnote w:id="3">
    <w:p>
      <w:pPr>
        <w:pStyle w:val="FootnoteText"/>
        <w:rPr>
          <w:lang w:val="pl-PL"/>
        </w:rPr>
      </w:pPr>
      <w:r>
        <w:rPr>
          <w:rStyle w:val="FootnoteReference"/>
        </w:rPr>
        <w:footnoteRef/>
      </w:r>
      <w:r>
        <w:tab/>
        <w:t>OВ C , , стр.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DA20BC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3F8A818"/>
    <w:lvl w:ilvl="0">
      <w:start w:val="1"/>
      <w:numFmt w:val="decimal"/>
      <w:pStyle w:val="ListNumber3"/>
      <w:lvlText w:val="%1."/>
      <w:lvlJc w:val="left"/>
      <w:pPr>
        <w:tabs>
          <w:tab w:val="num" w:pos="926"/>
        </w:tabs>
        <w:ind w:left="926" w:hanging="360"/>
      </w:pPr>
    </w:lvl>
  </w:abstractNum>
  <w:abstractNum w:abstractNumId="2">
    <w:nsid w:val="FFFFFF7F"/>
    <w:multiLevelType w:val="singleLevel"/>
    <w:tmpl w:val="D95EA5F2"/>
    <w:lvl w:ilvl="0">
      <w:start w:val="1"/>
      <w:numFmt w:val="decimal"/>
      <w:pStyle w:val="ListNumber2"/>
      <w:lvlText w:val="%1."/>
      <w:lvlJc w:val="left"/>
      <w:pPr>
        <w:tabs>
          <w:tab w:val="num" w:pos="643"/>
        </w:tabs>
        <w:ind w:left="643" w:hanging="360"/>
      </w:pPr>
    </w:lvl>
  </w:abstractNum>
  <w:abstractNum w:abstractNumId="3">
    <w:nsid w:val="FFFFFF81"/>
    <w:multiLevelType w:val="singleLevel"/>
    <w:tmpl w:val="4790AFB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2E6203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9B1E41D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C7004C0"/>
    <w:lvl w:ilvl="0">
      <w:start w:val="1"/>
      <w:numFmt w:val="decimal"/>
      <w:pStyle w:val="ListNumber"/>
      <w:lvlText w:val="%1."/>
      <w:lvlJc w:val="left"/>
      <w:pPr>
        <w:tabs>
          <w:tab w:val="num" w:pos="360"/>
        </w:tabs>
        <w:ind w:left="360" w:hanging="360"/>
      </w:pPr>
    </w:lvl>
  </w:abstractNum>
  <w:abstractNum w:abstractNumId="7">
    <w:nsid w:val="FFFFFF89"/>
    <w:multiLevelType w:val="singleLevel"/>
    <w:tmpl w:val="642677F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lvlOverride w:ilvl="0">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20"/>
  <w:hideSpellingErrors/>
  <w:hideGrammaticalErrors/>
  <w:attachedTemplate r:id="rId1"/>
  <w:revisionView w:markup="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3-21 14:54:24"/>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Yellow"/>
    <w:docVar w:name="DQCVersion" w:val="3"/>
    <w:docVar w:name="DQCWithWarnings" w:val="0"/>
    <w:docVar w:name="LW_CONFIDENCE" w:val=" "/>
    <w:docVar w:name="LW_CONST_RESTREINT_UE" w:val="RESTREINT UE"/>
    <w:docVar w:name="LW_CORRIGENDUM" w:val="&lt;UNUSED&gt;"/>
    <w:docVar w:name="LW_COVERPAGE_GUID" w:val="69D4828A8F5C4C1090588CC8111A8D74"/>
    <w:docVar w:name="LW_CROSSREFERENCE" w:val="&lt;UNUSED&gt;"/>
    <w:docVar w:name="LW_DocType" w:val="COM"/>
    <w:docVar w:name="LW_EMISSION" w:val="6.4.2017"/>
    <w:docVar w:name="LW_EMISSION_ISODATE" w:val="2017-04-06"/>
    <w:docVar w:name="LW_EMISSION_LOCATION" w:val="BRX"/>
    <w:docVar w:name="LW_EMISSION_PREFIX" w:val="Брюксел, "/>
    <w:docVar w:name="LW_EMISSION_SUFFIX" w:val=" \u1075?."/>
    <w:docVar w:name="LW_ID_DOCMODEL" w:val="SJ-020"/>
    <w:docVar w:name="LW_ID_DOCSIGNATURE" w:val="SJ-020"/>
    <w:docVar w:name="LW_ID_DOCSTRUCTURE" w:val="COM/PL/ORG"/>
    <w:docVar w:name="LW_ID_DOCTYPE" w:val="SJ-020"/>
    <w:docVar w:name="LW_ID_STATUT" w:val="SJ-020"/>
    <w:docVar w:name="LW_INTERETEEE.CP" w:val="&lt;UNUSED&gt;"/>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073"/>
    <w:docVar w:name="LW_REF.II.NEW.CP_YEAR" w:val="2017"/>
    <w:docVar w:name="LW_REF.INST.NEW" w:val="COM"/>
    <w:docVar w:name="LW_REF.INST.NEW_ADOPTED" w:val="final"/>
    <w:docVar w:name="LW_REF.INST.NEW_TEXT" w:val="(2017) 161"/>
    <w:docVar w:name="LW_REF.INTERNE" w:val="&lt;UNUSED&gt;"/>
    <w:docVar w:name="LW_SOUS.TITRE.OBJ.CP" w:val="&lt;UNUSED&gt;"/>
    <w:docVar w:name="LW_STATUT.CP" w:val="\u1055?\u1088?\u1077?\u1076?\u1083?\u1086?\u1078?\u1077?\u1085?\u1080?\u1077? \u1079?\u1072?"/>
    <w:docVar w:name="LW_SUPERTITRE" w:val="&lt;UNUSED&gt;"/>
    <w:docVar w:name="LW_TITRE.OBJ.CP" w:val="\u1079?\u1072? \u1074?\u1098?\u1074?\u1077?\u1078?\u1076?\u1072?\u1085?\u1077? \u1087?\u1086? \u1086?\u1090?\u1085?\u1086?\u1096?\u1077?\u1085?\u1080?\u1077? \u1085?\u1072? \u1085?\u1086?\u1074?\u1086?\u1090?\u1086? \u1087?\u1089?\u1080?\u1093?\u1086?\u1072?\u1082?\u1090?\u1080?\u1074?\u1085?\u1086? \u1074?\u1077?\u1097?\u1077?\u1089?\u1090?\u1074?\u1086? N- (1-phenethylpiperidin-4-yl)-N-phenylacrylamide (\u1072?\u1082?\u1088?\u1080?\u1083?\u1086?\u1080?\u1083?\u1092?\u1077?\u1085?\u1090?\u1072?\u1085?\u1080?\u1083?) \u1085?\u1072? \u1084?\u1077?\u1088?\u1082?\u1080? \u1079?\u1072? \u1082?\u1086?\u1085?\u1090?\u1088?\u1086?\u1083?"/>
    <w:docVar w:name="LW_TITRE.OBJ_CONTENT_FMTD" w:val="\u1079?\u1072? \u1074?\u1098?\u1074?\u1077?\u1078?\u1076?\u1072?\u1085?\u1077? \u1087?\u1086? \u1086?\u1090?\u1085?\u1086?\u1096?\u1077?\u1085?\u1080?\u1077? \u1085?\u1072? \u1085?\u1086?\u1074?\u1086?\u1090?\u1086? \u1087?\u1089?\u1080?\u1093?\u1086?\u1072?\u1082?\u1090?\u1080?\u1074?\u1085?\u1086? \u1074?\u1077?\u1097?\u1077?\u1089?\u1090?\u1074?\u1086? &lt;FMT:italic&gt;N&lt;/FMT&gt;- (1-phenethylpiperidin-4-yl)-&lt;FMT:italic&gt;N&lt;/FMT&gt;-phenylacrylamide (\u1072?\u1082?\u1088?\u1080?\u1083?\u1086?\u1080?\u1083?\u1092?\u1077?\u1085?\u1090?\u1072?\u1085?\u1080?\u1083?) \u1085?\u1072? \u1084?\u1077?\u1088?\u1082?\u1080? \u1079?\u1072? \u1082?\u1086?\u1085?\u1090?\u1088?\u1086?\u1083?"/>
    <w:docVar w:name="LW_TITRE.OBJ_USEMAINTEXTFORCP" w:val="1"/>
    <w:docVar w:name="LW_TYPE.DOC.CP" w:val="\u1056?\u1045?\u1064?\u1045?\u1053?\u1048?\u1045? \u1047?\u1040? \u1048?\u1047?\u1055?\u1066?\u1051?\u1053?\u1045?\u1053?\u1048?\u1045?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2A3BE-F9F5-4EDD-A14E-3FC7D3908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6</Pages>
  <Words>1393</Words>
  <Characters>8055</Characters>
  <Application>Microsoft Office Word</Application>
  <DocSecurity>0</DocSecurity>
  <Lines>157</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2017-03-16T16:21:00Z</cp:lastPrinted>
  <dcterms:created xsi:type="dcterms:W3CDTF">2017-03-21T13:54:00Z</dcterms:created>
  <dcterms:modified xsi:type="dcterms:W3CDTF">2017-03-29T10:41:00Z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20141001</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SJ-020</vt:lpwstr>
  </property>
  <property fmtid="{D5CDD505-2E9C-101B-9397-08002B2CF9AE}" pid="10" name="DQCStatus">
    <vt:lpwstr>Yellow (DQC version 03)</vt:lpwstr>
  </property>
  <property name="OP_sanitized" fmtid="{D5CDD505-2E9C-101B-9397-08002B2CF9AE}" pid="11">
    <vt:lpwstr>True</vt:lpwstr>
  </property>
</Properties>
</file>