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F2A39DEE4C884116BBF96FD9E163F366" style="width:450.75pt;height:321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rPr>
          <w:noProof/>
        </w:rPr>
      </w:pPr>
      <w:bookmarkStart w:id="1" w:name="_GoBack"/>
      <w:bookmarkEnd w:id="1"/>
      <w:r>
        <w:rPr>
          <w:noProof/>
        </w:rPr>
        <w:lastRenderedPageBreak/>
        <w:t>Като има предвид:</w:t>
      </w:r>
    </w:p>
    <w:p>
      <w:pPr>
        <w:pStyle w:val="Tiret0"/>
        <w:tabs>
          <w:tab w:val="clear" w:pos="850"/>
          <w:tab w:val="num" w:pos="1004"/>
        </w:tabs>
        <w:rPr>
          <w:noProof/>
        </w:rPr>
      </w:pPr>
      <w:r>
        <w:rPr>
          <w:noProof/>
        </w:rPr>
        <w:t>Договора за функционирането на Европейския съюз, и по-специално член 314 от него, във връзка с Договора за създаване на Европейската общност за атомна енергия, и по-специално член 106а от него,</w:t>
      </w:r>
    </w:p>
    <w:p>
      <w:pPr>
        <w:pStyle w:val="Tiret0"/>
        <w:tabs>
          <w:tab w:val="clear" w:pos="850"/>
          <w:tab w:val="num" w:pos="927"/>
        </w:tabs>
        <w:rPr>
          <w:rFonts w:cs="Arial"/>
          <w:noProof/>
          <w:szCs w:val="18"/>
        </w:rPr>
      </w:pPr>
      <w:r>
        <w:rPr>
          <w:noProof/>
        </w:rPr>
        <w:t>Регламент (ЕС, Евратом) № 966/2012 на Европейския парламент и на Съвета от 25 октомври 2012 г. относно финансовите правила, приложими за общия бюджет на Съюза</w:t>
      </w:r>
      <w:r>
        <w:rPr>
          <w:rStyle w:val="FootnoteReference"/>
          <w:noProof/>
        </w:rPr>
        <w:footnoteReference w:id="2"/>
      </w:r>
      <w:r>
        <w:rPr>
          <w:noProof/>
        </w:rPr>
        <w:t>, и по-специално член 41 от него,</w:t>
      </w:r>
    </w:p>
    <w:p>
      <w:pPr>
        <w:pStyle w:val="Tiret0"/>
        <w:tabs>
          <w:tab w:val="clear" w:pos="850"/>
          <w:tab w:val="num" w:pos="927"/>
        </w:tabs>
        <w:rPr>
          <w:noProof/>
        </w:rPr>
      </w:pPr>
      <w:r>
        <w:rPr>
          <w:noProof/>
        </w:rPr>
        <w:t>общия бюджет на Европейския съюз за 2017 финансова година, приет на 1</w:t>
      </w:r>
      <w:r>
        <w:rPr>
          <w:noProof/>
          <w:lang w:val="en-GB"/>
        </w:rPr>
        <w:t> </w:t>
      </w:r>
      <w:r>
        <w:rPr>
          <w:noProof/>
        </w:rPr>
        <w:t>декември 2016 г.</w:t>
      </w:r>
      <w:r>
        <w:rPr>
          <w:rStyle w:val="FootnoteReference"/>
          <w:noProof/>
        </w:rPr>
        <w:footnoteReference w:id="3"/>
      </w:r>
      <w:r>
        <w:rPr>
          <w:noProof/>
        </w:rPr>
        <w:t>,</w:t>
      </w:r>
    </w:p>
    <w:p>
      <w:pPr>
        <w:pStyle w:val="Tiret0"/>
        <w:rPr>
          <w:noProof/>
        </w:rPr>
      </w:pPr>
      <w:r>
        <w:rPr>
          <w:noProof/>
        </w:rPr>
        <w:t>коригиращ бюджет № 1/2017</w:t>
      </w:r>
      <w:r>
        <w:rPr>
          <w:rStyle w:val="FootnoteReference"/>
          <w:noProof/>
        </w:rPr>
        <w:footnoteReference w:id="4"/>
      </w:r>
      <w:r>
        <w:rPr>
          <w:noProof/>
        </w:rPr>
        <w:t>, приет на 5 април 2017 г.,</w:t>
      </w:r>
    </w:p>
    <w:p>
      <w:pPr>
        <w:pStyle w:val="Tiret0"/>
        <w:rPr>
          <w:noProof/>
        </w:rPr>
      </w:pPr>
      <w:r>
        <w:rPr>
          <w:noProof/>
        </w:rPr>
        <w:t>коригиращ бюджет № 2/2017</w:t>
      </w:r>
      <w:r>
        <w:rPr>
          <w:rStyle w:val="FootnoteReference"/>
          <w:noProof/>
        </w:rPr>
        <w:footnoteReference w:id="5"/>
      </w:r>
      <w:r>
        <w:rPr>
          <w:noProof/>
        </w:rPr>
        <w:t>, приет на 4 юли 2017 г.,</w:t>
      </w:r>
    </w:p>
    <w:p>
      <w:pPr>
        <w:pStyle w:val="Tiret0"/>
        <w:rPr>
          <w:noProof/>
        </w:rPr>
      </w:pPr>
      <w:r>
        <w:rPr>
          <w:noProof/>
        </w:rPr>
        <w:t>проект на коригиращ бюджет № 3/2017</w:t>
      </w:r>
      <w:r>
        <w:rPr>
          <w:rStyle w:val="FootnoteReference"/>
          <w:noProof/>
        </w:rPr>
        <w:footnoteReference w:id="6"/>
      </w:r>
      <w:r>
        <w:rPr>
          <w:noProof/>
        </w:rPr>
        <w:t>, приет на 30 май 2017 г.,</w:t>
      </w:r>
    </w:p>
    <w:p>
      <w:pPr>
        <w:pStyle w:val="Tiret0"/>
        <w:rPr>
          <w:noProof/>
        </w:rPr>
      </w:pPr>
      <w:r>
        <w:rPr>
          <w:noProof/>
        </w:rPr>
        <w:t>проект на коригиращ бюджет № 4/2017</w:t>
      </w:r>
      <w:r>
        <w:rPr>
          <w:rStyle w:val="FootnoteReference"/>
          <w:noProof/>
        </w:rPr>
        <w:footnoteReference w:id="7"/>
      </w:r>
      <w:r>
        <w:rPr>
          <w:noProof/>
        </w:rPr>
        <w:t>, приет на 26 юни 2017 г.,</w:t>
      </w:r>
    </w:p>
    <w:p>
      <w:pPr>
        <w:pStyle w:val="Tiret0"/>
        <w:numPr>
          <w:ilvl w:val="0"/>
          <w:numId w:val="0"/>
        </w:numPr>
        <w:spacing w:after="600"/>
        <w:rPr>
          <w:noProof/>
        </w:rPr>
      </w:pPr>
      <w:r>
        <w:rPr>
          <w:noProof/>
        </w:rPr>
        <w:t>С настоящото Европейската комисия представя на Европейския парламент и на Съвета проект на коригиращ бюджет № 5 към бюджета за 2017 г.</w:t>
      </w:r>
    </w:p>
    <w:p>
      <w:pPr>
        <w:spacing w:after="240"/>
        <w:jc w:val="both"/>
        <w:rPr>
          <w:b/>
          <w:noProof/>
          <w:u w:val="single"/>
        </w:rPr>
      </w:pPr>
      <w:r>
        <w:rPr>
          <w:b/>
          <w:noProof/>
          <w:u w:val="single"/>
        </w:rPr>
        <w:t>ПРОМЕНИ В ПРИХОДНАТА И РАЗХОДНАТА ЧАСТ НА БЮДЖЕТА ПО РАЗДЕЛИ</w:t>
      </w:r>
    </w:p>
    <w:p>
      <w:pPr>
        <w:jc w:val="both"/>
        <w:rPr>
          <w:noProof/>
        </w:rPr>
      </w:pPr>
      <w:r>
        <w:rPr>
          <w:noProof/>
        </w:rPr>
        <w:t>Промените в приходната и разходната част на бюджета по раздели са достъпни в EUR-Lex (</w:t>
      </w:r>
      <w:hyperlink r:id="rId16">
        <w:r>
          <w:rPr>
            <w:rStyle w:val="Hyperlink"/>
            <w:noProof/>
            <w:color w:val="auto"/>
          </w:rPr>
          <w:t>http://eur-lex.europa.eu/budget/www/index-bg.htm</w:t>
        </w:r>
      </w:hyperlink>
      <w:r>
        <w:rPr>
          <w:noProof/>
        </w:rPr>
        <w:t>). За информация като бюджетно приложение се прилага версия на английски език на промените в тези части.</w:t>
      </w:r>
    </w:p>
    <w:p>
      <w:pPr>
        <w:rPr>
          <w:noProof/>
        </w:rPr>
        <w:sectPr>
          <w:headerReference w:type="even" r:id="rId17"/>
          <w:headerReference w:type="default" r:id="rId18"/>
          <w:footerReference w:type="even" r:id="rId19"/>
          <w:footerReference w:type="default" r:id="rId20"/>
          <w:headerReference w:type="first" r:id="rId21"/>
          <w:footerReference w:type="first" r:id="rId22"/>
          <w:pgSz w:w="11907" w:h="16839"/>
          <w:pgMar w:top="1418" w:right="1418" w:bottom="1418" w:left="1418" w:header="709" w:footer="709" w:gutter="0"/>
          <w:pgNumType w:start="2"/>
          <w:cols w:space="720"/>
          <w:docGrid w:linePitch="360"/>
        </w:sectPr>
      </w:pPr>
    </w:p>
    <w:p>
      <w:pPr>
        <w:pStyle w:val="TOCHeading"/>
        <w:rPr>
          <w:noProof/>
        </w:rPr>
      </w:pPr>
      <w:bookmarkStart w:id="2" w:name="_Toc294675429"/>
      <w:bookmarkStart w:id="3" w:name="_Toc272133653"/>
      <w:bookmarkStart w:id="4" w:name="_Toc294673202"/>
      <w:bookmarkStart w:id="5" w:name="_Toc318365572"/>
      <w:bookmarkStart w:id="6" w:name="_Toc361649893"/>
      <w:bookmarkStart w:id="7" w:name="_Toc387301589"/>
      <w:r>
        <w:rPr>
          <w:noProof/>
        </w:rPr>
        <w:t>СЪДЪРЖАНИЕ</w:t>
      </w:r>
    </w:p>
    <w:sdt>
      <w:sdtPr>
        <w:rPr>
          <w:b w:val="0"/>
          <w:noProof/>
          <w:sz w:val="24"/>
        </w:rPr>
        <w:id w:val="2029912794"/>
        <w:docPartObj>
          <w:docPartGallery w:val="Table of Contents"/>
          <w:docPartUnique/>
        </w:docPartObj>
      </w:sdtPr>
      <w:sdtEndPr>
        <w:rPr>
          <w:bCs/>
        </w:rPr>
      </w:sdtEndPr>
      <w:sdtContent>
        <w:p>
          <w:pPr>
            <w:pStyle w:val="TOCHeading"/>
            <w:jc w:val="left"/>
            <w:rPr>
              <w:noProof/>
            </w:rPr>
          </w:pPr>
        </w:p>
        <w:p>
          <w:pPr>
            <w:pStyle w:val="TOC1"/>
            <w:tabs>
              <w:tab w:val="left" w:pos="709"/>
              <w:tab w:val="right" w:leader="dot" w:pos="9061"/>
            </w:tabs>
            <w:rPr>
              <w:rFonts w:asciiTheme="minorHAnsi" w:eastAsiaTheme="minorEastAsia" w:hAnsiTheme="minorHAnsi" w:cstheme="minorBidi"/>
              <w:b w:val="0"/>
              <w:bCs w:val="0"/>
              <w:caps w:val="0"/>
              <w:noProof/>
              <w:sz w:val="22"/>
              <w:szCs w:val="22"/>
              <w:lang w:val="en-GB" w:eastAsia="en-GB" w:bidi="ar-SA"/>
            </w:rPr>
          </w:pPr>
          <w:r>
            <w:rPr>
              <w:noProof/>
            </w:rPr>
            <w:fldChar w:fldCharType="begin"/>
          </w:r>
          <w:r>
            <w:rPr>
              <w:noProof/>
            </w:rPr>
            <w:instrText xml:space="preserve"> TOC \o "1-3" \h \z \u </w:instrText>
          </w:r>
          <w:r>
            <w:rPr>
              <w:noProof/>
            </w:rPr>
            <w:fldChar w:fldCharType="separate"/>
          </w:r>
          <w:hyperlink w:anchor="_Toc489024591" w:history="1">
            <w:r>
              <w:rPr>
                <w:rStyle w:val="Hyperlink"/>
                <w:noProof/>
              </w:rPr>
              <w:t>1.</w:t>
            </w:r>
            <w:r>
              <w:rPr>
                <w:rFonts w:asciiTheme="minorHAnsi" w:eastAsiaTheme="minorEastAsia" w:hAnsiTheme="minorHAnsi" w:cstheme="minorBidi"/>
                <w:b w:val="0"/>
                <w:bCs w:val="0"/>
                <w:caps w:val="0"/>
                <w:noProof/>
                <w:sz w:val="22"/>
                <w:szCs w:val="22"/>
                <w:lang w:val="en-GB" w:eastAsia="en-GB" w:bidi="ar-SA"/>
              </w:rPr>
              <w:tab/>
            </w:r>
            <w:r>
              <w:rPr>
                <w:rStyle w:val="Hyperlink"/>
                <w:noProof/>
              </w:rPr>
              <w:t>ВЪВЕДЕНИЕ</w:t>
            </w:r>
            <w:r>
              <w:rPr>
                <w:noProof/>
                <w:webHidden/>
              </w:rPr>
              <w:tab/>
            </w:r>
            <w:r>
              <w:rPr>
                <w:noProof/>
                <w:webHidden/>
              </w:rPr>
              <w:fldChar w:fldCharType="begin"/>
            </w:r>
            <w:r>
              <w:rPr>
                <w:noProof/>
                <w:webHidden/>
              </w:rPr>
              <w:instrText xml:space="preserve"> PAGEREF _Toc489024591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709"/>
              <w:tab w:val="right" w:leader="dot" w:pos="9061"/>
            </w:tabs>
            <w:rPr>
              <w:rFonts w:asciiTheme="minorHAnsi" w:eastAsiaTheme="minorEastAsia" w:hAnsiTheme="minorHAnsi" w:cstheme="minorBidi"/>
              <w:b w:val="0"/>
              <w:bCs w:val="0"/>
              <w:caps w:val="0"/>
              <w:noProof/>
              <w:sz w:val="22"/>
              <w:szCs w:val="22"/>
              <w:lang w:val="en-GB" w:eastAsia="en-GB" w:bidi="ar-SA"/>
            </w:rPr>
          </w:pPr>
          <w:hyperlink w:anchor="_Toc489024592" w:history="1">
            <w:r>
              <w:rPr>
                <w:rStyle w:val="Hyperlink"/>
                <w:noProof/>
              </w:rPr>
              <w:t>2.</w:t>
            </w:r>
            <w:r>
              <w:rPr>
                <w:rFonts w:asciiTheme="minorHAnsi" w:eastAsiaTheme="minorEastAsia" w:hAnsiTheme="minorHAnsi" w:cstheme="minorBidi"/>
                <w:b w:val="0"/>
                <w:bCs w:val="0"/>
                <w:caps w:val="0"/>
                <w:noProof/>
                <w:sz w:val="22"/>
                <w:szCs w:val="22"/>
                <w:lang w:val="en-GB" w:eastAsia="en-GB" w:bidi="ar-SA"/>
              </w:rPr>
              <w:tab/>
            </w:r>
            <w:r>
              <w:rPr>
                <w:rStyle w:val="Hyperlink"/>
                <w:noProof/>
              </w:rPr>
              <w:t>Европейски фонд за устойчиво развитие (ЕФУР)</w:t>
            </w:r>
            <w:r>
              <w:rPr>
                <w:noProof/>
                <w:webHidden/>
              </w:rPr>
              <w:tab/>
            </w:r>
            <w:r>
              <w:rPr>
                <w:noProof/>
                <w:webHidden/>
              </w:rPr>
              <w:fldChar w:fldCharType="begin"/>
            </w:r>
            <w:r>
              <w:rPr>
                <w:noProof/>
                <w:webHidden/>
              </w:rPr>
              <w:instrText xml:space="preserve"> PAGEREF _Toc489024592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smallCaps w:val="0"/>
              <w:noProof/>
              <w:sz w:val="22"/>
              <w:szCs w:val="22"/>
              <w:lang w:val="en-GB" w:eastAsia="en-GB" w:bidi="ar-SA"/>
            </w:rPr>
          </w:pPr>
          <w:hyperlink w:anchor="_Toc489024593" w:history="1">
            <w:r>
              <w:rPr>
                <w:rStyle w:val="Hyperlink"/>
                <w:b/>
                <w:noProof/>
              </w:rPr>
              <w:t xml:space="preserve">2.1 </w:t>
            </w:r>
            <w:r>
              <w:rPr>
                <w:rFonts w:asciiTheme="minorHAnsi" w:eastAsiaTheme="minorEastAsia" w:hAnsiTheme="minorHAnsi" w:cstheme="minorBidi"/>
                <w:smallCaps w:val="0"/>
                <w:noProof/>
                <w:sz w:val="22"/>
                <w:szCs w:val="22"/>
                <w:lang w:val="en-GB" w:eastAsia="en-GB" w:bidi="ar-SA"/>
              </w:rPr>
              <w:tab/>
            </w:r>
            <w:r>
              <w:rPr>
                <w:rStyle w:val="Hyperlink"/>
                <w:b/>
                <w:noProof/>
              </w:rPr>
              <w:t>Контекст</w:t>
            </w:r>
            <w:r>
              <w:rPr>
                <w:noProof/>
                <w:webHidden/>
              </w:rPr>
              <w:tab/>
            </w:r>
            <w:r>
              <w:rPr>
                <w:noProof/>
                <w:webHidden/>
              </w:rPr>
              <w:fldChar w:fldCharType="begin"/>
            </w:r>
            <w:r>
              <w:rPr>
                <w:noProof/>
                <w:webHidden/>
              </w:rPr>
              <w:instrText xml:space="preserve"> PAGEREF _Toc489024593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smallCaps w:val="0"/>
              <w:noProof/>
              <w:sz w:val="22"/>
              <w:szCs w:val="22"/>
              <w:lang w:val="en-GB" w:eastAsia="en-GB" w:bidi="ar-SA"/>
            </w:rPr>
          </w:pPr>
          <w:hyperlink w:anchor="_Toc489024594" w:history="1">
            <w:r>
              <w:rPr>
                <w:rStyle w:val="Hyperlink"/>
                <w:b/>
                <w:noProof/>
              </w:rPr>
              <w:t xml:space="preserve">2.2 </w:t>
            </w:r>
            <w:r>
              <w:rPr>
                <w:rFonts w:asciiTheme="minorHAnsi" w:eastAsiaTheme="minorEastAsia" w:hAnsiTheme="minorHAnsi" w:cstheme="minorBidi"/>
                <w:smallCaps w:val="0"/>
                <w:noProof/>
                <w:sz w:val="22"/>
                <w:szCs w:val="22"/>
                <w:lang w:val="en-GB" w:eastAsia="en-GB" w:bidi="ar-SA"/>
              </w:rPr>
              <w:tab/>
            </w:r>
            <w:r>
              <w:rPr>
                <w:rStyle w:val="Hyperlink"/>
                <w:b/>
                <w:noProof/>
              </w:rPr>
              <w:t>Финансиране</w:t>
            </w:r>
            <w:r>
              <w:rPr>
                <w:noProof/>
                <w:webHidden/>
              </w:rPr>
              <w:tab/>
            </w:r>
            <w:r>
              <w:rPr>
                <w:noProof/>
                <w:webHidden/>
              </w:rPr>
              <w:fldChar w:fldCharType="begin"/>
            </w:r>
            <w:r>
              <w:rPr>
                <w:noProof/>
                <w:webHidden/>
              </w:rPr>
              <w:instrText xml:space="preserve"> PAGEREF _Toc489024594 \h </w:instrText>
            </w:r>
            <w:r>
              <w:rPr>
                <w:noProof/>
                <w:webHidden/>
              </w:rPr>
            </w:r>
            <w:r>
              <w:rPr>
                <w:noProof/>
                <w:webHidden/>
              </w:rPr>
              <w:fldChar w:fldCharType="separate"/>
            </w:r>
            <w:r>
              <w:rPr>
                <w:noProof/>
                <w:webHidden/>
              </w:rPr>
              <w:t>5</w:t>
            </w:r>
            <w:r>
              <w:rPr>
                <w:noProof/>
                <w:webHidden/>
              </w:rPr>
              <w:fldChar w:fldCharType="end"/>
            </w:r>
          </w:hyperlink>
        </w:p>
        <w:p>
          <w:pPr>
            <w:pStyle w:val="TOC1"/>
            <w:tabs>
              <w:tab w:val="left" w:pos="709"/>
              <w:tab w:val="right" w:leader="dot" w:pos="9061"/>
            </w:tabs>
            <w:rPr>
              <w:rFonts w:asciiTheme="minorHAnsi" w:eastAsiaTheme="minorEastAsia" w:hAnsiTheme="minorHAnsi" w:cstheme="minorBidi"/>
              <w:b w:val="0"/>
              <w:bCs w:val="0"/>
              <w:caps w:val="0"/>
              <w:noProof/>
              <w:sz w:val="22"/>
              <w:szCs w:val="22"/>
              <w:lang w:val="en-GB" w:eastAsia="en-GB" w:bidi="ar-SA"/>
            </w:rPr>
          </w:pPr>
          <w:hyperlink w:anchor="_Toc489024595" w:history="1">
            <w:r>
              <w:rPr>
                <w:rStyle w:val="Hyperlink"/>
                <w:noProof/>
              </w:rPr>
              <w:t>3.</w:t>
            </w:r>
            <w:r>
              <w:rPr>
                <w:rFonts w:asciiTheme="minorHAnsi" w:eastAsiaTheme="minorEastAsia" w:hAnsiTheme="minorHAnsi" w:cstheme="minorBidi"/>
                <w:b w:val="0"/>
                <w:bCs w:val="0"/>
                <w:caps w:val="0"/>
                <w:noProof/>
                <w:sz w:val="22"/>
                <w:szCs w:val="22"/>
                <w:lang w:val="en-GB" w:eastAsia="en-GB" w:bidi="ar-SA"/>
              </w:rPr>
              <w:tab/>
            </w:r>
            <w:r>
              <w:rPr>
                <w:rStyle w:val="Hyperlink"/>
                <w:noProof/>
              </w:rPr>
              <w:t>Увеличаване на резерва за спешна помощ</w:t>
            </w:r>
            <w:r>
              <w:rPr>
                <w:noProof/>
                <w:webHidden/>
              </w:rPr>
              <w:tab/>
            </w:r>
            <w:r>
              <w:rPr>
                <w:noProof/>
                <w:webHidden/>
              </w:rPr>
              <w:fldChar w:fldCharType="begin"/>
            </w:r>
            <w:r>
              <w:rPr>
                <w:noProof/>
                <w:webHidden/>
              </w:rPr>
              <w:instrText xml:space="preserve"> PAGEREF _Toc489024595 \h </w:instrText>
            </w:r>
            <w:r>
              <w:rPr>
                <w:noProof/>
                <w:webHidden/>
              </w:rPr>
            </w:r>
            <w:r>
              <w:rPr>
                <w:noProof/>
                <w:webHidden/>
              </w:rPr>
              <w:fldChar w:fldCharType="separate"/>
            </w:r>
            <w:r>
              <w:rPr>
                <w:noProof/>
                <w:webHidden/>
              </w:rPr>
              <w:t>6</w:t>
            </w:r>
            <w:r>
              <w:rPr>
                <w:noProof/>
                <w:webHidden/>
              </w:rPr>
              <w:fldChar w:fldCharType="end"/>
            </w:r>
          </w:hyperlink>
        </w:p>
        <w:p>
          <w:pPr>
            <w:pStyle w:val="TOC1"/>
            <w:tabs>
              <w:tab w:val="left" w:pos="709"/>
              <w:tab w:val="right" w:leader="dot" w:pos="9061"/>
            </w:tabs>
            <w:rPr>
              <w:rFonts w:asciiTheme="minorHAnsi" w:eastAsiaTheme="minorEastAsia" w:hAnsiTheme="minorHAnsi" w:cstheme="minorBidi"/>
              <w:b w:val="0"/>
              <w:bCs w:val="0"/>
              <w:caps w:val="0"/>
              <w:noProof/>
              <w:sz w:val="22"/>
              <w:szCs w:val="22"/>
              <w:lang w:val="en-GB" w:eastAsia="en-GB" w:bidi="ar-SA"/>
            </w:rPr>
          </w:pPr>
          <w:hyperlink w:anchor="_Toc489024596" w:history="1">
            <w:r>
              <w:rPr>
                <w:rStyle w:val="Hyperlink"/>
                <w:noProof/>
              </w:rPr>
              <w:t>4.</w:t>
            </w:r>
            <w:r>
              <w:rPr>
                <w:rFonts w:asciiTheme="minorHAnsi" w:eastAsiaTheme="minorEastAsia" w:hAnsiTheme="minorHAnsi" w:cstheme="minorBidi"/>
                <w:b w:val="0"/>
                <w:bCs w:val="0"/>
                <w:caps w:val="0"/>
                <w:noProof/>
                <w:sz w:val="22"/>
                <w:szCs w:val="22"/>
                <w:lang w:val="en-GB" w:eastAsia="en-GB" w:bidi="ar-SA"/>
              </w:rPr>
              <w:tab/>
            </w:r>
            <w:r>
              <w:rPr>
                <w:rStyle w:val="Hyperlink"/>
                <w:noProof/>
              </w:rPr>
              <w:t>Обобщаваща таблица по функции от МФР</w:t>
            </w:r>
            <w:r>
              <w:rPr>
                <w:noProof/>
                <w:webHidden/>
              </w:rPr>
              <w:tab/>
            </w:r>
            <w:r>
              <w:rPr>
                <w:noProof/>
                <w:webHidden/>
              </w:rPr>
              <w:fldChar w:fldCharType="begin"/>
            </w:r>
            <w:r>
              <w:rPr>
                <w:noProof/>
                <w:webHidden/>
              </w:rPr>
              <w:instrText xml:space="preserve"> PAGEREF _Toc489024596 \h </w:instrText>
            </w:r>
            <w:r>
              <w:rPr>
                <w:noProof/>
                <w:webHidden/>
              </w:rPr>
            </w:r>
            <w:r>
              <w:rPr>
                <w:noProof/>
                <w:webHidden/>
              </w:rPr>
              <w:fldChar w:fldCharType="separate"/>
            </w:r>
            <w:r>
              <w:rPr>
                <w:noProof/>
                <w:webHidden/>
              </w:rPr>
              <w:t>7</w:t>
            </w:r>
            <w:r>
              <w:rPr>
                <w:noProof/>
                <w:webHidden/>
              </w:rPr>
              <w:fldChar w:fldCharType="end"/>
            </w:r>
          </w:hyperlink>
        </w:p>
        <w:p>
          <w:pPr>
            <w:rPr>
              <w:rFonts w:asciiTheme="minorHAnsi" w:eastAsiaTheme="minorEastAsia" w:hAnsiTheme="minorHAnsi" w:cstheme="minorBidi"/>
              <w:noProof/>
              <w:sz w:val="22"/>
              <w:szCs w:val="22"/>
            </w:rPr>
            <w:sectPr>
              <w:headerReference w:type="even" r:id="rId23"/>
              <w:headerReference w:type="default" r:id="rId24"/>
              <w:footerReference w:type="even" r:id="rId25"/>
              <w:footerReference w:type="default" r:id="rId26"/>
              <w:headerReference w:type="first" r:id="rId27"/>
              <w:footerReference w:type="first" r:id="rId28"/>
              <w:pgSz w:w="11907" w:h="16839"/>
              <w:pgMar w:top="1418" w:right="1418" w:bottom="1418" w:left="1418" w:header="709" w:footer="709" w:gutter="0"/>
              <w:pgNumType w:start="3"/>
              <w:cols w:space="720"/>
            </w:sectPr>
          </w:pPr>
          <w:r>
            <w:rPr>
              <w:b/>
              <w:bCs/>
              <w:noProof/>
            </w:rPr>
            <w:fldChar w:fldCharType="end"/>
          </w:r>
        </w:p>
      </w:sdtContent>
    </w:sdt>
    <w:p>
      <w:pPr>
        <w:pStyle w:val="ManualHeading1"/>
      </w:pPr>
      <w:bookmarkStart w:id="8" w:name="_Toc385506031"/>
      <w:bookmarkStart w:id="9" w:name="_Toc430865946"/>
      <w:bookmarkStart w:id="10" w:name="_Toc430867524"/>
      <w:bookmarkStart w:id="11" w:name="_Toc486952799"/>
      <w:bookmarkStart w:id="12" w:name="_Toc489024591"/>
      <w:bookmarkStart w:id="13" w:name="_Toc351469332"/>
      <w:bookmarkStart w:id="14" w:name="_Toc361649879"/>
      <w:r>
        <w:t>1.</w:t>
      </w:r>
      <w:r>
        <w:tab/>
        <w:t>ВЪВЕДЕНИЕ</w:t>
      </w:r>
      <w:bookmarkEnd w:id="8"/>
      <w:bookmarkEnd w:id="9"/>
      <w:bookmarkEnd w:id="10"/>
      <w:bookmarkEnd w:id="11"/>
      <w:bookmarkEnd w:id="12"/>
    </w:p>
    <w:p>
      <w:pPr>
        <w:spacing w:before="120" w:after="120"/>
        <w:jc w:val="both"/>
        <w:rPr>
          <w:noProof/>
        </w:rPr>
      </w:pPr>
      <w:bookmarkStart w:id="15" w:name="_Toc430865947"/>
      <w:bookmarkStart w:id="16" w:name="_Toc430867525"/>
      <w:r>
        <w:rPr>
          <w:noProof/>
        </w:rPr>
        <w:t xml:space="preserve">Целта на проект на коригиращ бюджет (ПКБ) № 5 за 2017 г. е двойна: </w:t>
      </w:r>
    </w:p>
    <w:p>
      <w:pPr>
        <w:pStyle w:val="ListParagraph"/>
        <w:numPr>
          <w:ilvl w:val="0"/>
          <w:numId w:val="35"/>
        </w:numPr>
        <w:spacing w:before="120" w:after="120"/>
        <w:jc w:val="both"/>
        <w:rPr>
          <w:rFonts w:ascii="Times New Roman" w:hAnsi="Times New Roman"/>
          <w:noProof/>
          <w:sz w:val="24"/>
          <w:szCs w:val="24"/>
        </w:rPr>
      </w:pPr>
      <w:r>
        <w:rPr>
          <w:rFonts w:ascii="Times New Roman" w:hAnsi="Times New Roman"/>
          <w:noProof/>
          <w:sz w:val="24"/>
        </w:rPr>
        <w:t>да се осигури финансирането от общия бюджет за 2017 г. за Европейския фонд за устойчиво развитие (ЕФУР) вследствие на приемането на съответното правно основание от Европейския парламент и Съвета;</w:t>
      </w:r>
    </w:p>
    <w:p>
      <w:pPr>
        <w:pStyle w:val="ListParagraph"/>
        <w:numPr>
          <w:ilvl w:val="0"/>
          <w:numId w:val="35"/>
        </w:numPr>
        <w:spacing w:before="120" w:after="120"/>
        <w:jc w:val="both"/>
        <w:rPr>
          <w:rFonts w:ascii="Times New Roman" w:hAnsi="Times New Roman"/>
          <w:noProof/>
          <w:sz w:val="24"/>
          <w:szCs w:val="24"/>
        </w:rPr>
      </w:pPr>
      <w:r>
        <w:rPr>
          <w:rFonts w:ascii="Times New Roman" w:hAnsi="Times New Roman"/>
          <w:noProof/>
          <w:sz w:val="24"/>
        </w:rPr>
        <w:t>да се отрази в общия бюджет за 2017 г. резултатът от междинното преразглеждане на Регламента за МФР по отношение на увеличението на годишната сума на резерва за спешна помощ от 280 милиона евро на 300 милиона евро по цени от 2011 г.</w:t>
      </w:r>
    </w:p>
    <w:p>
      <w:pPr>
        <w:spacing w:before="120" w:after="120"/>
        <w:jc w:val="both"/>
        <w:rPr>
          <w:noProof/>
        </w:rPr>
      </w:pPr>
      <w:r>
        <w:rPr>
          <w:noProof/>
        </w:rPr>
        <w:t>Като цяло настоящият ПКБ увеличава размера на бюджетните кредити за поети задължения с 297,8 милиона евро, докато размерът на бюджетните кредити за плащания остава непроменен.</w:t>
      </w:r>
    </w:p>
    <w:p>
      <w:pPr>
        <w:pStyle w:val="ManualHeading1"/>
      </w:pPr>
      <w:bookmarkStart w:id="17" w:name="_Toc486952800"/>
      <w:bookmarkStart w:id="18" w:name="_Toc489024592"/>
      <w:r>
        <w:t>2.</w:t>
      </w:r>
      <w:r>
        <w:tab/>
        <w:t>Европейски фонд за устойчиво развитие (ЕФУР)</w:t>
      </w:r>
      <w:bookmarkEnd w:id="17"/>
      <w:bookmarkEnd w:id="18"/>
    </w:p>
    <w:p>
      <w:pPr>
        <w:keepNext/>
        <w:tabs>
          <w:tab w:val="left" w:pos="850"/>
        </w:tabs>
        <w:spacing w:before="360" w:after="120"/>
        <w:ind w:left="850" w:hanging="850"/>
        <w:jc w:val="both"/>
        <w:outlineLvl w:val="1"/>
        <w:rPr>
          <w:rFonts w:eastAsia="Calibri"/>
          <w:b/>
          <w:noProof/>
        </w:rPr>
      </w:pPr>
      <w:bookmarkStart w:id="19" w:name="_Toc462410044"/>
      <w:bookmarkStart w:id="20" w:name="_Toc486952801"/>
      <w:bookmarkStart w:id="21" w:name="_Toc489024593"/>
      <w:r>
        <w:rPr>
          <w:b/>
          <w:noProof/>
        </w:rPr>
        <w:t xml:space="preserve">2.1 </w:t>
      </w:r>
      <w:r>
        <w:rPr>
          <w:noProof/>
        </w:rPr>
        <w:tab/>
      </w:r>
      <w:bookmarkEnd w:id="19"/>
      <w:r>
        <w:rPr>
          <w:b/>
          <w:noProof/>
        </w:rPr>
        <w:t>Контекст</w:t>
      </w:r>
      <w:bookmarkEnd w:id="20"/>
      <w:bookmarkEnd w:id="21"/>
      <w:r>
        <w:rPr>
          <w:b/>
          <w:noProof/>
        </w:rPr>
        <w:t xml:space="preserve"> </w:t>
      </w:r>
    </w:p>
    <w:p>
      <w:pPr>
        <w:spacing w:before="120" w:after="120"/>
        <w:jc w:val="both"/>
        <w:rPr>
          <w:noProof/>
        </w:rPr>
      </w:pPr>
      <w:r>
        <w:rPr>
          <w:noProof/>
        </w:rPr>
        <w:t>На 7 юни 2016 г. Комисията публикува Съобщение</w:t>
      </w:r>
      <w:r>
        <w:rPr>
          <w:rStyle w:val="FootnoteReference"/>
          <w:noProof/>
        </w:rPr>
        <w:footnoteReference w:id="8"/>
      </w:r>
      <w:r>
        <w:rPr>
          <w:noProof/>
        </w:rPr>
        <w:t xml:space="preserve"> относно създаването на нова рамка за партньорство с трети държави в рамките на европейската програма за миграцията</w:t>
      </w:r>
      <w:r>
        <w:rPr>
          <w:rStyle w:val="FootnoteReference"/>
          <w:noProof/>
        </w:rPr>
        <w:footnoteReference w:id="9"/>
      </w:r>
      <w:r>
        <w:rPr>
          <w:noProof/>
        </w:rPr>
        <w:t>. В документа Комисията предложи редица мерки за посрещане на най-належащите нужди на бежанците и подпомагане на приемните общности, като същевременно подчертава необходимостта от дългосрочна стратегия за справяне с първопричините за миграцията. Европейският съвет одобри предложението на Комисията на 28 юни 2016 г.</w:t>
      </w:r>
      <w:r>
        <w:rPr>
          <w:rStyle w:val="FootnoteReference"/>
          <w:noProof/>
        </w:rPr>
        <w:footnoteReference w:id="10"/>
      </w:r>
      <w:r>
        <w:rPr>
          <w:noProof/>
        </w:rPr>
        <w:t>, като прикани Комисията до септември 2016 г. да представи предложение за амбициозен план за външни инвестиции (ПВИ).</w:t>
      </w:r>
    </w:p>
    <w:p>
      <w:pPr>
        <w:spacing w:before="120" w:after="120"/>
        <w:jc w:val="both"/>
        <w:rPr>
          <w:noProof/>
        </w:rPr>
      </w:pPr>
      <w:r>
        <w:rPr>
          <w:noProof/>
        </w:rPr>
        <w:t>Комисията представи съобщение за нов Европейски план за външни инвестиции</w:t>
      </w:r>
      <w:r>
        <w:rPr>
          <w:rStyle w:val="FootnoteReference"/>
          <w:noProof/>
        </w:rPr>
        <w:footnoteReference w:id="11"/>
      </w:r>
      <w:r>
        <w:rPr>
          <w:noProof/>
        </w:rPr>
        <w:t xml:space="preserve"> за насърчаване на инвестициите в Африка и съседните на ЕС държави.</w:t>
      </w:r>
    </w:p>
    <w:p>
      <w:pPr>
        <w:spacing w:before="120" w:after="120"/>
        <w:jc w:val="both"/>
        <w:rPr>
          <w:noProof/>
        </w:rPr>
      </w:pPr>
      <w:r>
        <w:rPr>
          <w:noProof/>
        </w:rPr>
        <w:t>Планът за външни инвестиции следва същата логика като Европейския фонд за стратегически инвестиции (ЕФСИ): използване на публично финансиране като гаранция за привличане на публични и частни инвестиции. Като част от по-общите усилия на ЕС въз основа на новата рамка за партньорство планът за външни инвестиции ще допълни помощта на Съюза за развитие, ще укрепи неговите партньорства, ще насърчи нов модел на участие на частния сектор и ще допринесе за постигането на целите за устойчиво развитие.</w:t>
      </w:r>
    </w:p>
    <w:p>
      <w:pPr>
        <w:spacing w:before="120" w:after="120"/>
        <w:jc w:val="both"/>
        <w:rPr>
          <w:noProof/>
        </w:rPr>
      </w:pPr>
      <w:r>
        <w:rPr>
          <w:noProof/>
        </w:rPr>
        <w:t>Планът за външни инвестиции се основава на три стълба: i) Европейския фонд за устойчиво развитие (ЕФУР), ii) техническа помощ и iii) подобряване на инвестиционния климат и цялостната среда на политиката. ЕФУР представлява интегрираният финансов пакет на плана за външни инвестиции, съчетаващ финансиране на механизми за смесено финансиране и гаранция от ЕФУР (1 500 милиона евро), обезпечена с гаранционен фонд на ЕФУР (750 милиона евро, от които 350 милиона евро от бюджета на ЕС и 400 милиона евро от Европейския фонд за развитие).</w:t>
      </w:r>
    </w:p>
    <w:p>
      <w:pPr>
        <w:spacing w:before="120" w:after="120"/>
        <w:jc w:val="both"/>
        <w:rPr>
          <w:noProof/>
        </w:rPr>
      </w:pPr>
      <w:r>
        <w:rPr>
          <w:noProof/>
        </w:rPr>
        <w:t>На 14 септември 2016 г. Комисията представи предложение за Регламент относно Европейския фонд за устойчиво развитие (ЕФУР) и за създаване на гаранция от ЕФУР и на гаранционен фонд на ЕФУР</w:t>
      </w:r>
      <w:r>
        <w:rPr>
          <w:rStyle w:val="FootnoteReference"/>
          <w:noProof/>
        </w:rPr>
        <w:footnoteReference w:id="12"/>
      </w:r>
      <w:r>
        <w:rPr>
          <w:noProof/>
        </w:rPr>
        <w:t>.</w:t>
      </w:r>
    </w:p>
    <w:p>
      <w:pPr>
        <w:spacing w:before="120" w:after="120"/>
        <w:jc w:val="both"/>
        <w:rPr>
          <w:noProof/>
        </w:rPr>
      </w:pPr>
      <w:r>
        <w:rPr>
          <w:noProof/>
        </w:rPr>
        <w:t>На 17 октомври 2016 г. Комисията представи писмо за внасяне на корекции № 1 към проекта на общ бюджет за 2017 г.</w:t>
      </w:r>
      <w:r>
        <w:rPr>
          <w:rStyle w:val="FootnoteReference"/>
          <w:noProof/>
        </w:rPr>
        <w:footnoteReference w:id="13"/>
      </w:r>
      <w:r>
        <w:rPr>
          <w:noProof/>
        </w:rPr>
        <w:t>, в което се предлага през 2017 г. за гаранционния фонд на ЕФУР да бъдат предоставени 275 милиона евро.</w:t>
      </w:r>
    </w:p>
    <w:p>
      <w:pPr>
        <w:spacing w:before="120" w:after="120"/>
        <w:jc w:val="both"/>
        <w:rPr>
          <w:i/>
          <w:noProof/>
        </w:rPr>
      </w:pPr>
      <w:r>
        <w:rPr>
          <w:noProof/>
        </w:rPr>
        <w:t>В окончателното си споразумение по бюджета за 2017 г.</w:t>
      </w:r>
      <w:r>
        <w:rPr>
          <w:rStyle w:val="FootnoteReference"/>
          <w:noProof/>
        </w:rPr>
        <w:footnoteReference w:id="14"/>
      </w:r>
      <w:r>
        <w:rPr>
          <w:noProof/>
        </w:rPr>
        <w:t xml:space="preserve"> Европейският парламент и Съветът не запазиха обезпечаването на ЕФУР в очакване на приемането на правното основание, но приканиха „</w:t>
      </w:r>
      <w:r>
        <w:rPr>
          <w:i/>
          <w:noProof/>
        </w:rPr>
        <w:t>Комисията да отправи през 2017 г. искане за необходимите бюджетни кредити посредством коригиращ бюджет, с цел да се осигурят финансови средства за EFSD от бюджета на ЕС веднага след приемането на правното основание.“</w:t>
      </w:r>
    </w:p>
    <w:p>
      <w:pPr>
        <w:spacing w:before="120" w:after="120"/>
        <w:jc w:val="both"/>
        <w:rPr>
          <w:noProof/>
        </w:rPr>
      </w:pPr>
      <w:r>
        <w:rPr>
          <w:noProof/>
        </w:rPr>
        <w:t>Европейският парламент, Съветът и Комисията постигнаха окончателен компромис по проекта на Регламент относно ЕФУР по време на 5-тата тристранна среща на 26 юни 2017 г. Договореният текст впоследствие беше одобрен от Съвета (Корепер II) на 28 юни 2017 г. и приет от Европейския парламент по време на неговото пленарно заседание в Страсбург на 6 юли 2017 г. Окончателното приемане на Регламента относно ЕФУР ще последва през септември 2017 г.</w:t>
      </w:r>
    </w:p>
    <w:p>
      <w:pPr>
        <w:spacing w:before="120" w:after="120"/>
        <w:jc w:val="both"/>
        <w:rPr>
          <w:noProof/>
        </w:rPr>
      </w:pPr>
      <w:r>
        <w:rPr>
          <w:noProof/>
        </w:rPr>
        <w:t>Поради това в настоящия ПКБ Комисията иска необходимите бюджетни кредити, за да се осигури приносът от общия бюджет за гаранционния фонд на ЕФУР през 2017 г. (275 милиона евро бюджетни кредити за поети задължения и бюджетни кредити за плащания). Оставащите 75 милиона евро от общия бюджет в полза на фонда ще бъдат предоставени през периода 2018—2020 г.</w:t>
      </w:r>
    </w:p>
    <w:p>
      <w:pPr>
        <w:keepNext/>
        <w:tabs>
          <w:tab w:val="left" w:pos="850"/>
        </w:tabs>
        <w:spacing w:before="360" w:after="120"/>
        <w:ind w:left="850" w:hanging="850"/>
        <w:jc w:val="both"/>
        <w:outlineLvl w:val="1"/>
        <w:rPr>
          <w:rFonts w:eastAsia="Calibri"/>
          <w:b/>
          <w:noProof/>
        </w:rPr>
      </w:pPr>
      <w:bookmarkStart w:id="22" w:name="_Toc486952802"/>
      <w:bookmarkStart w:id="23" w:name="_Toc489024594"/>
      <w:r>
        <w:rPr>
          <w:b/>
          <w:noProof/>
        </w:rPr>
        <w:t xml:space="preserve">2.2 </w:t>
      </w:r>
      <w:r>
        <w:rPr>
          <w:noProof/>
        </w:rPr>
        <w:tab/>
      </w:r>
      <w:r>
        <w:rPr>
          <w:b/>
          <w:noProof/>
        </w:rPr>
        <w:t>Финансиране</w:t>
      </w:r>
      <w:bookmarkEnd w:id="22"/>
      <w:bookmarkEnd w:id="23"/>
    </w:p>
    <w:p>
      <w:pPr>
        <w:spacing w:before="120" w:after="120"/>
        <w:jc w:val="both"/>
        <w:rPr>
          <w:noProof/>
        </w:rPr>
      </w:pPr>
      <w:r>
        <w:rPr>
          <w:noProof/>
        </w:rPr>
        <w:t>Поради липсата на марж под тавана за поетите задължения по функция 4 „Глобална Европа“ в общия бюджет за 2017 г. и като се имат предвид преразпределенията, вече направени в приетия бюджет за 2017 г., Комисията предлага да се мобилизира Инструментът за гъвкавост, за да се покрие изцяло увеличението на заявените бюджетни кредити за поети задължения и за плащания за финансирането на ЕФУР (275 милиона евро). Съответното предложение за мобилизиране на Инструмента за гъвкавост</w:t>
      </w:r>
      <w:r>
        <w:rPr>
          <w:rStyle w:val="FootnoteReference"/>
          <w:noProof/>
        </w:rPr>
        <w:footnoteReference w:id="15"/>
      </w:r>
      <w:r>
        <w:rPr>
          <w:noProof/>
        </w:rPr>
        <w:t xml:space="preserve"> придружава настоящия ПКБ.</w:t>
      </w:r>
    </w:p>
    <w:p>
      <w:pPr>
        <w:spacing w:before="120" w:after="120"/>
        <w:contextualSpacing/>
        <w:jc w:val="both"/>
        <w:rPr>
          <w:noProof/>
        </w:rPr>
      </w:pPr>
      <w:r>
        <w:rPr>
          <w:noProof/>
        </w:rPr>
        <w:t>Що се отнася до бюджетните кредити за плащания, Комисията очаква да не бъдат усвоени всички предвидени средства по фонд „Убежище, миграция и интеграция“ (ФУМИ) по функция 3 „Сигурност и гражданство“. Основната причина за тази ситуация са някои закъснения със започването на програмите, причинени от закъснялото приемане на правните основания, което доведе до забавяне на програмирането и на определянето на националните органи. Освен това темпът на изпълнение на двете схеми за преместване по линия на ФУМИ е по-бавен от очакваното, което доведе до деклариране на по-ниски разходи в годишните отчети на държавите членки в края на март 2017 г. Поради това размерът на бюджетните кредити за плащания, налични по функция 3, следва да бъде намален с 275 милиона евро. Към момента на изготвянето на общия бюджет за 2017 г. не беше възможно това да бъде взето предвид.</w:t>
      </w:r>
    </w:p>
    <w:p>
      <w:pPr>
        <w:pStyle w:val="ManualHeading1"/>
      </w:pPr>
      <w:bookmarkStart w:id="24" w:name="_Toc486952803"/>
      <w:bookmarkStart w:id="25" w:name="_Toc489024595"/>
      <w:r>
        <w:t>3.</w:t>
      </w:r>
      <w:r>
        <w:tab/>
        <w:t>Увеличаване на резерва за спешна помощ</w:t>
      </w:r>
      <w:bookmarkEnd w:id="24"/>
      <w:bookmarkEnd w:id="25"/>
    </w:p>
    <w:p>
      <w:pPr>
        <w:spacing w:before="120" w:after="120"/>
        <w:jc w:val="both"/>
        <w:rPr>
          <w:noProof/>
        </w:rPr>
      </w:pPr>
      <w:r>
        <w:rPr>
          <w:noProof/>
        </w:rPr>
        <w:t>На 20 юни 2017 г. Съветът прие преработената версия</w:t>
      </w:r>
      <w:r>
        <w:rPr>
          <w:rFonts w:eastAsiaTheme="minorHAnsi"/>
          <w:noProof/>
          <w:vertAlign w:val="superscript"/>
        </w:rPr>
        <w:footnoteReference w:id="16"/>
      </w:r>
      <w:r>
        <w:rPr>
          <w:noProof/>
        </w:rPr>
        <w:t xml:space="preserve"> на Регламент (ЕС, Евратом) № 1311/2013 на Съвета от 2 декември 2013 г. за определяне на многогодишната финансова рамка за годините 2014—2020</w:t>
      </w:r>
      <w:r>
        <w:rPr>
          <w:rStyle w:val="FootnoteReference"/>
          <w:noProof/>
        </w:rPr>
        <w:footnoteReference w:id="17"/>
      </w:r>
      <w:r>
        <w:rPr>
          <w:rStyle w:val="FootnoteReference"/>
          <w:noProof/>
        </w:rPr>
        <w:t xml:space="preserve"> </w:t>
      </w:r>
      <w:r>
        <w:rPr>
          <w:noProof/>
        </w:rPr>
        <w:t>(наричан по-нататък „Регламентът за МФР“).</w:t>
      </w:r>
    </w:p>
    <w:p>
      <w:pPr>
        <w:spacing w:before="120" w:after="120"/>
        <w:jc w:val="both"/>
        <w:rPr>
          <w:noProof/>
        </w:rPr>
      </w:pPr>
      <w:r>
        <w:rPr>
          <w:noProof/>
        </w:rPr>
        <w:t>Това преработване включва, наред с другото, увеличаване на годишната сума на резерва за спешна помощ, предвидена в член 9 от Регламента за МФР, от 280 милиона евро на 300 милиона евро (по цени от 2011 г.). Поради това е необходимо това увеличение да бъде отразено в общия бюджет за 2017 г., като към резерва за спешна помощ се добавят 22,8 милиона евро (по текущи цени) бюджетни кредити за поети задължения.</w:t>
      </w:r>
    </w:p>
    <w:p>
      <w:pPr>
        <w:spacing w:before="120" w:after="120"/>
        <w:jc w:val="both"/>
        <w:rPr>
          <w:noProof/>
        </w:rPr>
      </w:pPr>
      <w:r>
        <w:rPr>
          <w:noProof/>
        </w:rPr>
        <w:t>Що се отнася до бюджетните кредити за плащания, Комисията счита, че сумата, която е налична в общия бюджет за 2017 г. (315 милиона евро), ще бъде достатъчна, за да се посрещнат очакваните нужди на резерва.</w:t>
      </w:r>
    </w:p>
    <w:p>
      <w:pPr>
        <w:pStyle w:val="ManualHeading1"/>
        <w:pageBreakBefore/>
      </w:pPr>
      <w:bookmarkStart w:id="26" w:name="_Toc486952804"/>
      <w:bookmarkStart w:id="27" w:name="_Toc489024596"/>
      <w:r>
        <w:t>4.</w:t>
      </w:r>
      <w:r>
        <w:tab/>
        <w:t>Обобщаваща таблица по функции от МФР</w:t>
      </w:r>
      <w:bookmarkEnd w:id="26"/>
      <w:bookmarkEnd w:id="27"/>
    </w:p>
    <w:tbl>
      <w:tblPr>
        <w:tblW w:w="10522" w:type="dxa"/>
        <w:jc w:val="center"/>
        <w:tblInd w:w="93" w:type="dxa"/>
        <w:tblLook w:val="04A0" w:firstRow="1" w:lastRow="0" w:firstColumn="1" w:lastColumn="0" w:noHBand="0" w:noVBand="1"/>
      </w:tblPr>
      <w:tblGrid>
        <w:gridCol w:w="358"/>
        <w:gridCol w:w="2918"/>
        <w:gridCol w:w="1224"/>
        <w:gridCol w:w="1276"/>
        <w:gridCol w:w="1132"/>
        <w:gridCol w:w="1062"/>
        <w:gridCol w:w="1276"/>
        <w:gridCol w:w="1276"/>
      </w:tblGrid>
      <w:tr>
        <w:trPr>
          <w:trHeight w:val="210"/>
          <w:jc w:val="center"/>
        </w:trPr>
        <w:tc>
          <w:tcPr>
            <w:tcW w:w="3276" w:type="dxa"/>
            <w:gridSpan w:val="2"/>
            <w:vMerge w:val="restart"/>
            <w:tcBorders>
              <w:top w:val="single" w:sz="4" w:space="0" w:color="auto"/>
              <w:left w:val="single" w:sz="4" w:space="0" w:color="auto"/>
              <w:bottom w:val="nil"/>
              <w:right w:val="single" w:sz="4" w:space="0" w:color="000000"/>
            </w:tcBorders>
            <w:shd w:val="clear" w:color="000000" w:fill="D9D9D9"/>
            <w:vAlign w:val="center"/>
            <w:hideMark/>
          </w:tcPr>
          <w:bookmarkEnd w:id="2"/>
          <w:bookmarkEnd w:id="3"/>
          <w:bookmarkEnd w:id="4"/>
          <w:bookmarkEnd w:id="5"/>
          <w:bookmarkEnd w:id="6"/>
          <w:bookmarkEnd w:id="7"/>
          <w:bookmarkEnd w:id="13"/>
          <w:bookmarkEnd w:id="14"/>
          <w:bookmarkEnd w:id="15"/>
          <w:bookmarkEnd w:id="16"/>
          <w:p>
            <w:pPr>
              <w:jc w:val="center"/>
              <w:rPr>
                <w:b/>
                <w:bCs/>
                <w:noProof/>
                <w:color w:val="000000"/>
                <w:sz w:val="14"/>
                <w:szCs w:val="14"/>
              </w:rPr>
            </w:pPr>
            <w:r>
              <w:rPr>
                <w:b/>
                <w:noProof/>
                <w:color w:val="000000"/>
                <w:sz w:val="14"/>
              </w:rPr>
              <w:t>Функция</w:t>
            </w:r>
          </w:p>
        </w:tc>
        <w:tc>
          <w:tcPr>
            <w:tcW w:w="2500" w:type="dxa"/>
            <w:gridSpan w:val="2"/>
            <w:tcBorders>
              <w:top w:val="single" w:sz="4" w:space="0" w:color="auto"/>
              <w:left w:val="nil"/>
              <w:bottom w:val="nil"/>
              <w:right w:val="single" w:sz="4" w:space="0" w:color="000000"/>
            </w:tcBorders>
            <w:shd w:val="clear" w:color="000000" w:fill="D9D9D9"/>
            <w:vAlign w:val="center"/>
            <w:hideMark/>
          </w:tcPr>
          <w:p>
            <w:pPr>
              <w:jc w:val="center"/>
              <w:rPr>
                <w:b/>
                <w:bCs/>
                <w:noProof/>
                <w:color w:val="000000"/>
                <w:sz w:val="14"/>
                <w:szCs w:val="14"/>
              </w:rPr>
            </w:pPr>
            <w:r>
              <w:rPr>
                <w:b/>
                <w:noProof/>
                <w:color w:val="000000"/>
                <w:sz w:val="14"/>
              </w:rPr>
              <w:t>Бюджет за 2017 г.</w:t>
            </w:r>
          </w:p>
        </w:tc>
        <w:tc>
          <w:tcPr>
            <w:tcW w:w="2194" w:type="dxa"/>
            <w:gridSpan w:val="2"/>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pPr>
              <w:jc w:val="center"/>
              <w:rPr>
                <w:b/>
                <w:bCs/>
                <w:noProof/>
                <w:color w:val="000000"/>
                <w:sz w:val="14"/>
                <w:szCs w:val="14"/>
              </w:rPr>
            </w:pPr>
            <w:r>
              <w:rPr>
                <w:b/>
                <w:noProof/>
                <w:color w:val="000000"/>
                <w:sz w:val="14"/>
              </w:rPr>
              <w:t>Проект на коригиращ бюджет 5/2017</w:t>
            </w:r>
          </w:p>
        </w:tc>
        <w:tc>
          <w:tcPr>
            <w:tcW w:w="2552" w:type="dxa"/>
            <w:gridSpan w:val="2"/>
            <w:tcBorders>
              <w:top w:val="single" w:sz="4" w:space="0" w:color="auto"/>
              <w:left w:val="nil"/>
              <w:bottom w:val="nil"/>
              <w:right w:val="single" w:sz="4" w:space="0" w:color="000000"/>
            </w:tcBorders>
            <w:shd w:val="clear" w:color="000000" w:fill="D9D9D9"/>
            <w:vAlign w:val="center"/>
            <w:hideMark/>
          </w:tcPr>
          <w:p>
            <w:pPr>
              <w:jc w:val="center"/>
              <w:rPr>
                <w:b/>
                <w:bCs/>
                <w:noProof/>
                <w:color w:val="000000"/>
                <w:sz w:val="14"/>
                <w:szCs w:val="14"/>
              </w:rPr>
            </w:pPr>
            <w:r>
              <w:rPr>
                <w:b/>
                <w:noProof/>
                <w:color w:val="000000"/>
                <w:sz w:val="14"/>
              </w:rPr>
              <w:t>Бюджет за 2017 г.</w:t>
            </w:r>
          </w:p>
        </w:tc>
      </w:tr>
      <w:tr>
        <w:trPr>
          <w:trHeight w:val="210"/>
          <w:jc w:val="center"/>
        </w:trPr>
        <w:tc>
          <w:tcPr>
            <w:tcW w:w="3276" w:type="dxa"/>
            <w:gridSpan w:val="2"/>
            <w:vMerge/>
            <w:tcBorders>
              <w:top w:val="single" w:sz="4" w:space="0" w:color="auto"/>
              <w:left w:val="single" w:sz="4" w:space="0" w:color="auto"/>
              <w:bottom w:val="nil"/>
              <w:right w:val="single" w:sz="4" w:space="0" w:color="000000"/>
            </w:tcBorders>
            <w:vAlign w:val="center"/>
            <w:hideMark/>
          </w:tcPr>
          <w:p>
            <w:pPr>
              <w:rPr>
                <w:b/>
                <w:bCs/>
                <w:noProof/>
                <w:color w:val="000000"/>
                <w:sz w:val="14"/>
                <w:szCs w:val="14"/>
              </w:rPr>
            </w:pPr>
          </w:p>
        </w:tc>
        <w:tc>
          <w:tcPr>
            <w:tcW w:w="2500" w:type="dxa"/>
            <w:gridSpan w:val="2"/>
            <w:tcBorders>
              <w:top w:val="nil"/>
              <w:left w:val="nil"/>
              <w:bottom w:val="single" w:sz="4" w:space="0" w:color="auto"/>
              <w:right w:val="single" w:sz="4" w:space="0" w:color="000000"/>
            </w:tcBorders>
            <w:shd w:val="clear" w:color="000000" w:fill="D9D9D9"/>
            <w:vAlign w:val="center"/>
            <w:hideMark/>
          </w:tcPr>
          <w:p>
            <w:pPr>
              <w:jc w:val="center"/>
              <w:rPr>
                <w:b/>
                <w:bCs/>
                <w:noProof/>
                <w:color w:val="000000"/>
                <w:sz w:val="14"/>
                <w:szCs w:val="14"/>
              </w:rPr>
            </w:pPr>
            <w:r>
              <w:rPr>
                <w:b/>
                <w:noProof/>
                <w:color w:val="000000"/>
                <w:sz w:val="14"/>
              </w:rPr>
              <w:t>(вкл. КБ 1-2 и ПКБ 3-4/2017)</w:t>
            </w:r>
          </w:p>
        </w:tc>
        <w:tc>
          <w:tcPr>
            <w:tcW w:w="2194" w:type="dxa"/>
            <w:gridSpan w:val="2"/>
            <w:vMerge/>
            <w:tcBorders>
              <w:top w:val="single" w:sz="4" w:space="0" w:color="auto"/>
              <w:left w:val="single" w:sz="4" w:space="0" w:color="auto"/>
              <w:bottom w:val="single" w:sz="4" w:space="0" w:color="000000"/>
              <w:right w:val="single" w:sz="4" w:space="0" w:color="000000"/>
            </w:tcBorders>
            <w:vAlign w:val="center"/>
            <w:hideMark/>
          </w:tcPr>
          <w:p>
            <w:pPr>
              <w:rPr>
                <w:b/>
                <w:bCs/>
                <w:noProof/>
                <w:color w:val="000000"/>
                <w:sz w:val="14"/>
                <w:szCs w:val="14"/>
              </w:rPr>
            </w:pPr>
          </w:p>
        </w:tc>
        <w:tc>
          <w:tcPr>
            <w:tcW w:w="2552" w:type="dxa"/>
            <w:gridSpan w:val="2"/>
            <w:tcBorders>
              <w:top w:val="nil"/>
              <w:left w:val="nil"/>
              <w:bottom w:val="single" w:sz="4" w:space="0" w:color="auto"/>
              <w:right w:val="single" w:sz="4" w:space="0" w:color="000000"/>
            </w:tcBorders>
            <w:shd w:val="clear" w:color="000000" w:fill="D9D9D9"/>
            <w:vAlign w:val="center"/>
            <w:hideMark/>
          </w:tcPr>
          <w:p>
            <w:pPr>
              <w:jc w:val="center"/>
              <w:rPr>
                <w:b/>
                <w:bCs/>
                <w:noProof/>
                <w:color w:val="000000"/>
                <w:sz w:val="14"/>
                <w:szCs w:val="14"/>
              </w:rPr>
            </w:pPr>
            <w:r>
              <w:rPr>
                <w:b/>
                <w:noProof/>
                <w:color w:val="000000"/>
                <w:sz w:val="14"/>
              </w:rPr>
              <w:t>(вкл. КБ 1-2 и ПКБ 3-5/2017)</w:t>
            </w:r>
          </w:p>
        </w:tc>
      </w:tr>
      <w:tr>
        <w:trPr>
          <w:trHeight w:val="210"/>
          <w:jc w:val="center"/>
        </w:trPr>
        <w:tc>
          <w:tcPr>
            <w:tcW w:w="3276" w:type="dxa"/>
            <w:gridSpan w:val="2"/>
            <w:vMerge/>
            <w:tcBorders>
              <w:top w:val="single" w:sz="4" w:space="0" w:color="auto"/>
              <w:left w:val="single" w:sz="4" w:space="0" w:color="auto"/>
              <w:bottom w:val="nil"/>
              <w:right w:val="single" w:sz="4" w:space="0" w:color="000000"/>
            </w:tcBorders>
            <w:vAlign w:val="center"/>
            <w:hideMark/>
          </w:tcPr>
          <w:p>
            <w:pPr>
              <w:rPr>
                <w:b/>
                <w:bCs/>
                <w:noProof/>
                <w:color w:val="000000"/>
                <w:sz w:val="14"/>
                <w:szCs w:val="14"/>
              </w:rPr>
            </w:pPr>
          </w:p>
        </w:tc>
        <w:tc>
          <w:tcPr>
            <w:tcW w:w="1224" w:type="dxa"/>
            <w:tcBorders>
              <w:top w:val="nil"/>
              <w:left w:val="nil"/>
              <w:bottom w:val="nil"/>
              <w:right w:val="single" w:sz="4" w:space="0" w:color="auto"/>
            </w:tcBorders>
            <w:shd w:val="clear" w:color="000000" w:fill="D9D9D9"/>
            <w:vAlign w:val="center"/>
            <w:hideMark/>
          </w:tcPr>
          <w:p>
            <w:pPr>
              <w:jc w:val="center"/>
              <w:rPr>
                <w:b/>
                <w:bCs/>
                <w:noProof/>
                <w:color w:val="000000"/>
                <w:sz w:val="14"/>
                <w:szCs w:val="14"/>
              </w:rPr>
            </w:pPr>
            <w:r>
              <w:rPr>
                <w:b/>
                <w:noProof/>
                <w:color w:val="000000"/>
                <w:sz w:val="14"/>
              </w:rPr>
              <w:t>БКПЗ</w:t>
            </w:r>
          </w:p>
        </w:tc>
        <w:tc>
          <w:tcPr>
            <w:tcW w:w="1276" w:type="dxa"/>
            <w:tcBorders>
              <w:top w:val="nil"/>
              <w:left w:val="nil"/>
              <w:bottom w:val="single" w:sz="4" w:space="0" w:color="auto"/>
              <w:right w:val="single" w:sz="4" w:space="0" w:color="auto"/>
            </w:tcBorders>
            <w:shd w:val="clear" w:color="000000" w:fill="D9D9D9"/>
            <w:vAlign w:val="center"/>
            <w:hideMark/>
          </w:tcPr>
          <w:p>
            <w:pPr>
              <w:jc w:val="center"/>
              <w:rPr>
                <w:b/>
                <w:bCs/>
                <w:noProof/>
                <w:color w:val="000000"/>
                <w:sz w:val="14"/>
                <w:szCs w:val="14"/>
              </w:rPr>
            </w:pPr>
            <w:r>
              <w:rPr>
                <w:b/>
                <w:noProof/>
                <w:color w:val="000000"/>
                <w:sz w:val="14"/>
              </w:rPr>
              <w:t>БКП</w:t>
            </w:r>
          </w:p>
        </w:tc>
        <w:tc>
          <w:tcPr>
            <w:tcW w:w="1132" w:type="dxa"/>
            <w:tcBorders>
              <w:top w:val="nil"/>
              <w:left w:val="nil"/>
              <w:bottom w:val="single" w:sz="4" w:space="0" w:color="auto"/>
              <w:right w:val="single" w:sz="4" w:space="0" w:color="auto"/>
            </w:tcBorders>
            <w:shd w:val="clear" w:color="000000" w:fill="D9D9D9"/>
            <w:vAlign w:val="center"/>
            <w:hideMark/>
          </w:tcPr>
          <w:p>
            <w:pPr>
              <w:jc w:val="center"/>
              <w:rPr>
                <w:b/>
                <w:bCs/>
                <w:noProof/>
                <w:color w:val="000000"/>
                <w:sz w:val="14"/>
                <w:szCs w:val="14"/>
              </w:rPr>
            </w:pPr>
            <w:r>
              <w:rPr>
                <w:b/>
                <w:noProof/>
                <w:color w:val="000000"/>
                <w:sz w:val="14"/>
              </w:rPr>
              <w:t>БКПЗ</w:t>
            </w:r>
          </w:p>
        </w:tc>
        <w:tc>
          <w:tcPr>
            <w:tcW w:w="1062" w:type="dxa"/>
            <w:tcBorders>
              <w:top w:val="nil"/>
              <w:left w:val="nil"/>
              <w:bottom w:val="single" w:sz="4" w:space="0" w:color="auto"/>
              <w:right w:val="single" w:sz="4" w:space="0" w:color="auto"/>
            </w:tcBorders>
            <w:shd w:val="clear" w:color="000000" w:fill="D9D9D9"/>
            <w:vAlign w:val="center"/>
            <w:hideMark/>
          </w:tcPr>
          <w:p>
            <w:pPr>
              <w:jc w:val="center"/>
              <w:rPr>
                <w:b/>
                <w:bCs/>
                <w:noProof/>
                <w:color w:val="000000"/>
                <w:sz w:val="14"/>
                <w:szCs w:val="14"/>
              </w:rPr>
            </w:pPr>
            <w:r>
              <w:rPr>
                <w:b/>
                <w:noProof/>
                <w:color w:val="000000"/>
                <w:sz w:val="14"/>
              </w:rPr>
              <w:t>БКП</w:t>
            </w:r>
          </w:p>
        </w:tc>
        <w:tc>
          <w:tcPr>
            <w:tcW w:w="1276" w:type="dxa"/>
            <w:tcBorders>
              <w:top w:val="nil"/>
              <w:left w:val="nil"/>
              <w:bottom w:val="single" w:sz="4" w:space="0" w:color="auto"/>
              <w:right w:val="single" w:sz="4" w:space="0" w:color="auto"/>
            </w:tcBorders>
            <w:shd w:val="clear" w:color="000000" w:fill="D9D9D9"/>
            <w:vAlign w:val="center"/>
            <w:hideMark/>
          </w:tcPr>
          <w:p>
            <w:pPr>
              <w:jc w:val="center"/>
              <w:rPr>
                <w:b/>
                <w:bCs/>
                <w:noProof/>
                <w:color w:val="000000"/>
                <w:sz w:val="14"/>
                <w:szCs w:val="14"/>
              </w:rPr>
            </w:pPr>
            <w:r>
              <w:rPr>
                <w:b/>
                <w:noProof/>
                <w:color w:val="000000"/>
                <w:sz w:val="14"/>
              </w:rPr>
              <w:t>БКПЗ</w:t>
            </w:r>
          </w:p>
        </w:tc>
        <w:tc>
          <w:tcPr>
            <w:tcW w:w="1276" w:type="dxa"/>
            <w:tcBorders>
              <w:top w:val="nil"/>
              <w:left w:val="nil"/>
              <w:bottom w:val="single" w:sz="4" w:space="0" w:color="auto"/>
              <w:right w:val="single" w:sz="4" w:space="0" w:color="auto"/>
            </w:tcBorders>
            <w:shd w:val="clear" w:color="000000" w:fill="D9D9D9"/>
            <w:vAlign w:val="center"/>
            <w:hideMark/>
          </w:tcPr>
          <w:p>
            <w:pPr>
              <w:jc w:val="center"/>
              <w:rPr>
                <w:b/>
                <w:bCs/>
                <w:noProof/>
                <w:color w:val="000000"/>
                <w:sz w:val="14"/>
                <w:szCs w:val="14"/>
              </w:rPr>
            </w:pPr>
            <w:r>
              <w:rPr>
                <w:b/>
                <w:noProof/>
                <w:color w:val="000000"/>
                <w:sz w:val="14"/>
              </w:rPr>
              <w:t>БКП</w:t>
            </w:r>
          </w:p>
        </w:tc>
      </w:tr>
      <w:tr>
        <w:trPr>
          <w:trHeight w:val="225"/>
          <w:jc w:val="center"/>
        </w:trPr>
        <w:tc>
          <w:tcPr>
            <w:tcW w:w="356" w:type="dxa"/>
            <w:tcBorders>
              <w:top w:val="single" w:sz="4" w:space="0" w:color="auto"/>
              <w:left w:val="single" w:sz="4" w:space="0" w:color="auto"/>
              <w:bottom w:val="dotted" w:sz="4" w:space="0" w:color="auto"/>
              <w:right w:val="nil"/>
            </w:tcBorders>
            <w:shd w:val="clear" w:color="auto" w:fill="auto"/>
            <w:vAlign w:val="center"/>
            <w:hideMark/>
          </w:tcPr>
          <w:p>
            <w:pPr>
              <w:rPr>
                <w:b/>
                <w:bCs/>
                <w:noProof/>
                <w:color w:val="000000"/>
                <w:sz w:val="14"/>
                <w:szCs w:val="14"/>
              </w:rPr>
            </w:pPr>
            <w:r>
              <w:rPr>
                <w:b/>
                <w:noProof/>
                <w:color w:val="000000"/>
                <w:sz w:val="14"/>
              </w:rPr>
              <w:t>1.</w:t>
            </w:r>
          </w:p>
        </w:tc>
        <w:tc>
          <w:tcPr>
            <w:tcW w:w="2920" w:type="dxa"/>
            <w:tcBorders>
              <w:top w:val="single" w:sz="4" w:space="0" w:color="auto"/>
              <w:left w:val="nil"/>
              <w:bottom w:val="dotted" w:sz="4" w:space="0" w:color="auto"/>
              <w:right w:val="single" w:sz="4" w:space="0" w:color="auto"/>
            </w:tcBorders>
            <w:shd w:val="clear" w:color="auto" w:fill="auto"/>
            <w:vAlign w:val="center"/>
            <w:hideMark/>
          </w:tcPr>
          <w:p>
            <w:pPr>
              <w:rPr>
                <w:b/>
                <w:bCs/>
                <w:noProof/>
                <w:color w:val="000000"/>
                <w:sz w:val="14"/>
                <w:szCs w:val="14"/>
              </w:rPr>
            </w:pPr>
            <w:r>
              <w:rPr>
                <w:b/>
                <w:noProof/>
                <w:color w:val="000000"/>
                <w:sz w:val="14"/>
              </w:rPr>
              <w:t>Интелигентен и приобщаващ растеж</w:t>
            </w:r>
          </w:p>
        </w:tc>
        <w:tc>
          <w:tcPr>
            <w:tcW w:w="1224" w:type="dxa"/>
            <w:tcBorders>
              <w:top w:val="single" w:sz="4" w:space="0" w:color="auto"/>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75 398 754 456</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55 284 563 532</w:t>
            </w:r>
          </w:p>
        </w:tc>
        <w:tc>
          <w:tcPr>
            <w:tcW w:w="113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w:t>
            </w:r>
          </w:p>
        </w:tc>
        <w:tc>
          <w:tcPr>
            <w:tcW w:w="106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75 398 754 456</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55 284 563 532</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в общия марж за поетите задължения</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1 939 100 000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1 939 100 000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 xml:space="preserve">Таван </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73 512 000 000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73 512 000 000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w:t>
            </w:r>
          </w:p>
        </w:tc>
        <w:tc>
          <w:tcPr>
            <w:tcW w:w="1224"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52 345 544</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52 345 544</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56" w:type="dxa"/>
            <w:tcBorders>
              <w:top w:val="nil"/>
              <w:left w:val="single" w:sz="4" w:space="0" w:color="auto"/>
              <w:bottom w:val="dotted" w:sz="4" w:space="0" w:color="auto"/>
              <w:right w:val="nil"/>
            </w:tcBorders>
            <w:shd w:val="clear" w:color="auto" w:fill="auto"/>
            <w:vAlign w:val="center"/>
            <w:hideMark/>
          </w:tcPr>
          <w:p>
            <w:pPr>
              <w:rPr>
                <w:noProof/>
                <w:color w:val="000000"/>
                <w:sz w:val="14"/>
                <w:szCs w:val="14"/>
              </w:rPr>
            </w:pPr>
            <w:r>
              <w:rPr>
                <w:noProof/>
                <w:color w:val="000000"/>
                <w:sz w:val="14"/>
              </w:rPr>
              <w:t>1a</w:t>
            </w:r>
          </w:p>
        </w:tc>
        <w:tc>
          <w:tcPr>
            <w:tcW w:w="2920" w:type="dxa"/>
            <w:tcBorders>
              <w:top w:val="nil"/>
              <w:left w:val="nil"/>
              <w:bottom w:val="dotted" w:sz="4" w:space="0" w:color="auto"/>
              <w:right w:val="single" w:sz="4" w:space="0" w:color="auto"/>
            </w:tcBorders>
            <w:shd w:val="clear" w:color="auto" w:fill="auto"/>
            <w:vAlign w:val="center"/>
            <w:hideMark/>
          </w:tcPr>
          <w:p>
            <w:pPr>
              <w:rPr>
                <w:noProof/>
                <w:color w:val="000000"/>
                <w:sz w:val="14"/>
                <w:szCs w:val="14"/>
              </w:rPr>
            </w:pPr>
            <w:r>
              <w:rPr>
                <w:noProof/>
                <w:color w:val="000000"/>
                <w:sz w:val="14"/>
              </w:rPr>
              <w:t>Конкурентоспособност за растеж и работни места</w:t>
            </w:r>
          </w:p>
        </w:tc>
        <w:tc>
          <w:tcPr>
            <w:tcW w:w="1224"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21 312 155 821</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19 320 944 503</w:t>
            </w:r>
          </w:p>
        </w:tc>
        <w:tc>
          <w:tcPr>
            <w:tcW w:w="1132"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21 312 155 821</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19 320 944 503</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в общия марж за поетите задължения</w:t>
            </w:r>
          </w:p>
        </w:tc>
        <w:tc>
          <w:tcPr>
            <w:tcW w:w="1224"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1 439 100 000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1 439 100 000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Таван</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19 925 000 000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19 925 000 000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w:t>
            </w:r>
          </w:p>
        </w:tc>
        <w:tc>
          <w:tcPr>
            <w:tcW w:w="1224"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51 944 179</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51 944 179</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56" w:type="dxa"/>
            <w:tcBorders>
              <w:top w:val="nil"/>
              <w:left w:val="single" w:sz="4" w:space="0" w:color="auto"/>
              <w:bottom w:val="dotted" w:sz="4" w:space="0" w:color="auto"/>
              <w:right w:val="nil"/>
            </w:tcBorders>
            <w:shd w:val="clear" w:color="auto" w:fill="auto"/>
            <w:vAlign w:val="center"/>
            <w:hideMark/>
          </w:tcPr>
          <w:p>
            <w:pPr>
              <w:rPr>
                <w:noProof/>
                <w:color w:val="000000"/>
                <w:sz w:val="14"/>
                <w:szCs w:val="14"/>
              </w:rPr>
            </w:pPr>
            <w:r>
              <w:rPr>
                <w:noProof/>
                <w:color w:val="000000"/>
                <w:sz w:val="14"/>
              </w:rPr>
              <w:t xml:space="preserve">1б </w:t>
            </w:r>
          </w:p>
        </w:tc>
        <w:tc>
          <w:tcPr>
            <w:tcW w:w="2920" w:type="dxa"/>
            <w:tcBorders>
              <w:top w:val="nil"/>
              <w:left w:val="nil"/>
              <w:bottom w:val="dotted" w:sz="4" w:space="0" w:color="auto"/>
              <w:right w:val="single" w:sz="4" w:space="0" w:color="auto"/>
            </w:tcBorders>
            <w:shd w:val="clear" w:color="auto" w:fill="auto"/>
            <w:vAlign w:val="center"/>
            <w:hideMark/>
          </w:tcPr>
          <w:p>
            <w:pPr>
              <w:rPr>
                <w:noProof/>
                <w:color w:val="000000"/>
                <w:sz w:val="14"/>
                <w:szCs w:val="14"/>
              </w:rPr>
            </w:pPr>
            <w:r>
              <w:rPr>
                <w:noProof/>
                <w:color w:val="000000"/>
                <w:sz w:val="14"/>
              </w:rPr>
              <w:t>Икономическо, социално и териториално сближаване</w:t>
            </w:r>
          </w:p>
        </w:tc>
        <w:tc>
          <w:tcPr>
            <w:tcW w:w="1224"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54 086 598 635</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35 963 619 029</w:t>
            </w:r>
          </w:p>
        </w:tc>
        <w:tc>
          <w:tcPr>
            <w:tcW w:w="1132"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54 086 598 635</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35 963 619 029</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в общия марж за поетите задължения</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500 000 000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500 000 000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Таван</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53 587 000 000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53 587 000 000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w:t>
            </w:r>
          </w:p>
        </w:tc>
        <w:tc>
          <w:tcPr>
            <w:tcW w:w="1224"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401 365</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401 365</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56" w:type="dxa"/>
            <w:tcBorders>
              <w:top w:val="nil"/>
              <w:left w:val="single" w:sz="4" w:space="0" w:color="auto"/>
              <w:bottom w:val="dotted" w:sz="4" w:space="0" w:color="auto"/>
              <w:right w:val="nil"/>
            </w:tcBorders>
            <w:shd w:val="clear" w:color="auto" w:fill="auto"/>
            <w:vAlign w:val="center"/>
            <w:hideMark/>
          </w:tcPr>
          <w:p>
            <w:pPr>
              <w:rPr>
                <w:b/>
                <w:bCs/>
                <w:noProof/>
                <w:color w:val="000000"/>
                <w:sz w:val="14"/>
                <w:szCs w:val="14"/>
              </w:rPr>
            </w:pPr>
            <w:r>
              <w:rPr>
                <w:b/>
                <w:noProof/>
                <w:color w:val="000000"/>
                <w:sz w:val="14"/>
              </w:rPr>
              <w:t>2.</w:t>
            </w:r>
          </w:p>
        </w:tc>
        <w:tc>
          <w:tcPr>
            <w:tcW w:w="2920" w:type="dxa"/>
            <w:tcBorders>
              <w:top w:val="nil"/>
              <w:left w:val="nil"/>
              <w:bottom w:val="dotted" w:sz="4" w:space="0" w:color="auto"/>
              <w:right w:val="single" w:sz="4" w:space="0" w:color="auto"/>
            </w:tcBorders>
            <w:shd w:val="clear" w:color="auto" w:fill="auto"/>
            <w:vAlign w:val="center"/>
            <w:hideMark/>
          </w:tcPr>
          <w:p>
            <w:pPr>
              <w:rPr>
                <w:b/>
                <w:bCs/>
                <w:noProof/>
                <w:color w:val="000000"/>
                <w:sz w:val="14"/>
                <w:szCs w:val="14"/>
              </w:rPr>
            </w:pPr>
            <w:r>
              <w:rPr>
                <w:b/>
                <w:noProof/>
                <w:color w:val="000000"/>
                <w:sz w:val="14"/>
              </w:rPr>
              <w:t>Устойчив растеж: природни ресурси</w:t>
            </w:r>
          </w:p>
        </w:tc>
        <w:tc>
          <w:tcPr>
            <w:tcW w:w="1224"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58 584 443 884</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54 913 969 537</w:t>
            </w:r>
          </w:p>
        </w:tc>
        <w:tc>
          <w:tcPr>
            <w:tcW w:w="113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58 584 443 884</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54 913 969 537</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Таван</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60 191 000 000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60 191 000 000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компенсирани от маржа за непредвидени обстоятелства</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- 575 000 000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- 575 000 000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w:t>
            </w:r>
          </w:p>
        </w:tc>
        <w:tc>
          <w:tcPr>
            <w:tcW w:w="1224"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1 031 556 116</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1 031 556 116</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34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rPr>
                <w:noProof/>
                <w:color w:val="000000"/>
                <w:sz w:val="14"/>
                <w:szCs w:val="14"/>
              </w:rPr>
            </w:pPr>
            <w:r>
              <w:rPr>
                <w:noProof/>
                <w:color w:val="000000"/>
                <w:sz w:val="14"/>
              </w:rPr>
              <w:t>От които: Европейски фонд за гарантиране на земеделието (ЕФГЗ) — Разходи, свързани с пазара, и преки плащания</w:t>
            </w:r>
          </w:p>
        </w:tc>
        <w:tc>
          <w:tcPr>
            <w:tcW w:w="1224"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42 612 572 079</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42 562 967 974</w:t>
            </w:r>
          </w:p>
        </w:tc>
        <w:tc>
          <w:tcPr>
            <w:tcW w:w="1132"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42 612 572 079</w:t>
            </w:r>
          </w:p>
        </w:tc>
        <w:tc>
          <w:tcPr>
            <w:tcW w:w="1276" w:type="dxa"/>
            <w:tcBorders>
              <w:top w:val="nil"/>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42 562 967 974</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Подтаван</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44 146 000 000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44 146 000 000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Нетен трансфер между ЕФГЗ и ЕЗФРСР</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318 000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318 000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 за ЕФГЗ</w:t>
            </w:r>
          </w:p>
        </w:tc>
        <w:tc>
          <w:tcPr>
            <w:tcW w:w="1224"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1 533 109 921</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1 533 109 921</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56" w:type="dxa"/>
            <w:tcBorders>
              <w:top w:val="nil"/>
              <w:left w:val="single" w:sz="4" w:space="0" w:color="auto"/>
              <w:bottom w:val="dotted" w:sz="4" w:space="0" w:color="auto"/>
              <w:right w:val="nil"/>
            </w:tcBorders>
            <w:shd w:val="clear" w:color="auto" w:fill="auto"/>
            <w:vAlign w:val="center"/>
            <w:hideMark/>
          </w:tcPr>
          <w:p>
            <w:pPr>
              <w:rPr>
                <w:b/>
                <w:bCs/>
                <w:noProof/>
                <w:color w:val="000000"/>
                <w:sz w:val="14"/>
                <w:szCs w:val="14"/>
              </w:rPr>
            </w:pPr>
            <w:r>
              <w:rPr>
                <w:b/>
                <w:noProof/>
                <w:color w:val="000000"/>
                <w:sz w:val="14"/>
              </w:rPr>
              <w:t>3.</w:t>
            </w:r>
          </w:p>
        </w:tc>
        <w:tc>
          <w:tcPr>
            <w:tcW w:w="2920" w:type="dxa"/>
            <w:tcBorders>
              <w:top w:val="nil"/>
              <w:left w:val="nil"/>
              <w:bottom w:val="dotted" w:sz="4" w:space="0" w:color="auto"/>
              <w:right w:val="single" w:sz="4" w:space="0" w:color="auto"/>
            </w:tcBorders>
            <w:shd w:val="clear" w:color="auto" w:fill="auto"/>
            <w:vAlign w:val="center"/>
            <w:hideMark/>
          </w:tcPr>
          <w:p>
            <w:pPr>
              <w:rPr>
                <w:b/>
                <w:bCs/>
                <w:noProof/>
                <w:color w:val="000000"/>
                <w:sz w:val="14"/>
                <w:szCs w:val="14"/>
              </w:rPr>
            </w:pPr>
            <w:r>
              <w:rPr>
                <w:b/>
                <w:noProof/>
                <w:color w:val="000000"/>
                <w:sz w:val="14"/>
              </w:rPr>
              <w:t>Сигурност и гражданство</w:t>
            </w:r>
          </w:p>
        </w:tc>
        <w:tc>
          <w:tcPr>
            <w:tcW w:w="1224"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4 284 030 960</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3 786 957 287</w:t>
            </w:r>
          </w:p>
        </w:tc>
        <w:tc>
          <w:tcPr>
            <w:tcW w:w="113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- 275 000 000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4 284 030 960</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3 511 957 287</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по Инструмента за гъвкавост</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530 000 000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530 000 000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pacing w:val="-6"/>
                <w:sz w:val="14"/>
                <w:szCs w:val="14"/>
              </w:rPr>
            </w:pPr>
            <w:r>
              <w:rPr>
                <w:i/>
                <w:noProof/>
                <w:color w:val="000000"/>
                <w:spacing w:val="-6"/>
                <w:sz w:val="14"/>
              </w:rPr>
              <w:t>От които по маржа за непредвидени обстоятелства</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1 176 030 960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1 176 030 960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Таван</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2 578 000 000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2 578 000 000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w:t>
            </w:r>
          </w:p>
        </w:tc>
        <w:tc>
          <w:tcPr>
            <w:tcW w:w="1224"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56" w:type="dxa"/>
            <w:tcBorders>
              <w:top w:val="nil"/>
              <w:left w:val="single" w:sz="4" w:space="0" w:color="auto"/>
              <w:bottom w:val="dotted" w:sz="4" w:space="0" w:color="auto"/>
              <w:right w:val="nil"/>
            </w:tcBorders>
            <w:shd w:val="clear" w:color="auto" w:fill="auto"/>
            <w:vAlign w:val="center"/>
            <w:hideMark/>
          </w:tcPr>
          <w:p>
            <w:pPr>
              <w:rPr>
                <w:b/>
                <w:bCs/>
                <w:noProof/>
                <w:color w:val="000000"/>
                <w:sz w:val="14"/>
                <w:szCs w:val="14"/>
              </w:rPr>
            </w:pPr>
            <w:r>
              <w:rPr>
                <w:b/>
                <w:noProof/>
                <w:color w:val="000000"/>
                <w:sz w:val="14"/>
              </w:rPr>
              <w:t>4.</w:t>
            </w:r>
          </w:p>
        </w:tc>
        <w:tc>
          <w:tcPr>
            <w:tcW w:w="2920" w:type="dxa"/>
            <w:tcBorders>
              <w:top w:val="nil"/>
              <w:left w:val="nil"/>
              <w:bottom w:val="dotted" w:sz="4" w:space="0" w:color="auto"/>
              <w:right w:val="single" w:sz="4" w:space="0" w:color="auto"/>
            </w:tcBorders>
            <w:shd w:val="clear" w:color="auto" w:fill="auto"/>
            <w:vAlign w:val="center"/>
            <w:hideMark/>
          </w:tcPr>
          <w:p>
            <w:pPr>
              <w:rPr>
                <w:b/>
                <w:bCs/>
                <w:noProof/>
                <w:color w:val="000000"/>
                <w:sz w:val="14"/>
                <w:szCs w:val="14"/>
              </w:rPr>
            </w:pPr>
            <w:r>
              <w:rPr>
                <w:b/>
                <w:noProof/>
                <w:color w:val="000000"/>
                <w:sz w:val="14"/>
              </w:rPr>
              <w:t>Глобална Европа</w:t>
            </w:r>
          </w:p>
        </w:tc>
        <w:tc>
          <w:tcPr>
            <w:tcW w:w="1224"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10 162 120 000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9 483 081 178</w:t>
            </w:r>
          </w:p>
        </w:tc>
        <w:tc>
          <w:tcPr>
            <w:tcW w:w="113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275 000 000</w:t>
            </w:r>
          </w:p>
        </w:tc>
        <w:tc>
          <w:tcPr>
            <w:tcW w:w="106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275 000 000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10 437 120 000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9 758 081 178</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по Инструмента за гъвкавост</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275 000 000</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275 000 000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по маржа за непредвидени обстоятелства</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730 120 000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730 120 000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Таван</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9 432 000 000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9 432 000 000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w:t>
            </w:r>
          </w:p>
        </w:tc>
        <w:tc>
          <w:tcPr>
            <w:tcW w:w="1224"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56" w:type="dxa"/>
            <w:tcBorders>
              <w:top w:val="nil"/>
              <w:left w:val="single" w:sz="4" w:space="0" w:color="auto"/>
              <w:bottom w:val="dotted" w:sz="4" w:space="0" w:color="auto"/>
              <w:right w:val="nil"/>
            </w:tcBorders>
            <w:shd w:val="clear" w:color="auto" w:fill="auto"/>
            <w:vAlign w:val="center"/>
            <w:hideMark/>
          </w:tcPr>
          <w:p>
            <w:pPr>
              <w:rPr>
                <w:b/>
                <w:bCs/>
                <w:noProof/>
                <w:color w:val="000000"/>
                <w:sz w:val="14"/>
                <w:szCs w:val="14"/>
              </w:rPr>
            </w:pPr>
            <w:r>
              <w:rPr>
                <w:b/>
                <w:noProof/>
                <w:color w:val="000000"/>
                <w:sz w:val="14"/>
              </w:rPr>
              <w:t>5.</w:t>
            </w:r>
          </w:p>
        </w:tc>
        <w:tc>
          <w:tcPr>
            <w:tcW w:w="2920" w:type="dxa"/>
            <w:tcBorders>
              <w:top w:val="nil"/>
              <w:left w:val="nil"/>
              <w:bottom w:val="dotted" w:sz="4" w:space="0" w:color="auto"/>
              <w:right w:val="single" w:sz="4" w:space="0" w:color="auto"/>
            </w:tcBorders>
            <w:shd w:val="clear" w:color="auto" w:fill="auto"/>
            <w:vAlign w:val="center"/>
            <w:hideMark/>
          </w:tcPr>
          <w:p>
            <w:pPr>
              <w:rPr>
                <w:b/>
                <w:bCs/>
                <w:noProof/>
                <w:color w:val="000000"/>
                <w:sz w:val="14"/>
                <w:szCs w:val="14"/>
              </w:rPr>
            </w:pPr>
            <w:r>
              <w:rPr>
                <w:b/>
                <w:noProof/>
                <w:color w:val="000000"/>
                <w:sz w:val="14"/>
              </w:rPr>
              <w:t>Администрация</w:t>
            </w:r>
          </w:p>
        </w:tc>
        <w:tc>
          <w:tcPr>
            <w:tcW w:w="1224"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9 394 513 816</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9 394 599 816</w:t>
            </w:r>
          </w:p>
        </w:tc>
        <w:tc>
          <w:tcPr>
            <w:tcW w:w="113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9 394 513 816</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9 394 599 816</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Таван</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9 918 000 000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9 918 000 000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компенсирани от маржа за непредвидени обстоятелства</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- 507 268 804</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- 507 268 804</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16 217 380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16 217 380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rPr>
                <w:noProof/>
                <w:color w:val="000000"/>
                <w:spacing w:val="-6"/>
                <w:sz w:val="14"/>
                <w:szCs w:val="14"/>
              </w:rPr>
            </w:pPr>
            <w:r>
              <w:rPr>
                <w:noProof/>
                <w:color w:val="000000"/>
                <w:spacing w:val="-6"/>
                <w:sz w:val="14"/>
              </w:rPr>
              <w:t>От които: Административни разходи на институциите</w:t>
            </w:r>
          </w:p>
        </w:tc>
        <w:tc>
          <w:tcPr>
            <w:tcW w:w="1224" w:type="dxa"/>
            <w:tcBorders>
              <w:top w:val="single" w:sz="4" w:space="0" w:color="auto"/>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7 418 902 660</w:t>
            </w:r>
          </w:p>
        </w:tc>
        <w:tc>
          <w:tcPr>
            <w:tcW w:w="1276" w:type="dxa"/>
            <w:tcBorders>
              <w:top w:val="single" w:sz="4" w:space="0" w:color="auto"/>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7 418 988 660</w:t>
            </w:r>
          </w:p>
        </w:tc>
        <w:tc>
          <w:tcPr>
            <w:tcW w:w="1132" w:type="dxa"/>
            <w:tcBorders>
              <w:top w:val="single" w:sz="4" w:space="0" w:color="auto"/>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062" w:type="dxa"/>
            <w:tcBorders>
              <w:top w:val="single" w:sz="4" w:space="0" w:color="auto"/>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 </w:t>
            </w:r>
          </w:p>
        </w:tc>
        <w:tc>
          <w:tcPr>
            <w:tcW w:w="1276" w:type="dxa"/>
            <w:tcBorders>
              <w:top w:val="single" w:sz="4" w:space="0" w:color="auto"/>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7 418 902 660</w:t>
            </w:r>
          </w:p>
        </w:tc>
        <w:tc>
          <w:tcPr>
            <w:tcW w:w="1276" w:type="dxa"/>
            <w:tcBorders>
              <w:top w:val="single" w:sz="4" w:space="0" w:color="auto"/>
              <w:left w:val="nil"/>
              <w:bottom w:val="dotted" w:sz="4" w:space="0" w:color="auto"/>
              <w:right w:val="single" w:sz="4" w:space="0" w:color="auto"/>
            </w:tcBorders>
            <w:shd w:val="clear" w:color="auto" w:fill="auto"/>
            <w:vAlign w:val="center"/>
            <w:hideMark/>
          </w:tcPr>
          <w:p>
            <w:pPr>
              <w:jc w:val="right"/>
              <w:rPr>
                <w:noProof/>
                <w:color w:val="000000"/>
                <w:sz w:val="14"/>
                <w:szCs w:val="14"/>
              </w:rPr>
            </w:pPr>
            <w:r>
              <w:rPr>
                <w:noProof/>
                <w:color w:val="000000"/>
                <w:sz w:val="14"/>
              </w:rPr>
              <w:t>7 418 988 660</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Подтаван</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8 007 000 000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8 007 000 000</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От които компенсирани от маржа за непредвидени обстоятелства</w:t>
            </w:r>
          </w:p>
        </w:tc>
        <w:tc>
          <w:tcPr>
            <w:tcW w:w="1224"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- 507 268 804</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- 507 268 804</w:t>
            </w:r>
          </w:p>
        </w:tc>
        <w:tc>
          <w:tcPr>
            <w:tcW w:w="1276" w:type="dxa"/>
            <w:tcBorders>
              <w:top w:val="nil"/>
              <w:left w:val="nil"/>
              <w:bottom w:val="dotted"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auto" w:fill="auto"/>
            <w:vAlign w:val="center"/>
            <w:hideMark/>
          </w:tcPr>
          <w:p>
            <w:pPr>
              <w:jc w:val="right"/>
              <w:rPr>
                <w:i/>
                <w:iCs/>
                <w:noProof/>
                <w:color w:val="000000"/>
                <w:sz w:val="14"/>
                <w:szCs w:val="14"/>
              </w:rPr>
            </w:pPr>
            <w:r>
              <w:rPr>
                <w:i/>
                <w:noProof/>
                <w:color w:val="000000"/>
                <w:sz w:val="14"/>
              </w:rPr>
              <w:t>Марж</w:t>
            </w:r>
          </w:p>
        </w:tc>
        <w:tc>
          <w:tcPr>
            <w:tcW w:w="1224"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80 828 536</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13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062"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xml:space="preserve"> 80 828 536</w:t>
            </w:r>
          </w:p>
        </w:tc>
        <w:tc>
          <w:tcPr>
            <w:tcW w:w="1276" w:type="dxa"/>
            <w:tcBorders>
              <w:top w:val="nil"/>
              <w:left w:val="nil"/>
              <w:bottom w:val="single" w:sz="4" w:space="0" w:color="auto"/>
              <w:right w:val="single" w:sz="4" w:space="0" w:color="auto"/>
            </w:tcBorders>
            <w:shd w:val="clear" w:color="auto" w:fill="auto"/>
            <w:vAlign w:val="center"/>
            <w:hideMark/>
          </w:tcPr>
          <w:p>
            <w:pPr>
              <w:jc w:val="right"/>
              <w:rPr>
                <w:i/>
                <w:iCs/>
                <w:noProof/>
                <w:color w:val="000000"/>
                <w:sz w:val="14"/>
                <w:szCs w:val="14"/>
              </w:rPr>
            </w:pPr>
            <w:r>
              <w:rPr>
                <w:i/>
                <w:noProof/>
                <w:color w:val="000000"/>
                <w:sz w:val="14"/>
              </w:rPr>
              <w:t> </w:t>
            </w:r>
          </w:p>
        </w:tc>
      </w:tr>
      <w:tr>
        <w:trPr>
          <w:trHeight w:val="225"/>
          <w:jc w:val="center"/>
        </w:trPr>
        <w:tc>
          <w:tcPr>
            <w:tcW w:w="356" w:type="dxa"/>
            <w:tcBorders>
              <w:top w:val="nil"/>
              <w:left w:val="single" w:sz="4" w:space="0" w:color="auto"/>
              <w:bottom w:val="dotted" w:sz="4" w:space="0" w:color="auto"/>
              <w:right w:val="nil"/>
            </w:tcBorders>
            <w:shd w:val="clear" w:color="auto" w:fill="auto"/>
            <w:vAlign w:val="center"/>
            <w:hideMark/>
          </w:tcPr>
          <w:p>
            <w:pPr>
              <w:rPr>
                <w:b/>
                <w:bCs/>
                <w:noProof/>
                <w:color w:val="000000"/>
                <w:sz w:val="14"/>
                <w:szCs w:val="14"/>
              </w:rPr>
            </w:pPr>
            <w:r>
              <w:rPr>
                <w:b/>
                <w:noProof/>
                <w:color w:val="000000"/>
                <w:sz w:val="14"/>
              </w:rPr>
              <w:t> </w:t>
            </w:r>
          </w:p>
        </w:tc>
        <w:tc>
          <w:tcPr>
            <w:tcW w:w="2920" w:type="dxa"/>
            <w:tcBorders>
              <w:top w:val="nil"/>
              <w:left w:val="nil"/>
              <w:bottom w:val="dotted" w:sz="4" w:space="0" w:color="auto"/>
              <w:right w:val="single" w:sz="4" w:space="0" w:color="auto"/>
            </w:tcBorders>
            <w:shd w:val="clear" w:color="auto" w:fill="auto"/>
            <w:vAlign w:val="center"/>
            <w:hideMark/>
          </w:tcPr>
          <w:p>
            <w:pPr>
              <w:rPr>
                <w:b/>
                <w:bCs/>
                <w:noProof/>
                <w:color w:val="000000"/>
                <w:sz w:val="14"/>
                <w:szCs w:val="14"/>
              </w:rPr>
            </w:pPr>
            <w:r>
              <w:rPr>
                <w:b/>
                <w:noProof/>
                <w:color w:val="000000"/>
                <w:sz w:val="14"/>
              </w:rPr>
              <w:t>Отрицателен резерв</w:t>
            </w:r>
          </w:p>
        </w:tc>
        <w:tc>
          <w:tcPr>
            <w:tcW w:w="1224"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w:t>
            </w:r>
          </w:p>
        </w:tc>
        <w:tc>
          <w:tcPr>
            <w:tcW w:w="113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062"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w:t>
            </w:r>
          </w:p>
        </w:tc>
        <w:tc>
          <w:tcPr>
            <w:tcW w:w="1276" w:type="dxa"/>
            <w:tcBorders>
              <w:top w:val="nil"/>
              <w:left w:val="nil"/>
              <w:bottom w:val="dotted"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w:t>
            </w:r>
          </w:p>
        </w:tc>
      </w:tr>
      <w:tr>
        <w:trPr>
          <w:trHeight w:val="225"/>
          <w:jc w:val="center"/>
        </w:trPr>
        <w:tc>
          <w:tcPr>
            <w:tcW w:w="3276" w:type="dxa"/>
            <w:gridSpan w:val="2"/>
            <w:tcBorders>
              <w:top w:val="single" w:sz="4" w:space="0" w:color="auto"/>
              <w:left w:val="single" w:sz="4" w:space="0" w:color="auto"/>
              <w:bottom w:val="dotted" w:sz="4" w:space="0" w:color="auto"/>
              <w:right w:val="single" w:sz="4" w:space="0" w:color="000000"/>
            </w:tcBorders>
            <w:shd w:val="clear" w:color="000000" w:fill="D9D9D9"/>
            <w:vAlign w:val="center"/>
            <w:hideMark/>
          </w:tcPr>
          <w:p>
            <w:pPr>
              <w:jc w:val="right"/>
              <w:rPr>
                <w:b/>
                <w:bCs/>
                <w:noProof/>
                <w:color w:val="000000"/>
                <w:sz w:val="14"/>
                <w:szCs w:val="14"/>
              </w:rPr>
            </w:pPr>
            <w:r>
              <w:rPr>
                <w:b/>
                <w:noProof/>
                <w:color w:val="000000"/>
                <w:sz w:val="14"/>
              </w:rPr>
              <w:t>Общо</w:t>
            </w:r>
          </w:p>
        </w:tc>
        <w:tc>
          <w:tcPr>
            <w:tcW w:w="1224" w:type="dxa"/>
            <w:tcBorders>
              <w:top w:val="single" w:sz="4" w:space="0" w:color="auto"/>
              <w:left w:val="nil"/>
              <w:bottom w:val="dotted"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157 823 863 116</w:t>
            </w:r>
          </w:p>
        </w:tc>
        <w:tc>
          <w:tcPr>
            <w:tcW w:w="1276" w:type="dxa"/>
            <w:tcBorders>
              <w:top w:val="single" w:sz="4" w:space="0" w:color="auto"/>
              <w:left w:val="nil"/>
              <w:bottom w:val="dotted"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132 863 171 350</w:t>
            </w:r>
          </w:p>
        </w:tc>
        <w:tc>
          <w:tcPr>
            <w:tcW w:w="1132" w:type="dxa"/>
            <w:tcBorders>
              <w:top w:val="single" w:sz="4" w:space="0" w:color="auto"/>
              <w:left w:val="nil"/>
              <w:bottom w:val="dotted"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 xml:space="preserve"> 275 000 000</w:t>
            </w:r>
          </w:p>
        </w:tc>
        <w:tc>
          <w:tcPr>
            <w:tcW w:w="1062" w:type="dxa"/>
            <w:tcBorders>
              <w:top w:val="single" w:sz="4" w:space="0" w:color="auto"/>
              <w:left w:val="nil"/>
              <w:bottom w:val="dotted"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 xml:space="preserve">   </w:t>
            </w:r>
          </w:p>
        </w:tc>
        <w:tc>
          <w:tcPr>
            <w:tcW w:w="1276" w:type="dxa"/>
            <w:tcBorders>
              <w:top w:val="single" w:sz="4" w:space="0" w:color="auto"/>
              <w:left w:val="nil"/>
              <w:bottom w:val="dotted"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158 098 863 116</w:t>
            </w:r>
          </w:p>
        </w:tc>
        <w:tc>
          <w:tcPr>
            <w:tcW w:w="1276" w:type="dxa"/>
            <w:tcBorders>
              <w:top w:val="single" w:sz="4" w:space="0" w:color="auto"/>
              <w:left w:val="nil"/>
              <w:bottom w:val="dotted"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132 863 171 350</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jc w:val="right"/>
              <w:rPr>
                <w:b/>
                <w:bCs/>
                <w:i/>
                <w:iCs/>
                <w:noProof/>
                <w:color w:val="000000"/>
                <w:sz w:val="14"/>
                <w:szCs w:val="14"/>
              </w:rPr>
            </w:pPr>
            <w:r>
              <w:rPr>
                <w:b/>
                <w:i/>
                <w:noProof/>
                <w:color w:val="000000"/>
                <w:sz w:val="14"/>
              </w:rPr>
              <w:t>От които по Инструмента за гъвкавост</w:t>
            </w:r>
          </w:p>
        </w:tc>
        <w:tc>
          <w:tcPr>
            <w:tcW w:w="1224"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530 000 000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981 093 985</w:t>
            </w:r>
          </w:p>
        </w:tc>
        <w:tc>
          <w:tcPr>
            <w:tcW w:w="113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275 000 000</w:t>
            </w:r>
          </w:p>
        </w:tc>
        <w:tc>
          <w:tcPr>
            <w:tcW w:w="106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275 000 000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805 000 000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1 256 093 985</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jc w:val="right"/>
              <w:rPr>
                <w:b/>
                <w:bCs/>
                <w:i/>
                <w:iCs/>
                <w:noProof/>
                <w:color w:val="000000"/>
                <w:sz w:val="14"/>
                <w:szCs w:val="14"/>
              </w:rPr>
            </w:pPr>
            <w:r>
              <w:rPr>
                <w:b/>
                <w:i/>
                <w:noProof/>
                <w:color w:val="000000"/>
                <w:sz w:val="14"/>
              </w:rPr>
              <w:t>От които в общия марж за поетите задължения</w:t>
            </w:r>
          </w:p>
        </w:tc>
        <w:tc>
          <w:tcPr>
            <w:tcW w:w="1224"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1 939 100 000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c>
          <w:tcPr>
            <w:tcW w:w="113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w:t>
            </w:r>
          </w:p>
        </w:tc>
        <w:tc>
          <w:tcPr>
            <w:tcW w:w="106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1 939 100 000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jc w:val="right"/>
              <w:rPr>
                <w:b/>
                <w:bCs/>
                <w:i/>
                <w:iCs/>
                <w:noProof/>
                <w:color w:val="000000"/>
                <w:sz w:val="14"/>
                <w:szCs w:val="14"/>
              </w:rPr>
            </w:pPr>
            <w:r>
              <w:rPr>
                <w:b/>
                <w:i/>
                <w:noProof/>
                <w:color w:val="000000"/>
                <w:sz w:val="14"/>
              </w:rPr>
              <w:t>От които по маржа за непредвидени обстоятелства</w:t>
            </w:r>
          </w:p>
        </w:tc>
        <w:tc>
          <w:tcPr>
            <w:tcW w:w="1224"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1 906 150 960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c>
          <w:tcPr>
            <w:tcW w:w="113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w:t>
            </w:r>
          </w:p>
        </w:tc>
        <w:tc>
          <w:tcPr>
            <w:tcW w:w="106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1 906 150 960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jc w:val="right"/>
              <w:rPr>
                <w:b/>
                <w:bCs/>
                <w:i/>
                <w:iCs/>
                <w:noProof/>
                <w:color w:val="000000"/>
                <w:sz w:val="14"/>
                <w:szCs w:val="14"/>
              </w:rPr>
            </w:pPr>
            <w:r>
              <w:rPr>
                <w:b/>
                <w:i/>
                <w:noProof/>
                <w:color w:val="000000"/>
                <w:sz w:val="14"/>
              </w:rPr>
              <w:t>Таван</w:t>
            </w:r>
          </w:p>
        </w:tc>
        <w:tc>
          <w:tcPr>
            <w:tcW w:w="1224"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155 631 000 000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142 906 000 000</w:t>
            </w:r>
          </w:p>
        </w:tc>
        <w:tc>
          <w:tcPr>
            <w:tcW w:w="113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w:t>
            </w:r>
          </w:p>
        </w:tc>
        <w:tc>
          <w:tcPr>
            <w:tcW w:w="106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155 631 000 000</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142 906 000 000</w:t>
            </w:r>
          </w:p>
        </w:tc>
      </w:tr>
      <w:tr>
        <w:trPr>
          <w:trHeight w:val="225"/>
          <w:jc w:val="center"/>
        </w:trPr>
        <w:tc>
          <w:tcPr>
            <w:tcW w:w="3276" w:type="dxa"/>
            <w:gridSpan w:val="2"/>
            <w:tcBorders>
              <w:top w:val="dotted" w:sz="4" w:space="0" w:color="auto"/>
              <w:left w:val="single" w:sz="4" w:space="0" w:color="auto"/>
              <w:bottom w:val="dotted" w:sz="4" w:space="0" w:color="auto"/>
              <w:right w:val="single" w:sz="4" w:space="0" w:color="000000"/>
            </w:tcBorders>
            <w:shd w:val="clear" w:color="000000" w:fill="D9D9D9"/>
            <w:vAlign w:val="center"/>
            <w:hideMark/>
          </w:tcPr>
          <w:p>
            <w:pPr>
              <w:jc w:val="right"/>
              <w:rPr>
                <w:b/>
                <w:bCs/>
                <w:i/>
                <w:iCs/>
                <w:noProof/>
                <w:color w:val="000000"/>
                <w:sz w:val="14"/>
                <w:szCs w:val="14"/>
              </w:rPr>
            </w:pPr>
            <w:r>
              <w:rPr>
                <w:b/>
                <w:i/>
                <w:noProof/>
                <w:color w:val="000000"/>
                <w:sz w:val="14"/>
              </w:rPr>
              <w:t>От които компенсирани от маржа за непредвидени обстоятелства</w:t>
            </w:r>
          </w:p>
        </w:tc>
        <w:tc>
          <w:tcPr>
            <w:tcW w:w="1224"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-1 082 268 804</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-2 818 233 715</w:t>
            </w:r>
          </w:p>
        </w:tc>
        <w:tc>
          <w:tcPr>
            <w:tcW w:w="113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xml:space="preserve">   </w:t>
            </w:r>
          </w:p>
        </w:tc>
        <w:tc>
          <w:tcPr>
            <w:tcW w:w="1062"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-1 082 268 804</w:t>
            </w:r>
          </w:p>
        </w:tc>
        <w:tc>
          <w:tcPr>
            <w:tcW w:w="1276" w:type="dxa"/>
            <w:tcBorders>
              <w:top w:val="nil"/>
              <w:left w:val="nil"/>
              <w:bottom w:val="dotted"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-2 818 233 715</w:t>
            </w:r>
          </w:p>
        </w:tc>
      </w:tr>
      <w:tr>
        <w:trPr>
          <w:trHeight w:val="225"/>
          <w:jc w:val="center"/>
        </w:trPr>
        <w:tc>
          <w:tcPr>
            <w:tcW w:w="3276" w:type="dxa"/>
            <w:gridSpan w:val="2"/>
            <w:tcBorders>
              <w:top w:val="dotted" w:sz="4" w:space="0" w:color="auto"/>
              <w:left w:val="single" w:sz="4" w:space="0" w:color="auto"/>
              <w:bottom w:val="nil"/>
              <w:right w:val="single" w:sz="4" w:space="0" w:color="000000"/>
            </w:tcBorders>
            <w:shd w:val="clear" w:color="000000" w:fill="D9D9D9"/>
            <w:vAlign w:val="center"/>
            <w:hideMark/>
          </w:tcPr>
          <w:p>
            <w:pPr>
              <w:jc w:val="right"/>
              <w:rPr>
                <w:b/>
                <w:bCs/>
                <w:i/>
                <w:iCs/>
                <w:noProof/>
                <w:color w:val="000000"/>
                <w:sz w:val="14"/>
                <w:szCs w:val="14"/>
              </w:rPr>
            </w:pPr>
            <w:r>
              <w:rPr>
                <w:b/>
                <w:i/>
                <w:noProof/>
                <w:color w:val="000000"/>
                <w:sz w:val="14"/>
              </w:rPr>
              <w:t>Марж</w:t>
            </w:r>
          </w:p>
        </w:tc>
        <w:tc>
          <w:tcPr>
            <w:tcW w:w="1224" w:type="dxa"/>
            <w:tcBorders>
              <w:top w:val="nil"/>
              <w:left w:val="nil"/>
              <w:bottom w:val="single"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1 100 119 040</w:t>
            </w:r>
          </w:p>
        </w:tc>
        <w:tc>
          <w:tcPr>
            <w:tcW w:w="1276" w:type="dxa"/>
            <w:tcBorders>
              <w:top w:val="nil"/>
              <w:left w:val="nil"/>
              <w:bottom w:val="single"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8 205 688 920</w:t>
            </w:r>
          </w:p>
        </w:tc>
        <w:tc>
          <w:tcPr>
            <w:tcW w:w="1132" w:type="dxa"/>
            <w:tcBorders>
              <w:top w:val="nil"/>
              <w:left w:val="nil"/>
              <w:bottom w:val="single"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c>
          <w:tcPr>
            <w:tcW w:w="1062" w:type="dxa"/>
            <w:tcBorders>
              <w:top w:val="nil"/>
              <w:left w:val="nil"/>
              <w:bottom w:val="single"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 </w:t>
            </w:r>
          </w:p>
        </w:tc>
        <w:tc>
          <w:tcPr>
            <w:tcW w:w="1276" w:type="dxa"/>
            <w:tcBorders>
              <w:top w:val="nil"/>
              <w:left w:val="nil"/>
              <w:bottom w:val="single"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1 100 119 040</w:t>
            </w:r>
          </w:p>
        </w:tc>
        <w:tc>
          <w:tcPr>
            <w:tcW w:w="1276" w:type="dxa"/>
            <w:tcBorders>
              <w:top w:val="nil"/>
              <w:left w:val="nil"/>
              <w:bottom w:val="single" w:sz="4" w:space="0" w:color="auto"/>
              <w:right w:val="single" w:sz="4" w:space="0" w:color="auto"/>
            </w:tcBorders>
            <w:shd w:val="clear" w:color="000000" w:fill="D9D9D9"/>
            <w:vAlign w:val="center"/>
            <w:hideMark/>
          </w:tcPr>
          <w:p>
            <w:pPr>
              <w:jc w:val="right"/>
              <w:rPr>
                <w:b/>
                <w:bCs/>
                <w:i/>
                <w:iCs/>
                <w:noProof/>
                <w:color w:val="000000"/>
                <w:sz w:val="14"/>
                <w:szCs w:val="14"/>
              </w:rPr>
            </w:pPr>
            <w:r>
              <w:rPr>
                <w:b/>
                <w:i/>
                <w:noProof/>
                <w:color w:val="000000"/>
                <w:sz w:val="14"/>
              </w:rPr>
              <w:t>8 480 688 920</w:t>
            </w:r>
          </w:p>
        </w:tc>
      </w:tr>
      <w:tr>
        <w:trPr>
          <w:trHeight w:val="225"/>
          <w:jc w:val="center"/>
        </w:trPr>
        <w:tc>
          <w:tcPr>
            <w:tcW w:w="356" w:type="dxa"/>
            <w:tcBorders>
              <w:top w:val="single" w:sz="4" w:space="0" w:color="auto"/>
              <w:left w:val="single" w:sz="4" w:space="0" w:color="auto"/>
              <w:bottom w:val="single" w:sz="4" w:space="0" w:color="auto"/>
              <w:right w:val="nil"/>
            </w:tcBorders>
            <w:shd w:val="clear" w:color="auto" w:fill="auto"/>
            <w:vAlign w:val="center"/>
            <w:hideMark/>
          </w:tcPr>
          <w:p>
            <w:pPr>
              <w:rPr>
                <w:b/>
                <w:bCs/>
                <w:noProof/>
                <w:color w:val="000000"/>
                <w:sz w:val="14"/>
                <w:szCs w:val="14"/>
              </w:rPr>
            </w:pPr>
            <w:r>
              <w:rPr>
                <w:b/>
                <w:noProof/>
                <w:color w:val="000000"/>
                <w:sz w:val="14"/>
              </w:rPr>
              <w:t> </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pPr>
              <w:rPr>
                <w:b/>
                <w:bCs/>
                <w:noProof/>
                <w:color w:val="000000"/>
                <w:sz w:val="14"/>
                <w:szCs w:val="14"/>
              </w:rPr>
            </w:pPr>
            <w:r>
              <w:rPr>
                <w:b/>
                <w:noProof/>
                <w:color w:val="000000"/>
                <w:sz w:val="14"/>
              </w:rPr>
              <w:t>Други специални инструменти</w:t>
            </w:r>
          </w:p>
        </w:tc>
        <w:tc>
          <w:tcPr>
            <w:tcW w:w="1224" w:type="dxa"/>
            <w:tcBorders>
              <w:top w:val="nil"/>
              <w:left w:val="nil"/>
              <w:bottom w:val="single"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1 771 124 013</w:t>
            </w:r>
          </w:p>
        </w:tc>
        <w:tc>
          <w:tcPr>
            <w:tcW w:w="1276" w:type="dxa"/>
            <w:tcBorders>
              <w:top w:val="nil"/>
              <w:left w:val="nil"/>
              <w:bottom w:val="single"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1 627 200 013</w:t>
            </w:r>
          </w:p>
        </w:tc>
        <w:tc>
          <w:tcPr>
            <w:tcW w:w="1132" w:type="dxa"/>
            <w:tcBorders>
              <w:top w:val="nil"/>
              <w:left w:val="nil"/>
              <w:bottom w:val="single"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xml:space="preserve"> 22 800 000</w:t>
            </w:r>
          </w:p>
        </w:tc>
        <w:tc>
          <w:tcPr>
            <w:tcW w:w="1062" w:type="dxa"/>
            <w:tcBorders>
              <w:top w:val="nil"/>
              <w:left w:val="nil"/>
              <w:bottom w:val="single"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 </w:t>
            </w:r>
          </w:p>
        </w:tc>
        <w:tc>
          <w:tcPr>
            <w:tcW w:w="1276" w:type="dxa"/>
            <w:tcBorders>
              <w:top w:val="nil"/>
              <w:left w:val="nil"/>
              <w:bottom w:val="single"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1 793 924 013</w:t>
            </w:r>
          </w:p>
        </w:tc>
        <w:tc>
          <w:tcPr>
            <w:tcW w:w="1276" w:type="dxa"/>
            <w:tcBorders>
              <w:top w:val="nil"/>
              <w:left w:val="nil"/>
              <w:bottom w:val="single" w:sz="4" w:space="0" w:color="auto"/>
              <w:right w:val="single" w:sz="4" w:space="0" w:color="auto"/>
            </w:tcBorders>
            <w:shd w:val="clear" w:color="auto" w:fill="auto"/>
            <w:vAlign w:val="center"/>
            <w:hideMark/>
          </w:tcPr>
          <w:p>
            <w:pPr>
              <w:jc w:val="right"/>
              <w:rPr>
                <w:b/>
                <w:bCs/>
                <w:noProof/>
                <w:color w:val="000000"/>
                <w:sz w:val="14"/>
                <w:szCs w:val="14"/>
              </w:rPr>
            </w:pPr>
            <w:r>
              <w:rPr>
                <w:b/>
                <w:noProof/>
                <w:color w:val="000000"/>
                <w:sz w:val="14"/>
              </w:rPr>
              <w:t>1 627 200 013</w:t>
            </w:r>
          </w:p>
        </w:tc>
      </w:tr>
      <w:tr>
        <w:trPr>
          <w:trHeight w:val="225"/>
          <w:jc w:val="center"/>
        </w:trPr>
        <w:tc>
          <w:tcPr>
            <w:tcW w:w="3276" w:type="dxa"/>
            <w:gridSpan w:val="2"/>
            <w:tcBorders>
              <w:top w:val="nil"/>
              <w:left w:val="single" w:sz="4" w:space="0" w:color="auto"/>
              <w:bottom w:val="single" w:sz="4" w:space="0" w:color="auto"/>
              <w:right w:val="single" w:sz="4" w:space="0" w:color="000000"/>
            </w:tcBorders>
            <w:shd w:val="clear" w:color="000000" w:fill="D9D9D9"/>
            <w:vAlign w:val="center"/>
            <w:hideMark/>
          </w:tcPr>
          <w:p>
            <w:pPr>
              <w:jc w:val="right"/>
              <w:rPr>
                <w:b/>
                <w:bCs/>
                <w:noProof/>
                <w:color w:val="000000"/>
                <w:sz w:val="14"/>
                <w:szCs w:val="14"/>
              </w:rPr>
            </w:pPr>
            <w:r>
              <w:rPr>
                <w:b/>
                <w:noProof/>
                <w:color w:val="000000"/>
                <w:sz w:val="14"/>
              </w:rPr>
              <w:t>Общ сбор</w:t>
            </w:r>
          </w:p>
        </w:tc>
        <w:tc>
          <w:tcPr>
            <w:tcW w:w="1224" w:type="dxa"/>
            <w:tcBorders>
              <w:top w:val="nil"/>
              <w:left w:val="nil"/>
              <w:bottom w:val="single"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159 594 987 129</w:t>
            </w:r>
          </w:p>
        </w:tc>
        <w:tc>
          <w:tcPr>
            <w:tcW w:w="1276" w:type="dxa"/>
            <w:tcBorders>
              <w:top w:val="nil"/>
              <w:left w:val="nil"/>
              <w:bottom w:val="single"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134 490 371 363</w:t>
            </w:r>
          </w:p>
        </w:tc>
        <w:tc>
          <w:tcPr>
            <w:tcW w:w="1132" w:type="dxa"/>
            <w:tcBorders>
              <w:top w:val="nil"/>
              <w:left w:val="nil"/>
              <w:bottom w:val="single"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 xml:space="preserve"> 297 800 000</w:t>
            </w:r>
          </w:p>
        </w:tc>
        <w:tc>
          <w:tcPr>
            <w:tcW w:w="1062" w:type="dxa"/>
            <w:tcBorders>
              <w:top w:val="nil"/>
              <w:left w:val="nil"/>
              <w:bottom w:val="single"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 xml:space="preserve">   </w:t>
            </w:r>
          </w:p>
        </w:tc>
        <w:tc>
          <w:tcPr>
            <w:tcW w:w="1276" w:type="dxa"/>
            <w:tcBorders>
              <w:top w:val="nil"/>
              <w:left w:val="nil"/>
              <w:bottom w:val="single"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159 892 787 129</w:t>
            </w:r>
          </w:p>
        </w:tc>
        <w:tc>
          <w:tcPr>
            <w:tcW w:w="1276" w:type="dxa"/>
            <w:tcBorders>
              <w:top w:val="nil"/>
              <w:left w:val="nil"/>
              <w:bottom w:val="single" w:sz="4" w:space="0" w:color="auto"/>
              <w:right w:val="single" w:sz="4" w:space="0" w:color="auto"/>
            </w:tcBorders>
            <w:shd w:val="clear" w:color="000000" w:fill="D9D9D9"/>
            <w:vAlign w:val="center"/>
            <w:hideMark/>
          </w:tcPr>
          <w:p>
            <w:pPr>
              <w:jc w:val="right"/>
              <w:rPr>
                <w:b/>
                <w:bCs/>
                <w:noProof/>
                <w:color w:val="000000"/>
                <w:sz w:val="14"/>
                <w:szCs w:val="14"/>
              </w:rPr>
            </w:pPr>
            <w:r>
              <w:rPr>
                <w:b/>
                <w:noProof/>
                <w:color w:val="000000"/>
                <w:sz w:val="14"/>
              </w:rPr>
              <w:t>134 490 371 363</w:t>
            </w:r>
          </w:p>
        </w:tc>
      </w:tr>
    </w:tbl>
    <w:p>
      <w:pPr>
        <w:rPr>
          <w:noProof/>
          <w:lang w:val="en-GB"/>
        </w:rPr>
      </w:pPr>
    </w:p>
    <w:sectPr>
      <w:headerReference w:type="even" r:id="rId29"/>
      <w:headerReference w:type="default" r:id="rId30"/>
      <w:footerReference w:type="even" r:id="rId31"/>
      <w:footerReference w:type="default" r:id="rId32"/>
      <w:headerReference w:type="first" r:id="rId33"/>
      <w:footerReference w:type="first" r:id="rId34"/>
      <w:pgSz w:w="11907" w:h="16839"/>
      <w:pgMar w:top="1021" w:right="1347" w:bottom="1021"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EU Alberti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279546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097051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161986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pPr>
      <w:pStyle w:val="Footer"/>
      <w:spacing w:before="0"/>
      <w:ind w:left="-851" w:right="-851"/>
      <w:rPr>
        <w:rFonts w:ascii="Arial" w:hAnsi="Arial" w:cs="Arial"/>
        <w:b/>
        <w:sz w:val="4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rPr>
          <w:lang w:val="pl-PL"/>
        </w:rPr>
      </w:pPr>
      <w:r>
        <w:rPr>
          <w:rStyle w:val="FootnoteReference"/>
        </w:rPr>
        <w:footnoteRef/>
      </w:r>
      <w:r>
        <w:tab/>
      </w:r>
      <w:r>
        <w:rPr>
          <w:sz w:val="18"/>
        </w:rPr>
        <w:t>ОВ L 298, 26.10.2012 г., стр. 1.</w:t>
      </w:r>
    </w:p>
  </w:footnote>
  <w:footnote w:id="3">
    <w:p>
      <w:pPr>
        <w:pStyle w:val="FootnoteText"/>
        <w:rPr>
          <w:lang w:val="pl-PL"/>
        </w:rPr>
      </w:pPr>
      <w:r>
        <w:rPr>
          <w:rStyle w:val="FootnoteReference"/>
        </w:rPr>
        <w:footnoteRef/>
      </w:r>
      <w:r>
        <w:tab/>
      </w:r>
      <w:r>
        <w:rPr>
          <w:sz w:val="18"/>
        </w:rPr>
        <w:t>OВ L 51, 28.2.2017 г.</w:t>
      </w:r>
    </w:p>
  </w:footnote>
  <w:footnote w:id="4">
    <w:p>
      <w:pPr>
        <w:pStyle w:val="FootnoteText"/>
        <w:rPr>
          <w:lang w:val="pl-PL"/>
        </w:rPr>
      </w:pPr>
      <w:r>
        <w:rPr>
          <w:rStyle w:val="FootnoteReference"/>
        </w:rPr>
        <w:footnoteRef/>
      </w:r>
      <w:r>
        <w:rPr>
          <w:sz w:val="18"/>
        </w:rPr>
        <w:t xml:space="preserve"> </w:t>
      </w:r>
      <w:r>
        <w:tab/>
      </w:r>
      <w:r>
        <w:rPr>
          <w:sz w:val="18"/>
        </w:rPr>
        <w:t>OВ L 136, 24.5.2017 г.</w:t>
      </w:r>
    </w:p>
  </w:footnote>
  <w:footnote w:id="5">
    <w:p>
      <w:pPr>
        <w:pStyle w:val="FootnoteText"/>
        <w:rPr>
          <w:lang w:val="pl-PL"/>
        </w:rPr>
      </w:pPr>
      <w:r>
        <w:rPr>
          <w:rStyle w:val="FootnoteReference"/>
        </w:rPr>
        <w:footnoteRef/>
      </w:r>
      <w:r>
        <w:rPr>
          <w:sz w:val="18"/>
        </w:rPr>
        <w:t xml:space="preserve"> </w:t>
      </w:r>
      <w:r>
        <w:tab/>
      </w:r>
      <w:r>
        <w:rPr>
          <w:sz w:val="18"/>
        </w:rPr>
        <w:t>ОВ L XXX, XX.XX.XXX г.</w:t>
      </w:r>
    </w:p>
  </w:footnote>
  <w:footnote w:id="6">
    <w:p>
      <w:pPr>
        <w:pStyle w:val="FootnoteText"/>
        <w:rPr>
          <w:lang w:val="pt-PT"/>
        </w:rPr>
      </w:pPr>
      <w:r>
        <w:rPr>
          <w:rStyle w:val="FootnoteReference"/>
        </w:rPr>
        <w:footnoteRef/>
      </w:r>
      <w:r>
        <w:rPr>
          <w:sz w:val="18"/>
        </w:rPr>
        <w:t xml:space="preserve"> </w:t>
      </w:r>
      <w:r>
        <w:tab/>
      </w:r>
      <w:r>
        <w:rPr>
          <w:sz w:val="18"/>
        </w:rPr>
        <w:t>COM(2017) 288, 30.5.2017 г.</w:t>
      </w:r>
    </w:p>
  </w:footnote>
  <w:footnote w:id="7">
    <w:p>
      <w:pPr>
        <w:pStyle w:val="FootnoteText"/>
        <w:rPr>
          <w:lang w:val="pt-PT"/>
        </w:rPr>
      </w:pPr>
      <w:r>
        <w:rPr>
          <w:rStyle w:val="FootnoteReference"/>
        </w:rPr>
        <w:footnoteRef/>
      </w:r>
      <w:r>
        <w:rPr>
          <w:sz w:val="18"/>
        </w:rPr>
        <w:t xml:space="preserve"> </w:t>
      </w:r>
      <w:r>
        <w:tab/>
      </w:r>
      <w:r>
        <w:rPr>
          <w:sz w:val="18"/>
        </w:rPr>
        <w:t>COM(2017) 541, 26.6.2017 г.</w:t>
      </w:r>
    </w:p>
  </w:footnote>
  <w:footnote w:id="8">
    <w:p>
      <w:pPr>
        <w:pStyle w:val="FootnoteText"/>
        <w:tabs>
          <w:tab w:val="left" w:pos="284"/>
        </w:tabs>
        <w:ind w:left="284" w:hanging="284"/>
        <w:rPr>
          <w:rFonts w:asciiTheme="minorHAnsi" w:hAnsiTheme="minorHAnsi" w:cstheme="minorBidi"/>
          <w:lang w:val="pt-PT" w:eastAsia="en-US"/>
        </w:rPr>
      </w:pPr>
      <w:r>
        <w:rPr>
          <w:rStyle w:val="FootnoteReference"/>
        </w:rPr>
        <w:footnoteRef/>
      </w:r>
      <w:r>
        <w:t xml:space="preserve"> </w:t>
      </w:r>
      <w:r>
        <w:tab/>
        <w:t>COM(2016) 385, 7.6.2016 г.</w:t>
      </w:r>
    </w:p>
  </w:footnote>
  <w:footnote w:id="9">
    <w:p>
      <w:pPr>
        <w:pStyle w:val="FootnoteText"/>
        <w:tabs>
          <w:tab w:val="left" w:pos="284"/>
        </w:tabs>
        <w:ind w:left="284" w:hanging="284"/>
        <w:rPr>
          <w:lang w:val="pt-PT"/>
        </w:rPr>
      </w:pPr>
      <w:r>
        <w:rPr>
          <w:rStyle w:val="FootnoteReference"/>
        </w:rPr>
        <w:footnoteRef/>
      </w:r>
      <w:r>
        <w:t xml:space="preserve"> </w:t>
      </w:r>
      <w:r>
        <w:tab/>
        <w:t>COM(2015) 240, 13.5.2015 г.</w:t>
      </w:r>
    </w:p>
  </w:footnote>
  <w:footnote w:id="10">
    <w:p>
      <w:pPr>
        <w:pStyle w:val="FootnoteText"/>
        <w:tabs>
          <w:tab w:val="left" w:pos="284"/>
        </w:tabs>
        <w:ind w:left="284" w:hanging="284"/>
        <w:rPr>
          <w:lang w:val="pt-PT"/>
        </w:rPr>
      </w:pPr>
      <w:r>
        <w:rPr>
          <w:rStyle w:val="FootnoteReference"/>
        </w:rPr>
        <w:footnoteRef/>
      </w:r>
      <w:r>
        <w:t xml:space="preserve"> </w:t>
      </w:r>
      <w:r>
        <w:tab/>
        <w:t>EUCO 26/16.</w:t>
      </w:r>
    </w:p>
  </w:footnote>
  <w:footnote w:id="11">
    <w:p>
      <w:pPr>
        <w:pStyle w:val="FootnoteText"/>
        <w:tabs>
          <w:tab w:val="left" w:pos="284"/>
        </w:tabs>
        <w:ind w:left="284" w:hanging="284"/>
      </w:pPr>
      <w:r>
        <w:rPr>
          <w:rStyle w:val="FootnoteReference"/>
        </w:rPr>
        <w:footnoteRef/>
      </w:r>
      <w:r>
        <w:t xml:space="preserve"> </w:t>
      </w:r>
      <w:r>
        <w:tab/>
        <w:t>COM(2016) 581, 14.9.2016 г.</w:t>
      </w:r>
    </w:p>
  </w:footnote>
  <w:footnote w:id="12">
    <w:p>
      <w:pPr>
        <w:pStyle w:val="FootnoteText"/>
        <w:tabs>
          <w:tab w:val="left" w:pos="284"/>
        </w:tabs>
        <w:ind w:left="284" w:hanging="284"/>
      </w:pPr>
      <w:r>
        <w:rPr>
          <w:rStyle w:val="FootnoteReference"/>
        </w:rPr>
        <w:footnoteRef/>
      </w:r>
      <w:r>
        <w:t xml:space="preserve"> </w:t>
      </w:r>
      <w:r>
        <w:tab/>
        <w:t>COM(2016) 586, 14.9.2016 г.</w:t>
      </w:r>
    </w:p>
  </w:footnote>
  <w:footnote w:id="13">
    <w:p>
      <w:pPr>
        <w:pStyle w:val="FootnoteText"/>
        <w:tabs>
          <w:tab w:val="left" w:pos="284"/>
        </w:tabs>
        <w:ind w:left="284" w:hanging="284"/>
      </w:pPr>
      <w:r>
        <w:rPr>
          <w:rStyle w:val="FootnoteReference"/>
        </w:rPr>
        <w:footnoteRef/>
      </w:r>
      <w:r>
        <w:t xml:space="preserve"> </w:t>
      </w:r>
      <w:r>
        <w:tab/>
        <w:t>COM(2016) 679 final, 17.10.2016 г.</w:t>
      </w:r>
    </w:p>
  </w:footnote>
  <w:footnote w:id="14">
    <w:p>
      <w:pPr>
        <w:pStyle w:val="FootnoteText"/>
        <w:tabs>
          <w:tab w:val="left" w:pos="284"/>
        </w:tabs>
        <w:ind w:left="284" w:hanging="284"/>
      </w:pPr>
      <w:r>
        <w:rPr>
          <w:rStyle w:val="FootnoteReference"/>
        </w:rPr>
        <w:footnoteRef/>
      </w:r>
      <w:r>
        <w:t xml:space="preserve"> </w:t>
      </w:r>
      <w:r>
        <w:tab/>
        <w:t xml:space="preserve">Законодателна резолюция на Европейския парламент от 1 декември 2016 г. относно съвместния проект на общ бюджет на Европейския съюз за финансовата 2017 година, одобрен от Помирителния комитет в рамките на бюджетната процедура (14635/2016 – C8-0470/2016 – </w:t>
      </w:r>
      <w:hyperlink r:id="rId1">
        <w:r>
          <w:rPr>
            <w:rStyle w:val="Hyperlink"/>
          </w:rPr>
          <w:t>2016/2047(BUD)</w:t>
        </w:r>
      </w:hyperlink>
      <w:r>
        <w:t>).</w:t>
      </w:r>
    </w:p>
  </w:footnote>
  <w:footnote w:id="15">
    <w:p>
      <w:pPr>
        <w:pStyle w:val="FootnoteText"/>
        <w:ind w:left="284" w:hanging="284"/>
      </w:pPr>
      <w:r>
        <w:rPr>
          <w:rStyle w:val="FootnoteReference"/>
        </w:rPr>
        <w:footnoteRef/>
      </w:r>
      <w:r>
        <w:t xml:space="preserve"> </w:t>
      </w:r>
      <w:r>
        <w:tab/>
        <w:t>COM(2017) 480, 28.7.2017 г.</w:t>
      </w:r>
    </w:p>
  </w:footnote>
  <w:footnote w:id="16">
    <w:p>
      <w:pPr>
        <w:pStyle w:val="FootnoteText"/>
        <w:ind w:left="284" w:hanging="284"/>
      </w:pPr>
      <w:r>
        <w:rPr>
          <w:rStyle w:val="FootnoteReference"/>
        </w:rPr>
        <w:footnoteRef/>
      </w:r>
      <w:r>
        <w:t xml:space="preserve"> </w:t>
      </w:r>
      <w:r>
        <w:tab/>
        <w:t>Регламент (EС, ЕВРАТОМ) 2017/1123 на Съвета от 20 юни 2017 г. (OВ L 163, 24.6.2017 г., стр. 1).</w:t>
      </w:r>
    </w:p>
  </w:footnote>
  <w:footnote w:id="17">
    <w:p>
      <w:pPr>
        <w:pStyle w:val="FootnoteText"/>
        <w:ind w:left="284" w:hanging="284"/>
      </w:pPr>
      <w:r>
        <w:rPr>
          <w:rStyle w:val="FootnoteReference"/>
        </w:rPr>
        <w:footnoteRef/>
      </w:r>
      <w:r>
        <w:tab/>
        <w:t>ОВ L 347, 20.12.2013 г., стр.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sz w:val="2"/>
        <w:szCs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sz w:val="2"/>
        <w:szCs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E49F88"/>
    <w:lvl w:ilvl="0">
      <w:start w:val="1"/>
      <w:numFmt w:val="decimal"/>
      <w:pStyle w:val="ListNumber5"/>
      <w:lvlText w:val="%1."/>
      <w:lvlJc w:val="left"/>
      <w:pPr>
        <w:tabs>
          <w:tab w:val="num" w:pos="1492"/>
        </w:tabs>
        <w:ind w:left="1492" w:hanging="360"/>
      </w:pPr>
    </w:lvl>
  </w:abstractNum>
  <w:abstractNum w:abstractNumId="1">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8"/>
    <w:multiLevelType w:val="singleLevel"/>
    <w:tmpl w:val="EA1A9734"/>
    <w:lvl w:ilvl="0">
      <w:start w:val="1"/>
      <w:numFmt w:val="decimal"/>
      <w:lvlText w:val="%1."/>
      <w:lvlJc w:val="left"/>
      <w:pPr>
        <w:tabs>
          <w:tab w:val="num" w:pos="360"/>
        </w:tabs>
        <w:ind w:left="360" w:hanging="360"/>
      </w:pPr>
    </w:lvl>
  </w:abstractNum>
  <w:abstractNum w:abstractNumId="3">
    <w:nsid w:val="04D63873"/>
    <w:multiLevelType w:val="multilevel"/>
    <w:tmpl w:val="86FE23B4"/>
    <w:lvl w:ilvl="0">
      <w:start w:val="1"/>
      <w:numFmt w:val="decimal"/>
      <w:lvlRestart w:val="0"/>
      <w:pStyle w:val="ListNumber"/>
      <w:lvlText w:val="(%1)"/>
      <w:lvlJc w:val="left"/>
      <w:pPr>
        <w:tabs>
          <w:tab w:val="num" w:pos="709"/>
        </w:tabs>
        <w:ind w:left="709" w:hanging="709"/>
      </w:pPr>
      <w:rPr>
        <w:rFonts w:hint="default"/>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8BE211A"/>
    <w:multiLevelType w:val="hybridMultilevel"/>
    <w:tmpl w:val="B8AAEDF2"/>
    <w:lvl w:ilvl="0" w:tplc="767E329A">
      <w:start w:val="1"/>
      <w:numFmt w:val="bullet"/>
      <w:lvlText w:val="-"/>
      <w:lvlJc w:val="left"/>
      <w:pPr>
        <w:ind w:left="720" w:hanging="360"/>
      </w:pPr>
      <w:rPr>
        <w:rFonts w:ascii="Times New Roman" w:eastAsia="Times New Roman" w:hAnsi="Times New Roman" w:cs="Times New Roman"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FF3F75"/>
    <w:multiLevelType w:val="hybridMultilevel"/>
    <w:tmpl w:val="A6E674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8">
    <w:nsid w:val="2CE46741"/>
    <w:multiLevelType w:val="hybridMultilevel"/>
    <w:tmpl w:val="CF823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82309E"/>
    <w:multiLevelType w:val="hybridMultilevel"/>
    <w:tmpl w:val="C55042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32A52C4F"/>
    <w:multiLevelType w:val="singleLevel"/>
    <w:tmpl w:val="CEFC5A24"/>
    <w:lvl w:ilvl="0">
      <w:start w:val="1"/>
      <w:numFmt w:val="bullet"/>
      <w:lvlRestart w:val="0"/>
      <w:pStyle w:val="Tiret0"/>
      <w:lvlText w:val="–"/>
      <w:lvlJc w:val="left"/>
      <w:pPr>
        <w:tabs>
          <w:tab w:val="num" w:pos="850"/>
        </w:tabs>
        <w:ind w:left="850" w:hanging="850"/>
      </w:pPr>
    </w:lvl>
  </w:abstractNum>
  <w:abstractNum w:abstractNumId="11">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2">
    <w:nsid w:val="40315490"/>
    <w:multiLevelType w:val="singleLevel"/>
    <w:tmpl w:val="1F86C700"/>
    <w:lvl w:ilvl="0">
      <w:start w:val="1"/>
      <w:numFmt w:val="bullet"/>
      <w:lvlRestart w:val="0"/>
      <w:lvlText w:val="–"/>
      <w:lvlJc w:val="left"/>
      <w:pPr>
        <w:tabs>
          <w:tab w:val="num" w:pos="283"/>
        </w:tabs>
        <w:ind w:left="283" w:hanging="283"/>
      </w:pPr>
      <w:rPr>
        <w:rFonts w:ascii="Times New Roman" w:hAnsi="Times New Roman" w:cs="Times New Roman"/>
      </w:rPr>
    </w:lvl>
  </w:abstractNum>
  <w:abstractNum w:abstractNumId="13">
    <w:nsid w:val="42B56982"/>
    <w:multiLevelType w:val="hybridMultilevel"/>
    <w:tmpl w:val="D0D27D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469A4672"/>
    <w:multiLevelType w:val="hybridMultilevel"/>
    <w:tmpl w:val="A9FA8E7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3290503"/>
    <w:multiLevelType w:val="hybridMultilevel"/>
    <w:tmpl w:val="ADD2FC7E"/>
    <w:lvl w:ilvl="0" w:tplc="767E329A">
      <w:start w:val="1"/>
      <w:numFmt w:val="bullet"/>
      <w:lvlText w:val="-"/>
      <w:lvlJc w:val="left"/>
      <w:pPr>
        <w:ind w:left="720" w:hanging="360"/>
      </w:pPr>
      <w:rPr>
        <w:rFonts w:ascii="Times New Roman" w:eastAsia="Times New Roman" w:hAnsi="Times New Roman" w:cs="Times New Roman"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F8C3B69"/>
    <w:multiLevelType w:val="multilevel"/>
    <w:tmpl w:val="C18A497C"/>
    <w:lvl w:ilvl="0">
      <w:start w:val="1"/>
      <w:numFmt w:val="decimal"/>
      <w:lvlRestart w:val="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9">
    <w:nsid w:val="72796537"/>
    <w:multiLevelType w:val="hybridMultilevel"/>
    <w:tmpl w:val="30743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2AC004F"/>
    <w:multiLevelType w:val="multilevel"/>
    <w:tmpl w:val="57CA7644"/>
    <w:lvl w:ilvl="0">
      <w:start w:val="1"/>
      <w:numFmt w:val="decimal"/>
      <w:lvlRestart w:val="0"/>
      <w:lvlText w:val="(%1)"/>
      <w:lvlJc w:val="left"/>
      <w:pPr>
        <w:tabs>
          <w:tab w:val="num" w:pos="709"/>
        </w:tabs>
        <w:ind w:left="709" w:hanging="709"/>
      </w:pPr>
      <w:rPr>
        <w:rFonts w:hint="default"/>
      </w:rPr>
    </w:lvl>
    <w:lvl w:ilvl="1">
      <w:start w:val="1"/>
      <w:numFmt w:val="lowerLetter"/>
      <w:lvlText w:val="(%2)"/>
      <w:lvlJc w:val="left"/>
      <w:pPr>
        <w:tabs>
          <w:tab w:val="num" w:pos="1417"/>
        </w:tabs>
        <w:ind w:left="1417" w:hanging="708"/>
      </w:pPr>
      <w:rPr>
        <w:rFonts w:hint="default"/>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0"/>
  </w:num>
  <w:num w:numId="2">
    <w:abstractNumId w:val="12"/>
  </w:num>
  <w:num w:numId="3">
    <w:abstractNumId w:val="18"/>
  </w:num>
  <w:num w:numId="4">
    <w:abstractNumId w:val="11"/>
  </w:num>
  <w:num w:numId="5">
    <w:abstractNumId w:val="7"/>
  </w:num>
  <w:num w:numId="6">
    <w:abstractNumId w:val="16"/>
  </w:num>
  <w:num w:numId="7">
    <w:abstractNumId w:val="6"/>
  </w:num>
  <w:num w:numId="8">
    <w:abstractNumId w:val="17"/>
  </w:num>
  <w:num w:numId="9">
    <w:abstractNumId w:val="0"/>
  </w:num>
  <w:num w:numId="10">
    <w:abstractNumId w:val="1"/>
  </w:num>
  <w:num w:numId="11">
    <w:abstractNumId w:val="9"/>
  </w:num>
  <w:num w:numId="12">
    <w:abstractNumId w:val="12"/>
  </w:num>
  <w:num w:numId="13">
    <w:abstractNumId w:val="13"/>
  </w:num>
  <w:num w:numId="14">
    <w:abstractNumId w:val="12"/>
  </w:num>
  <w:num w:numId="15">
    <w:abstractNumId w:val="12"/>
  </w:num>
  <w:num w:numId="16">
    <w:abstractNumId w:val="12"/>
  </w:num>
  <w:num w:numId="17">
    <w:abstractNumId w:val="5"/>
  </w:num>
  <w:num w:numId="18">
    <w:abstractNumId w:val="14"/>
  </w:num>
  <w:num w:numId="19">
    <w:abstractNumId w:val="19"/>
  </w:num>
  <w:num w:numId="20">
    <w:abstractNumId w:val="16"/>
  </w:num>
  <w:num w:numId="21">
    <w:abstractNumId w:val="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6"/>
  </w:num>
  <w:num w:numId="25">
    <w:abstractNumId w:val="16"/>
  </w:num>
  <w:num w:numId="26">
    <w:abstractNumId w:val="16"/>
  </w:num>
  <w:num w:numId="27">
    <w:abstractNumId w:val="20"/>
  </w:num>
  <w:num w:numId="28">
    <w:abstractNumId w:val="3"/>
  </w:num>
  <w:num w:numId="29">
    <w:abstractNumId w:val="3"/>
    <w:lvlOverride w:ilvl="0">
      <w:lvl w:ilvl="0">
        <w:start w:val="1"/>
        <w:numFmt w:val="decimal"/>
        <w:lvlRestart w:val="0"/>
        <w:pStyle w:val="ListNumber"/>
        <w:lvlText w:val="(%1)"/>
        <w:lvlJc w:val="left"/>
        <w:pPr>
          <w:tabs>
            <w:tab w:val="num" w:pos="709"/>
          </w:tabs>
          <w:ind w:left="709" w:hanging="709"/>
        </w:pPr>
        <w:rPr>
          <w:rFonts w:hint="default"/>
        </w:rPr>
      </w:lvl>
    </w:lvlOverride>
    <w:lvlOverride w:ilvl="1">
      <w:lvl w:ilvl="1">
        <w:start w:val="1"/>
        <w:numFmt w:val="lowerLetter"/>
        <w:pStyle w:val="ListNumberLevel2"/>
        <w:lvlText w:val="(%2)"/>
        <w:lvlJc w:val="left"/>
        <w:pPr>
          <w:tabs>
            <w:tab w:val="num" w:pos="1417"/>
          </w:tabs>
          <w:ind w:left="1417" w:hanging="708"/>
        </w:pPr>
        <w:rPr>
          <w:rFonts w:hint="default"/>
        </w:rPr>
      </w:lvl>
    </w:lvlOverride>
    <w:lvlOverride w:ilvl="2">
      <w:lvl w:ilvl="2">
        <w:start w:val="1"/>
        <w:numFmt w:val="bullet"/>
        <w:pStyle w:val="ListNumberLevel3"/>
        <w:lvlText w:val="–"/>
        <w:lvlJc w:val="left"/>
        <w:pPr>
          <w:tabs>
            <w:tab w:val="num" w:pos="2126"/>
          </w:tabs>
          <w:ind w:left="2126" w:hanging="709"/>
        </w:pPr>
        <w:rPr>
          <w:rFonts w:ascii="Times New Roman" w:hAnsi="Times New Roman" w:cs="Times New Roman" w:hint="default"/>
        </w:rPr>
      </w:lvl>
    </w:lvlOverride>
    <w:lvlOverride w:ilvl="3">
      <w:lvl w:ilvl="3">
        <w:start w:val="1"/>
        <w:numFmt w:val="bullet"/>
        <w:pStyle w:val="ListNumberLevel4"/>
        <w:lvlText w:val=""/>
        <w:lvlJc w:val="left"/>
        <w:pPr>
          <w:tabs>
            <w:tab w:val="num" w:pos="2835"/>
          </w:tabs>
          <w:ind w:left="2835" w:hanging="709"/>
        </w:pPr>
        <w:rPr>
          <w:rFonts w:ascii="Symbol" w:hAnsi="Symbol"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0">
    <w:abstractNumId w:val="3"/>
    <w:lvlOverride w:ilvl="0">
      <w:lvl w:ilvl="0">
        <w:start w:val="1"/>
        <w:numFmt w:val="decimal"/>
        <w:lvlRestart w:val="0"/>
        <w:pStyle w:val="ListNumber"/>
        <w:lvlText w:val="(%1)"/>
        <w:lvlJc w:val="left"/>
        <w:pPr>
          <w:tabs>
            <w:tab w:val="num" w:pos="709"/>
          </w:tabs>
          <w:ind w:left="709" w:hanging="709"/>
        </w:pPr>
        <w:rPr>
          <w:rFonts w:hint="default"/>
        </w:rPr>
      </w:lvl>
    </w:lvlOverride>
    <w:lvlOverride w:ilvl="1">
      <w:lvl w:ilvl="1">
        <w:start w:val="1"/>
        <w:numFmt w:val="lowerLetter"/>
        <w:pStyle w:val="ListNumberLevel2"/>
        <w:lvlText w:val="(%2)"/>
        <w:lvlJc w:val="left"/>
        <w:pPr>
          <w:tabs>
            <w:tab w:val="num" w:pos="1417"/>
          </w:tabs>
          <w:ind w:left="1417" w:hanging="708"/>
        </w:pPr>
        <w:rPr>
          <w:rFonts w:hint="default"/>
        </w:rPr>
      </w:lvl>
    </w:lvlOverride>
    <w:lvlOverride w:ilvl="2">
      <w:lvl w:ilvl="2">
        <w:start w:val="1"/>
        <w:numFmt w:val="bullet"/>
        <w:pStyle w:val="ListNumberLevel3"/>
        <w:lvlText w:val="–"/>
        <w:lvlJc w:val="left"/>
        <w:pPr>
          <w:tabs>
            <w:tab w:val="num" w:pos="2126"/>
          </w:tabs>
          <w:ind w:left="2126" w:hanging="709"/>
        </w:pPr>
        <w:rPr>
          <w:rFonts w:ascii="Times New Roman" w:hAnsi="Times New Roman" w:cs="Times New Roman" w:hint="default"/>
        </w:rPr>
      </w:lvl>
    </w:lvlOverride>
    <w:lvlOverride w:ilvl="3">
      <w:lvl w:ilvl="3">
        <w:start w:val="1"/>
        <w:numFmt w:val="bullet"/>
        <w:pStyle w:val="ListNumberLevel4"/>
        <w:lvlText w:val=""/>
        <w:lvlJc w:val="left"/>
        <w:pPr>
          <w:tabs>
            <w:tab w:val="num" w:pos="2835"/>
          </w:tabs>
          <w:ind w:left="2835" w:hanging="709"/>
        </w:pPr>
        <w:rPr>
          <w:rFonts w:ascii="Symbol" w:hAnsi="Symbol"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1">
    <w:abstractNumId w:val="3"/>
    <w:lvlOverride w:ilvl="0">
      <w:startOverride w:val="1"/>
      <w:lvl w:ilvl="0">
        <w:start w:val="1"/>
        <w:numFmt w:val="decimal"/>
        <w:lvlRestart w:val="0"/>
        <w:pStyle w:val="ListNumber"/>
        <w:lvlText w:val="(%1)"/>
        <w:lvlJc w:val="left"/>
        <w:pPr>
          <w:tabs>
            <w:tab w:val="num" w:pos="709"/>
          </w:tabs>
          <w:ind w:left="709" w:hanging="709"/>
        </w:pPr>
        <w:rPr>
          <w:rFonts w:hint="default"/>
        </w:rPr>
      </w:lvl>
    </w:lvlOverride>
    <w:lvlOverride w:ilvl="1">
      <w:startOverride w:val="1"/>
      <w:lvl w:ilvl="1">
        <w:start w:val="1"/>
        <w:numFmt w:val="lowerLetter"/>
        <w:pStyle w:val="ListNumberLevel2"/>
        <w:lvlText w:val="(%2)"/>
        <w:lvlJc w:val="left"/>
        <w:pPr>
          <w:tabs>
            <w:tab w:val="num" w:pos="1417"/>
          </w:tabs>
          <w:ind w:left="1417" w:hanging="708"/>
        </w:pPr>
        <w:rPr>
          <w:rFonts w:hint="default"/>
        </w:rPr>
      </w:lvl>
    </w:lvlOverride>
    <w:lvlOverride w:ilvl="2">
      <w:startOverride w:val="1"/>
      <w:lvl w:ilvl="2">
        <w:start w:val="1"/>
        <w:numFmt w:val="bullet"/>
        <w:pStyle w:val="ListNumberLevel3"/>
        <w:lvlText w:val="–"/>
        <w:lvlJc w:val="left"/>
        <w:pPr>
          <w:tabs>
            <w:tab w:val="num" w:pos="2126"/>
          </w:tabs>
          <w:ind w:left="2126" w:hanging="709"/>
        </w:pPr>
        <w:rPr>
          <w:rFonts w:ascii="Times New Roman" w:hAnsi="Times New Roman" w:cs="Times New Roman" w:hint="default"/>
        </w:rPr>
      </w:lvl>
    </w:lvlOverride>
    <w:lvlOverride w:ilvl="3">
      <w:startOverride w:val="1"/>
      <w:lvl w:ilvl="3">
        <w:start w:val="1"/>
        <w:numFmt w:val="bullet"/>
        <w:pStyle w:val="ListNumberLevel4"/>
        <w:lvlText w:val=""/>
        <w:lvlJc w:val="left"/>
        <w:pPr>
          <w:tabs>
            <w:tab w:val="num" w:pos="2835"/>
          </w:tabs>
          <w:ind w:left="2835" w:hanging="709"/>
        </w:pPr>
        <w:rPr>
          <w:rFonts w:ascii="Symbol" w:hAnsi="Symbol" w:hint="default"/>
        </w:rPr>
      </w:lvl>
    </w:lvlOverride>
    <w:lvlOverride w:ilvl="4">
      <w:startOverride w:val="1"/>
      <w:lvl w:ilvl="4">
        <w:start w:val="1"/>
        <w:numFmt w:val="lowerLetter"/>
        <w:lvlText w:val="(%5)"/>
        <w:lvlJc w:val="left"/>
        <w:pPr>
          <w:tabs>
            <w:tab w:val="num" w:pos="1800"/>
          </w:tabs>
          <w:ind w:left="1800" w:hanging="360"/>
        </w:pPr>
        <w:rPr>
          <w:rFonts w:hint="default"/>
        </w:rPr>
      </w:lvl>
    </w:lvlOverride>
    <w:lvlOverride w:ilvl="5">
      <w:startOverride w:val="1"/>
      <w:lvl w:ilvl="5">
        <w:start w:val="1"/>
        <w:numFmt w:val="lowerRoman"/>
        <w:lvlText w:val="(%6)"/>
        <w:lvlJc w:val="left"/>
        <w:pPr>
          <w:tabs>
            <w:tab w:val="num" w:pos="2160"/>
          </w:tabs>
          <w:ind w:left="2160" w:hanging="360"/>
        </w:pPr>
        <w:rPr>
          <w:rFonts w:hint="default"/>
        </w:rPr>
      </w:lvl>
    </w:lvlOverride>
    <w:lvlOverride w:ilvl="6">
      <w:startOverride w:val="1"/>
      <w:lvl w:ilvl="6">
        <w:start w:val="1"/>
        <w:numFmt w:val="decimal"/>
        <w:lvlText w:val="%7."/>
        <w:lvlJc w:val="left"/>
        <w:pPr>
          <w:tabs>
            <w:tab w:val="num" w:pos="2520"/>
          </w:tabs>
          <w:ind w:left="2520" w:hanging="360"/>
        </w:pPr>
        <w:rPr>
          <w:rFonts w:hint="default"/>
        </w:rPr>
      </w:lvl>
    </w:lvlOverride>
    <w:lvlOverride w:ilvl="7">
      <w:startOverride w:val="1"/>
      <w:lvl w:ilvl="7">
        <w:start w:val="1"/>
        <w:numFmt w:val="lowerLetter"/>
        <w:lvlText w:val="%8."/>
        <w:lvlJc w:val="left"/>
        <w:pPr>
          <w:tabs>
            <w:tab w:val="num" w:pos="2880"/>
          </w:tabs>
          <w:ind w:left="2880" w:hanging="360"/>
        </w:pPr>
        <w:rPr>
          <w:rFonts w:hint="default"/>
        </w:rPr>
      </w:lvl>
    </w:lvlOverride>
    <w:lvlOverride w:ilvl="8">
      <w:startOverride w:val="1"/>
      <w:lvl w:ilvl="8">
        <w:start w:val="1"/>
        <w:numFmt w:val="lowerRoman"/>
        <w:lvlText w:val="%9."/>
        <w:lvlJc w:val="left"/>
        <w:pPr>
          <w:tabs>
            <w:tab w:val="num" w:pos="3240"/>
          </w:tabs>
          <w:ind w:left="3240" w:hanging="360"/>
        </w:pPr>
        <w:rPr>
          <w:rFonts w:hint="default"/>
        </w:rPr>
      </w:lvl>
    </w:lvlOverride>
  </w:num>
  <w:num w:numId="32">
    <w:abstractNumId w:val="3"/>
    <w:lvlOverride w:ilvl="0">
      <w:startOverride w:val="1"/>
      <w:lvl w:ilvl="0">
        <w:start w:val="1"/>
        <w:numFmt w:val="decimal"/>
        <w:lvlRestart w:val="0"/>
        <w:pStyle w:val="ListNumber"/>
        <w:lvlText w:val="(%1)"/>
        <w:lvlJc w:val="left"/>
        <w:pPr>
          <w:tabs>
            <w:tab w:val="num" w:pos="709"/>
          </w:tabs>
          <w:ind w:left="709" w:hanging="709"/>
        </w:pPr>
        <w:rPr>
          <w:rFonts w:hint="default"/>
        </w:rPr>
      </w:lvl>
    </w:lvlOverride>
    <w:lvlOverride w:ilvl="1">
      <w:startOverride w:val="1"/>
      <w:lvl w:ilvl="1">
        <w:start w:val="1"/>
        <w:numFmt w:val="lowerLetter"/>
        <w:pStyle w:val="ListNumberLevel2"/>
        <w:lvlText w:val="(%2)"/>
        <w:lvlJc w:val="left"/>
        <w:pPr>
          <w:tabs>
            <w:tab w:val="num" w:pos="1417"/>
          </w:tabs>
          <w:ind w:left="1417" w:hanging="708"/>
        </w:pPr>
        <w:rPr>
          <w:rFonts w:hint="default"/>
        </w:rPr>
      </w:lvl>
    </w:lvlOverride>
    <w:lvlOverride w:ilvl="2">
      <w:startOverride w:val="1"/>
      <w:lvl w:ilvl="2">
        <w:start w:val="1"/>
        <w:numFmt w:val="bullet"/>
        <w:pStyle w:val="ListNumberLevel3"/>
        <w:lvlText w:val="–"/>
        <w:lvlJc w:val="left"/>
        <w:pPr>
          <w:tabs>
            <w:tab w:val="num" w:pos="2126"/>
          </w:tabs>
          <w:ind w:left="2126" w:hanging="709"/>
        </w:pPr>
        <w:rPr>
          <w:rFonts w:ascii="Times New Roman" w:hAnsi="Times New Roman" w:cs="Times New Roman" w:hint="default"/>
        </w:rPr>
      </w:lvl>
    </w:lvlOverride>
    <w:lvlOverride w:ilvl="3">
      <w:startOverride w:val="1"/>
      <w:lvl w:ilvl="3">
        <w:start w:val="1"/>
        <w:numFmt w:val="bullet"/>
        <w:pStyle w:val="ListNumberLevel4"/>
        <w:lvlText w:val=""/>
        <w:lvlJc w:val="left"/>
        <w:pPr>
          <w:tabs>
            <w:tab w:val="num" w:pos="2835"/>
          </w:tabs>
          <w:ind w:left="2835" w:hanging="709"/>
        </w:pPr>
        <w:rPr>
          <w:rFonts w:ascii="Symbol" w:hAnsi="Symbol" w:hint="default"/>
        </w:rPr>
      </w:lvl>
    </w:lvlOverride>
    <w:lvlOverride w:ilvl="4">
      <w:startOverride w:val="1"/>
      <w:lvl w:ilvl="4">
        <w:start w:val="1"/>
        <w:numFmt w:val="lowerLetter"/>
        <w:lvlText w:val="(%5)"/>
        <w:lvlJc w:val="left"/>
        <w:pPr>
          <w:tabs>
            <w:tab w:val="num" w:pos="1800"/>
          </w:tabs>
          <w:ind w:left="1800" w:hanging="360"/>
        </w:pPr>
        <w:rPr>
          <w:rFonts w:hint="default"/>
        </w:rPr>
      </w:lvl>
    </w:lvlOverride>
    <w:lvlOverride w:ilvl="5">
      <w:startOverride w:val="1"/>
      <w:lvl w:ilvl="5">
        <w:start w:val="1"/>
        <w:numFmt w:val="lowerRoman"/>
        <w:lvlText w:val="(%6)"/>
        <w:lvlJc w:val="left"/>
        <w:pPr>
          <w:tabs>
            <w:tab w:val="num" w:pos="2160"/>
          </w:tabs>
          <w:ind w:left="2160" w:hanging="360"/>
        </w:pPr>
        <w:rPr>
          <w:rFonts w:hint="default"/>
        </w:rPr>
      </w:lvl>
    </w:lvlOverride>
    <w:lvlOverride w:ilvl="6">
      <w:startOverride w:val="1"/>
      <w:lvl w:ilvl="6">
        <w:start w:val="1"/>
        <w:numFmt w:val="decimal"/>
        <w:lvlText w:val="%7."/>
        <w:lvlJc w:val="left"/>
        <w:pPr>
          <w:tabs>
            <w:tab w:val="num" w:pos="2520"/>
          </w:tabs>
          <w:ind w:left="2520" w:hanging="360"/>
        </w:pPr>
        <w:rPr>
          <w:rFonts w:hint="default"/>
        </w:rPr>
      </w:lvl>
    </w:lvlOverride>
    <w:lvlOverride w:ilvl="7">
      <w:startOverride w:val="1"/>
      <w:lvl w:ilvl="7">
        <w:start w:val="1"/>
        <w:numFmt w:val="lowerLetter"/>
        <w:lvlText w:val="%8."/>
        <w:lvlJc w:val="left"/>
        <w:pPr>
          <w:tabs>
            <w:tab w:val="num" w:pos="2880"/>
          </w:tabs>
          <w:ind w:left="2880" w:hanging="360"/>
        </w:pPr>
        <w:rPr>
          <w:rFonts w:hint="default"/>
        </w:rPr>
      </w:lvl>
    </w:lvlOverride>
    <w:lvlOverride w:ilvl="8">
      <w:startOverride w:val="1"/>
      <w:lvl w:ilvl="8">
        <w:start w:val="1"/>
        <w:numFmt w:val="lowerRoman"/>
        <w:lvlText w:val="%9."/>
        <w:lvlJc w:val="left"/>
        <w:pPr>
          <w:tabs>
            <w:tab w:val="num" w:pos="3240"/>
          </w:tabs>
          <w:ind w:left="3240" w:hanging="360"/>
        </w:pPr>
        <w:rPr>
          <w:rFonts w:hint="default"/>
        </w:rPr>
      </w:lvl>
    </w:lvlOverride>
  </w:num>
  <w:num w:numId="33">
    <w:abstractNumId w:val="15"/>
  </w:num>
  <w:num w:numId="34">
    <w:abstractNumId w:val="4"/>
  </w:num>
  <w:num w:numId="35">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20"/>
  <w:displayHorizontalDrawingGridEvery w:val="2"/>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2A39DEE4C884116BBF96FD9E163F366"/>
    <w:docVar w:name="LW_CROSSREFERENCE" w:val="&lt;UNUSED&gt;"/>
    <w:docVar w:name="LW_DocType" w:val="NORMAL"/>
    <w:docVar w:name="LW_EMISSION" w:val="28.7.2017"/>
    <w:docVar w:name="LW_EMISSION_ISODATE" w:val="2017-07-28"/>
    <w:docVar w:name="LW_EMISSION_LOCATION" w:val="BRX"/>
    <w:docVar w:name="LW_EMISSION_PREFIX" w:val="Брюксел, "/>
    <w:docVar w:name="LW_EMISSION_SUFFIX" w:val=" \u1075?."/>
    <w:docVar w:name="LW_ID_DOCTYPE_NONLW" w:val="CP-035"/>
    <w:docVar w:name="LW_LANGUE" w:val="BG"/>
    <w:docVar w:name="LW_MARKING" w:val="&lt;UNUSED&gt;"/>
    <w:docVar w:name="LW_NOM.INST" w:val="\u1045?\u1042?\u1056?\u1054?\u1055?\u1045?\u1049?\u1057?\u1050?\u1040? \u1050?\u1054?\u1052?\u1048?\u1057?\u1048?\u1071?"/>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485"/>
    <w:docVar w:name="LW_REF.INTERNE" w:val="&lt;UNUSED&gt;"/>
    <w:docVar w:name="LW_SOUS.TITRE.OBJ.CP" w:val="&lt;UNUSED&gt;"/>
    <w:docVar w:name="LW_SUPERTITRE" w:val="&lt;UNUSED&gt;"/>
    <w:docVar w:name="LW_TITRE.OBJ.CP" w:val="\u1079?\u1072? \u1086?\u1089?\u1080?\u1075?\u1091?\u1088?\u1103?\u1074?\u1072?\u1085?\u1077? \u1085?\u1072? \u1092?\u1080?\u1085?\u1072?\u1085?\u1089?\u1080?\u1088?\u1072?\u1085?\u1077?\u1090?\u1086? \u1079?\u1072? \u1045?\u1074?\u1088?\u1086?\u1087?\u1077?\u1081?\u1089?\u1082?\u1080?\u1103? \u1092?\u1086?\u1085?\u1076? \u1079?\u1072? \u1091?\u1089?\u1090?\u1086?\u1081?\u1095?\u1080?\u1074?\u1086? \u1088?\u1072?\u1079?\u1074?\u1080?\u1090?\u1080?\u1077? (\u1045?\u1060?\u1059?\u1056?) \u1080? \u1091?\u1074?\u1077?\u1083?\u1080?\u1095?\u1072?\u1074?\u1072?\u1085?\u1077? \u1085?\u1072? \u1088?\u1077?\u1079?\u1077?\u1088?\u1074?\u1072? \u1079?\u1072? \u1089?\u1087?\u1077?\u1096?\u1085?\u1072? \u1087?\u1086?\u1084?\u1086?\u1097? \u1074?\u1089?\u1083?\u1077?\u1076?\u1089?\u1090?\u1074?\u1080?\u1077? \u1085?\u1072? \u1087?\u1088?\u1077?\u1088?\u1072?\u1079?\u1075?\u1083?\u1077?\u1078?\u1076?\u1072?\u1085?\u1077?\u1090?\u1086? \u1085?\u1072? \u1056?\u1077?\u1075?\u1083?\u1072?\u1084?\u1077?\u1085?\u1090?\u1072? \u1079?\u1072? \u1084?\u1085?\u1086?\u1075?\u1086?\u1075?\u1086?\u1076?\u1080?\u1096?\u1085?\u1072?\u1090?\u1072? \u1092?\u1080?\u1085?\u1072?\u1085?\u1089?\u1086?\u1074?\u1072? \u1088?\u1072?\u1084?\u1082?\u1072?"/>
    <w:docVar w:name="LW_TITRE.OBJ.CP_PREVIOUS" w:val="&lt;UNUSED&gt;"/>
    <w:docVar w:name="LW_TYPE.DOC.CP" w:val="\u1055?\u1056?\u1054?\u1045?\u1050?\u1058? \u1053?\u1040? \u1050?\u1054?\u1056?\u1048?\u1043?\u1048?\u1056?\u1040?\u1065? \u1041?\u1070?\u1044?\u1046?\u1045?\u1058? \u8470? 5 \u1050?\u1066?\u1052? \u1041?\u1070?\u1044?\u1046?\u1045?\u1058?\u1040? \u1047?\u1040? 2017 \u1043?."/>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bg-BG"/>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qFormat="1"/>
    <w:lsdException w:name="footer" w:uiPriority="99"/>
    <w:lsdException w:name="caption" w:semiHidden="1" w:unhideWhenUsed="1" w:qFormat="1"/>
    <w:lsdException w:name="footnote reference" w:uiPriority="99"/>
    <w:lsdException w:name="List Bullet 3" w:uiPriority="99"/>
    <w:lsdException w:name="Title"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autoRedefine/>
    <w:qFormat/>
    <w:pPr>
      <w:keepNext/>
      <w:spacing w:before="240" w:after="120"/>
      <w:outlineLvl w:val="0"/>
    </w:pPr>
    <w:rPr>
      <w:rFonts w:ascii="Arial" w:hAnsi="Arial" w:cs="Arial"/>
      <w:b/>
      <w:bCs/>
      <w:kern w:val="32"/>
      <w:sz w:val="32"/>
      <w:szCs w:val="32"/>
    </w:rPr>
  </w:style>
  <w:style w:type="paragraph" w:styleId="Heading2">
    <w:name w:val="heading 2"/>
    <w:basedOn w:val="Normal"/>
    <w:next w:val="Normal"/>
    <w:autoRedefine/>
    <w:qFormat/>
    <w:pPr>
      <w:keepNext/>
      <w:spacing w:before="240" w:after="120"/>
      <w:ind w:left="720" w:hanging="720"/>
      <w:outlineLvl w:val="1"/>
    </w:pPr>
    <w:rPr>
      <w:rFonts w:ascii="Arial" w:hAnsi="Arial" w:cs="Arial"/>
      <w:b/>
      <w:bCs/>
      <w:i/>
      <w:iCs/>
      <w:sz w:val="28"/>
      <w:szCs w:val="28"/>
    </w:rPr>
  </w:style>
  <w:style w:type="paragraph" w:styleId="Heading3">
    <w:name w:val="heading 3"/>
    <w:basedOn w:val="Normal"/>
    <w:next w:val="Normal"/>
    <w:autoRedefine/>
    <w:qFormat/>
    <w:pPr>
      <w:keepNext/>
      <w:numPr>
        <w:ilvl w:val="2"/>
      </w:numPr>
      <w:tabs>
        <w:tab w:val="num" w:pos="850"/>
      </w:tabs>
      <w:spacing w:before="120" w:after="120"/>
      <w:ind w:left="850" w:hanging="850"/>
      <w:jc w:val="both"/>
      <w:outlineLvl w:val="2"/>
    </w:pPr>
    <w:rPr>
      <w:rFonts w:ascii="Arial" w:hAnsi="Arial" w:cs="Arial"/>
      <w:b/>
      <w:bCs/>
      <w:i/>
      <w:sz w:val="26"/>
      <w:szCs w:val="26"/>
    </w:rPr>
  </w:style>
  <w:style w:type="paragraph" w:styleId="Heading4">
    <w:name w:val="heading 4"/>
    <w:basedOn w:val="Normal"/>
    <w:next w:val="Normal"/>
    <w:qFormat/>
    <w:pPr>
      <w:keepNext/>
      <w:numPr>
        <w:ilvl w:val="3"/>
      </w:numPr>
      <w:tabs>
        <w:tab w:val="num" w:pos="1030"/>
      </w:tabs>
      <w:spacing w:before="120" w:after="120"/>
      <w:ind w:left="1030" w:hanging="850"/>
      <w:jc w:val="both"/>
      <w:outlineLvl w:val="3"/>
    </w:pPr>
    <w:rPr>
      <w:b/>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5"/>
        <w:tab w:val="right" w:pos="9071"/>
        <w:tab w:val="right" w:pos="9921"/>
      </w:tabs>
      <w:spacing w:before="360"/>
      <w:ind w:left="-850" w:right="-850"/>
    </w:pPr>
  </w:style>
  <w:style w:type="paragraph" w:styleId="FootnoteText">
    <w:name w:val="footnote text"/>
    <w:basedOn w:val="Normal"/>
    <w:link w:val="FootnoteTextChar"/>
    <w:pPr>
      <w:ind w:left="720" w:hanging="720"/>
      <w:jc w:val="both"/>
    </w:pPr>
    <w:rPr>
      <w:sz w:val="20"/>
      <w:szCs w:val="20"/>
    </w:rPr>
  </w:style>
  <w:style w:type="paragraph" w:styleId="TOC1">
    <w:name w:val="toc 1"/>
    <w:basedOn w:val="Normal"/>
    <w:next w:val="Normal"/>
    <w:uiPriority w:val="39"/>
    <w:qFormat/>
    <w:pPr>
      <w:spacing w:before="120" w:after="120"/>
    </w:pPr>
    <w:rPr>
      <w:b/>
      <w:bCs/>
      <w:caps/>
      <w:sz w:val="20"/>
      <w:szCs w:val="20"/>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uiPriority w:val="99"/>
    <w:rPr>
      <w:vertAlign w:val="superscript"/>
    </w:rPr>
  </w:style>
  <w:style w:type="paragraph" w:customStyle="1" w:styleId="Text1">
    <w:name w:val="Text 1"/>
    <w:basedOn w:val="Normal"/>
    <w:pPr>
      <w:spacing w:before="120" w:after="120"/>
      <w:ind w:left="850"/>
      <w:jc w:val="both"/>
    </w:pPr>
  </w:style>
  <w:style w:type="paragraph" w:customStyle="1" w:styleId="Tiret0">
    <w:name w:val="Tiret 0"/>
    <w:basedOn w:val="Normal"/>
    <w:pPr>
      <w:numPr>
        <w:numId w:val="1"/>
      </w:numPr>
      <w:spacing w:before="120" w:after="120"/>
      <w:jc w:val="both"/>
    </w:pPr>
  </w:style>
  <w:style w:type="paragraph" w:customStyle="1" w:styleId="ManualHeading1">
    <w:name w:val="Manual Heading 1"/>
    <w:basedOn w:val="Normal"/>
    <w:next w:val="Text1"/>
    <w:pPr>
      <w:keepNext/>
      <w:tabs>
        <w:tab w:val="left" w:pos="850"/>
      </w:tabs>
      <w:spacing w:before="240" w:after="120"/>
      <w:ind w:left="851" w:hanging="851"/>
      <w:jc w:val="both"/>
      <w:outlineLvl w:val="0"/>
    </w:pPr>
    <w:rPr>
      <w:b/>
      <w:smallCaps/>
      <w:noProof/>
    </w:rPr>
  </w:style>
  <w:style w:type="paragraph" w:customStyle="1" w:styleId="ManualHeading2">
    <w:name w:val="Manual Heading 2"/>
    <w:basedOn w:val="Normal"/>
    <w:next w:val="Normal"/>
    <w:pPr>
      <w:keepNext/>
      <w:tabs>
        <w:tab w:val="left" w:pos="850"/>
      </w:tabs>
      <w:spacing w:before="360" w:after="120"/>
      <w:ind w:left="850" w:hanging="850"/>
      <w:jc w:val="both"/>
      <w:outlineLvl w:val="1"/>
    </w:pPr>
    <w:rPr>
      <w:rFonts w:eastAsia="Calibri"/>
      <w:b/>
      <w:noProof/>
    </w:rPr>
  </w:style>
  <w:style w:type="paragraph" w:customStyle="1" w:styleId="ListDash">
    <w:name w:val="List Dash"/>
    <w:basedOn w:val="Normal"/>
    <w:link w:val="ListDashChar"/>
    <w:pPr>
      <w:spacing w:before="120" w:after="120"/>
      <w:jc w:val="both"/>
    </w:pPr>
  </w:style>
  <w:style w:type="paragraph" w:styleId="TOCHeading">
    <w:name w:val="TOC Heading"/>
    <w:basedOn w:val="Normal"/>
    <w:next w:val="Normal"/>
    <w:uiPriority w:val="39"/>
    <w:qFormat/>
    <w:pPr>
      <w:spacing w:before="120" w:after="240"/>
      <w:jc w:val="center"/>
    </w:pPr>
    <w:rPr>
      <w:b/>
      <w:sz w:val="28"/>
    </w:rPr>
  </w:style>
  <w:style w:type="paragraph" w:customStyle="1" w:styleId="Prliminairetitre">
    <w:name w:val="Préliminaire titre"/>
    <w:basedOn w:val="Normal"/>
    <w:next w:val="Normal"/>
    <w:pPr>
      <w:spacing w:before="360" w:after="360"/>
      <w:jc w:val="center"/>
    </w:pPr>
    <w:rPr>
      <w:b/>
    </w:rPr>
  </w:style>
  <w:style w:type="paragraph" w:customStyle="1" w:styleId="Prliminairetype">
    <w:name w:val="Préliminaire type"/>
    <w:basedOn w:val="Normal"/>
    <w:next w:val="Normal"/>
    <w:pPr>
      <w:spacing w:before="360"/>
      <w:jc w:val="center"/>
    </w:pPr>
    <w:rPr>
      <w:b/>
    </w:rPr>
  </w:style>
  <w:style w:type="character" w:styleId="Hyperlink">
    <w:name w:val="Hyperlink"/>
    <w:uiPriority w:val="99"/>
    <w:rPr>
      <w:color w:val="0000FF"/>
      <w:u w:val="single"/>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120" w:after="120"/>
      <w:jc w:val="both"/>
    </w:pPr>
  </w:style>
  <w:style w:type="paragraph" w:styleId="Header">
    <w:name w:val="header"/>
    <w:basedOn w:val="Normal"/>
    <w:pPr>
      <w:tabs>
        <w:tab w:val="center" w:pos="4536"/>
        <w:tab w:val="right" w:pos="9072"/>
      </w:tabs>
    </w:p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HeaderCoverPage">
    <w:name w:val="Header Cover Page"/>
    <w:basedOn w:val="Normal"/>
    <w:pPr>
      <w:tabs>
        <w:tab w:val="center" w:pos="4535"/>
        <w:tab w:val="right" w:pos="9071"/>
      </w:tabs>
      <w:spacing w:after="120"/>
      <w:jc w:val="both"/>
    </w:pPr>
  </w:style>
  <w:style w:type="paragraph" w:styleId="TOC2">
    <w:name w:val="toc 2"/>
    <w:basedOn w:val="Normal"/>
    <w:next w:val="Normal"/>
    <w:autoRedefine/>
    <w:uiPriority w:val="39"/>
    <w:qFormat/>
    <w:pPr>
      <w:tabs>
        <w:tab w:val="left" w:pos="720"/>
        <w:tab w:val="right" w:leader="dot" w:pos="9061"/>
      </w:tabs>
      <w:ind w:left="709" w:hanging="469"/>
    </w:pPr>
    <w:rPr>
      <w:smallCaps/>
      <w:sz w:val="20"/>
      <w:szCs w:val="20"/>
    </w:rPr>
  </w:style>
  <w:style w:type="paragraph" w:styleId="TOC3">
    <w:name w:val="toc 3"/>
    <w:basedOn w:val="Normal"/>
    <w:next w:val="Normal"/>
    <w:autoRedefine/>
    <w:semiHidden/>
    <w:qFormat/>
    <w:pPr>
      <w:ind w:left="480"/>
    </w:pPr>
    <w:rPr>
      <w:i/>
      <w:iCs/>
      <w:sz w:val="20"/>
      <w:szCs w:val="20"/>
    </w:rPr>
  </w:style>
  <w:style w:type="paragraph" w:styleId="TOC4">
    <w:name w:val="toc 4"/>
    <w:basedOn w:val="Normal"/>
    <w:next w:val="Normal"/>
    <w:autoRedefine/>
    <w:semiHidden/>
    <w:pPr>
      <w:ind w:left="720"/>
    </w:pPr>
    <w:rPr>
      <w:sz w:val="18"/>
      <w:szCs w:val="18"/>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styleId="ListBullet">
    <w:name w:val="List Bullet"/>
    <w:basedOn w:val="Normal"/>
    <w:pPr>
      <w:numPr>
        <w:numId w:val="3"/>
      </w:numPr>
      <w:spacing w:before="120" w:after="120"/>
      <w:jc w:val="both"/>
    </w:pPr>
  </w:style>
  <w:style w:type="paragraph" w:customStyle="1" w:styleId="ListDash2">
    <w:name w:val="List Dash 2"/>
    <w:basedOn w:val="Normal"/>
    <w:pPr>
      <w:tabs>
        <w:tab w:val="num" w:pos="1134"/>
      </w:tabs>
      <w:spacing w:before="120" w:after="120"/>
      <w:ind w:left="1134" w:hanging="283"/>
      <w:jc w:val="both"/>
    </w:pPr>
  </w:style>
  <w:style w:type="paragraph" w:customStyle="1" w:styleId="ListBullet1">
    <w:name w:val="List Bullet 1"/>
    <w:basedOn w:val="Text1"/>
    <w:pPr>
      <w:numPr>
        <w:numId w:val="4"/>
      </w:numPr>
      <w:spacing w:before="0" w:after="240"/>
    </w:pPr>
    <w:rPr>
      <w:szCs w:val="20"/>
    </w:rPr>
  </w:style>
  <w:style w:type="paragraph" w:styleId="ListBullet2">
    <w:name w:val="List Bullet 2"/>
    <w:basedOn w:val="Normal"/>
    <w:pPr>
      <w:numPr>
        <w:numId w:val="5"/>
      </w:numPr>
      <w:spacing w:after="240"/>
      <w:jc w:val="both"/>
    </w:pPr>
    <w:rPr>
      <w:szCs w:val="20"/>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paragraph" w:customStyle="1" w:styleId="Typedudocument">
    <w:name w:val="Type du document"/>
    <w:basedOn w:val="Normal"/>
    <w:next w:val="Titreobjet"/>
    <w:pPr>
      <w:spacing w:before="360"/>
      <w:jc w:val="center"/>
    </w:pPr>
    <w:rPr>
      <w:b/>
    </w:rPr>
  </w:style>
  <w:style w:type="paragraph" w:customStyle="1" w:styleId="Titreobjet">
    <w:name w:val="Titre objet"/>
    <w:basedOn w:val="Normal"/>
    <w:next w:val="Normal"/>
    <w:pPr>
      <w:spacing w:before="360" w:after="360"/>
      <w:jc w:val="center"/>
    </w:pPr>
    <w:rPr>
      <w:b/>
    </w:rPr>
  </w:style>
  <w:style w:type="character" w:styleId="Emphasis">
    <w:name w:val="Emphasis"/>
    <w:uiPriority w:val="20"/>
    <w:qFormat/>
    <w:rPr>
      <w:i/>
      <w:iCs/>
    </w:rPr>
  </w:style>
  <w:style w:type="paragraph" w:styleId="NormalWeb">
    <w:name w:val="Normal (Web)"/>
    <w:basedOn w:val="Normal"/>
    <w:pPr>
      <w:spacing w:before="100" w:beforeAutospacing="1" w:after="100" w:afterAutospacing="1"/>
    </w:pPr>
  </w:style>
  <w:style w:type="paragraph" w:customStyle="1" w:styleId="Text2">
    <w:name w:val="Text 2"/>
    <w:basedOn w:val="Normal"/>
    <w:pPr>
      <w:spacing w:before="120" w:after="120"/>
      <w:ind w:left="850"/>
      <w:jc w:val="both"/>
    </w:pPr>
  </w:style>
  <w:style w:type="paragraph" w:styleId="BalloonText">
    <w:name w:val="Balloon Text"/>
    <w:basedOn w:val="Normal"/>
    <w:semiHidden/>
    <w:rPr>
      <w:rFonts w:ascii="Tahoma" w:hAnsi="Tahoma" w:cs="Tahoma"/>
      <w:sz w:val="16"/>
      <w:szCs w:val="16"/>
    </w:rPr>
  </w:style>
  <w:style w:type="paragraph" w:styleId="ListNumber">
    <w:name w:val="List Number"/>
    <w:basedOn w:val="Normal"/>
    <w:pPr>
      <w:numPr>
        <w:numId w:val="28"/>
      </w:numPr>
      <w:spacing w:before="120" w:after="120"/>
      <w:jc w:val="both"/>
    </w:pPr>
  </w:style>
  <w:style w:type="paragraph" w:customStyle="1" w:styleId="ListNumberLevel2">
    <w:name w:val="List Number (Level 2)"/>
    <w:basedOn w:val="Normal"/>
    <w:pPr>
      <w:numPr>
        <w:ilvl w:val="1"/>
        <w:numId w:val="28"/>
      </w:numPr>
      <w:spacing w:before="120" w:after="120"/>
      <w:jc w:val="both"/>
    </w:pPr>
  </w:style>
  <w:style w:type="paragraph" w:customStyle="1" w:styleId="ListNumberLevel3">
    <w:name w:val="List Number (Level 3)"/>
    <w:basedOn w:val="Normal"/>
    <w:pPr>
      <w:numPr>
        <w:ilvl w:val="2"/>
        <w:numId w:val="28"/>
      </w:numPr>
      <w:spacing w:before="120" w:after="120"/>
      <w:jc w:val="both"/>
    </w:pPr>
  </w:style>
  <w:style w:type="paragraph" w:customStyle="1" w:styleId="ListNumberLevel4">
    <w:name w:val="List Number (Level 4)"/>
    <w:basedOn w:val="Normal"/>
    <w:pPr>
      <w:numPr>
        <w:ilvl w:val="3"/>
        <w:numId w:val="28"/>
      </w:numPr>
      <w:tabs>
        <w:tab w:val="clear" w:pos="2835"/>
        <w:tab w:val="num" w:pos="360"/>
      </w:tabs>
      <w:spacing w:before="120" w:after="120"/>
      <w:ind w:left="0" w:firstLine="0"/>
      <w:jc w:val="both"/>
    </w:pPr>
  </w:style>
  <w:style w:type="character" w:customStyle="1" w:styleId="ListDashChar">
    <w:name w:val="List Dash Char"/>
    <w:link w:val="ListDash"/>
    <w:rPr>
      <w:sz w:val="24"/>
      <w:szCs w:val="24"/>
      <w:lang w:eastAsia="bg-BG"/>
    </w:rPr>
  </w:style>
  <w:style w:type="paragraph" w:customStyle="1" w:styleId="StyleManualHeading2Italic">
    <w:name w:val="Style Manual Heading 2 + Italic"/>
    <w:basedOn w:val="ManualHeading2"/>
    <w:autoRedefine/>
    <w:pPr>
      <w:spacing w:before="160" w:after="160"/>
      <w:ind w:left="851" w:hanging="851"/>
    </w:pPr>
    <w:rPr>
      <w:bCs/>
      <w:i/>
      <w:iCs/>
    </w:rPr>
  </w:style>
  <w:style w:type="character" w:customStyle="1" w:styleId="FootnoteTextChar">
    <w:name w:val="Footnote Text Char"/>
    <w:link w:val="FootnoteText"/>
    <w:rPr>
      <w:lang w:eastAsia="bg-BG"/>
    </w:rPr>
  </w:style>
  <w:style w:type="paragraph" w:customStyle="1" w:styleId="NormalCentered">
    <w:name w:val="Normal Centered"/>
    <w:basedOn w:val="Normal"/>
    <w:uiPriority w:val="99"/>
    <w:pPr>
      <w:spacing w:before="120" w:after="120"/>
      <w:jc w:val="center"/>
    </w:pPr>
  </w:style>
  <w:style w:type="paragraph" w:customStyle="1" w:styleId="NormalRight">
    <w:name w:val="Normal Right"/>
    <w:basedOn w:val="Normal"/>
    <w:uiPriority w:val="99"/>
    <w:pPr>
      <w:spacing w:before="120" w:after="120"/>
      <w:jc w:val="right"/>
    </w:pPr>
  </w:style>
  <w:style w:type="paragraph" w:customStyle="1" w:styleId="NormalLeft">
    <w:name w:val="Normal Left"/>
    <w:basedOn w:val="Normal"/>
    <w:uiPriority w:val="99"/>
    <w:pPr>
      <w:spacing w:before="120" w:after="120"/>
    </w:pPr>
  </w:style>
  <w:style w:type="paragraph" w:styleId="Revision">
    <w:name w:val="Revision"/>
    <w:hidden/>
    <w:uiPriority w:val="99"/>
    <w:semiHidden/>
    <w:rPr>
      <w:sz w:val="24"/>
      <w:szCs w:val="24"/>
    </w:rPr>
  </w:style>
  <w:style w:type="paragraph" w:customStyle="1" w:styleId="Statut">
    <w:name w:val="Statut"/>
    <w:basedOn w:val="Normal"/>
    <w:next w:val="Typedudocument"/>
    <w:pPr>
      <w:spacing w:before="360"/>
      <w:jc w:val="center"/>
    </w:pPr>
    <w:rPr>
      <w:rFonts w:eastAsia="Calibri"/>
      <w:szCs w:val="22"/>
    </w:rPr>
  </w:style>
  <w:style w:type="paragraph" w:customStyle="1" w:styleId="Footnoter">
    <w:name w:val="Footnote r"/>
    <w:basedOn w:val="Normal"/>
    <w:pPr>
      <w:shd w:val="clear" w:color="auto" w:fill="F2F8FB"/>
      <w:spacing w:before="100" w:beforeAutospacing="1" w:after="100" w:afterAutospacing="1"/>
    </w:pPr>
    <w:rPr>
      <w:szCs w:val="22"/>
    </w:rPr>
  </w:style>
  <w:style w:type="character" w:customStyle="1" w:styleId="hps">
    <w:name w:val="hps"/>
  </w:style>
  <w:style w:type="paragraph" w:customStyle="1" w:styleId="Point0number">
    <w:name w:val="Point 0 (number)"/>
    <w:basedOn w:val="Normal"/>
    <w:uiPriority w:val="99"/>
    <w:pPr>
      <w:numPr>
        <w:numId w:val="7"/>
      </w:numPr>
      <w:spacing w:before="120" w:after="120"/>
      <w:jc w:val="both"/>
    </w:pPr>
    <w:rPr>
      <w:szCs w:val="22"/>
    </w:rPr>
  </w:style>
  <w:style w:type="paragraph" w:customStyle="1" w:styleId="Point1number">
    <w:name w:val="Point 1 (number)"/>
    <w:basedOn w:val="Normal"/>
    <w:uiPriority w:val="99"/>
    <w:pPr>
      <w:numPr>
        <w:ilvl w:val="2"/>
        <w:numId w:val="7"/>
      </w:numPr>
      <w:spacing w:before="120" w:after="120"/>
      <w:jc w:val="both"/>
    </w:pPr>
    <w:rPr>
      <w:szCs w:val="22"/>
    </w:rPr>
  </w:style>
  <w:style w:type="paragraph" w:customStyle="1" w:styleId="Point2number">
    <w:name w:val="Point 2 (number)"/>
    <w:basedOn w:val="Normal"/>
    <w:uiPriority w:val="99"/>
    <w:pPr>
      <w:numPr>
        <w:ilvl w:val="4"/>
        <w:numId w:val="7"/>
      </w:numPr>
      <w:spacing w:before="120" w:after="120"/>
      <w:jc w:val="both"/>
    </w:pPr>
    <w:rPr>
      <w:szCs w:val="22"/>
    </w:rPr>
  </w:style>
  <w:style w:type="paragraph" w:customStyle="1" w:styleId="Point3number">
    <w:name w:val="Point 3 (number)"/>
    <w:basedOn w:val="Normal"/>
    <w:uiPriority w:val="99"/>
    <w:pPr>
      <w:numPr>
        <w:ilvl w:val="6"/>
        <w:numId w:val="7"/>
      </w:numPr>
      <w:spacing w:before="120" w:after="120"/>
      <w:jc w:val="both"/>
    </w:pPr>
    <w:rPr>
      <w:szCs w:val="22"/>
    </w:rPr>
  </w:style>
  <w:style w:type="paragraph" w:customStyle="1" w:styleId="Point0letter">
    <w:name w:val="Point 0 (letter)"/>
    <w:basedOn w:val="Normal"/>
    <w:uiPriority w:val="99"/>
    <w:pPr>
      <w:numPr>
        <w:ilvl w:val="1"/>
        <w:numId w:val="7"/>
      </w:numPr>
      <w:spacing w:before="120" w:after="120"/>
      <w:jc w:val="both"/>
    </w:pPr>
    <w:rPr>
      <w:szCs w:val="22"/>
    </w:rPr>
  </w:style>
  <w:style w:type="paragraph" w:customStyle="1" w:styleId="Point1letter">
    <w:name w:val="Point 1 (letter)"/>
    <w:basedOn w:val="Normal"/>
    <w:uiPriority w:val="99"/>
    <w:pPr>
      <w:numPr>
        <w:ilvl w:val="3"/>
        <w:numId w:val="7"/>
      </w:numPr>
      <w:spacing w:before="120" w:after="120"/>
      <w:jc w:val="both"/>
    </w:pPr>
    <w:rPr>
      <w:szCs w:val="22"/>
    </w:rPr>
  </w:style>
  <w:style w:type="paragraph" w:customStyle="1" w:styleId="Point2letter">
    <w:name w:val="Point 2 (letter)"/>
    <w:basedOn w:val="Normal"/>
    <w:uiPriority w:val="99"/>
    <w:pPr>
      <w:numPr>
        <w:ilvl w:val="5"/>
        <w:numId w:val="7"/>
      </w:numPr>
      <w:spacing w:before="120" w:after="120"/>
      <w:jc w:val="both"/>
    </w:pPr>
    <w:rPr>
      <w:szCs w:val="22"/>
    </w:rPr>
  </w:style>
  <w:style w:type="paragraph" w:customStyle="1" w:styleId="Point3letter">
    <w:name w:val="Point 3 (letter)"/>
    <w:basedOn w:val="Normal"/>
    <w:uiPriority w:val="99"/>
    <w:pPr>
      <w:numPr>
        <w:ilvl w:val="7"/>
        <w:numId w:val="7"/>
      </w:numPr>
      <w:spacing w:before="120" w:after="120"/>
      <w:jc w:val="both"/>
    </w:pPr>
    <w:rPr>
      <w:szCs w:val="22"/>
    </w:rPr>
  </w:style>
  <w:style w:type="paragraph" w:customStyle="1" w:styleId="Point4letter">
    <w:name w:val="Point 4 (letter)"/>
    <w:basedOn w:val="Normal"/>
    <w:uiPriority w:val="99"/>
    <w:pPr>
      <w:numPr>
        <w:ilvl w:val="8"/>
        <w:numId w:val="7"/>
      </w:numPr>
      <w:spacing w:before="120" w:after="120"/>
      <w:jc w:val="both"/>
    </w:pPr>
    <w:rPr>
      <w:szCs w:val="22"/>
    </w:rPr>
  </w:style>
  <w:style w:type="paragraph" w:customStyle="1" w:styleId="Tiret2">
    <w:name w:val="Tiret 2"/>
    <w:basedOn w:val="Normal"/>
    <w:pPr>
      <w:numPr>
        <w:numId w:val="8"/>
      </w:numPr>
      <w:spacing w:before="120" w:after="120"/>
      <w:jc w:val="both"/>
    </w:pPr>
    <w:rPr>
      <w:szCs w:val="22"/>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pPr>
      <w:spacing w:after="200" w:line="276" w:lineRule="auto"/>
      <w:ind w:left="720"/>
      <w:contextualSpacing/>
    </w:pPr>
    <w:rPr>
      <w:rFonts w:ascii="Calibri" w:eastAsia="MS Mincho" w:hAnsi="Calibri"/>
      <w:sz w:val="22"/>
      <w:szCs w:val="22"/>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Calibri" w:eastAsia="MS Mincho" w:hAnsi="Calibri"/>
      <w:sz w:val="22"/>
      <w:szCs w:val="22"/>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styleId="ListNumber5">
    <w:name w:val="List Number 5"/>
    <w:basedOn w:val="Normal"/>
    <w:pPr>
      <w:numPr>
        <w:numId w:val="9"/>
      </w:numPr>
      <w:contextualSpacing/>
    </w:pPr>
  </w:style>
  <w:style w:type="character" w:styleId="Strong">
    <w:name w:val="Strong"/>
    <w:basedOn w:val="DefaultParagraphFont"/>
    <w:qFormat/>
    <w:rPr>
      <w:b/>
      <w:bCs/>
    </w:rPr>
  </w:style>
  <w:style w:type="paragraph" w:styleId="ListBullet3">
    <w:name w:val="List Bullet 3"/>
    <w:basedOn w:val="Normal"/>
    <w:uiPriority w:val="99"/>
    <w:unhideWhenUsed/>
    <w:pPr>
      <w:numPr>
        <w:numId w:val="10"/>
      </w:numPr>
      <w:spacing w:before="120" w:after="120"/>
      <w:contextualSpacing/>
      <w:jc w:val="both"/>
    </w:pPr>
    <w:rPr>
      <w:rFonts w:eastAsia="Calibri"/>
      <w:szCs w:val="22"/>
    </w:rPr>
  </w:style>
  <w:style w:type="paragraph" w:customStyle="1" w:styleId="Default">
    <w:name w:val="Default"/>
    <w:pPr>
      <w:autoSpaceDE w:val="0"/>
      <w:autoSpaceDN w:val="0"/>
      <w:adjustRightInd w:val="0"/>
    </w:pPr>
    <w:rPr>
      <w:color w:val="000000"/>
      <w:sz w:val="24"/>
      <w:szCs w:val="24"/>
    </w:rPr>
  </w:style>
  <w:style w:type="paragraph" w:customStyle="1" w:styleId="CM4">
    <w:name w:val="CM4"/>
    <w:basedOn w:val="Normal"/>
    <w:next w:val="Normal"/>
    <w:uiPriority w:val="99"/>
    <w:pPr>
      <w:autoSpaceDE w:val="0"/>
      <w:autoSpaceDN w:val="0"/>
      <w:adjustRightInd w:val="0"/>
    </w:pPr>
    <w:rPr>
      <w:rFonts w:ascii="EUAlbertina" w:hAnsi="EUAlbertina"/>
    </w:rPr>
  </w:style>
  <w:style w:type="character" w:customStyle="1" w:styleId="FooterChar">
    <w:name w:val="Footer Char"/>
    <w:basedOn w:val="DefaultParagraphFont"/>
    <w:link w:val="Footer"/>
    <w:uiPriority w:val="99"/>
    <w:rPr>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bg-BG"/>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qFormat="1"/>
    <w:lsdException w:name="footer" w:uiPriority="99"/>
    <w:lsdException w:name="caption" w:semiHidden="1" w:unhideWhenUsed="1" w:qFormat="1"/>
    <w:lsdException w:name="footnote reference" w:uiPriority="99"/>
    <w:lsdException w:name="List Bullet 3" w:uiPriority="99"/>
    <w:lsdException w:name="Title"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autoRedefine/>
    <w:qFormat/>
    <w:pPr>
      <w:keepNext/>
      <w:spacing w:before="240" w:after="120"/>
      <w:outlineLvl w:val="0"/>
    </w:pPr>
    <w:rPr>
      <w:rFonts w:ascii="Arial" w:hAnsi="Arial" w:cs="Arial"/>
      <w:b/>
      <w:bCs/>
      <w:kern w:val="32"/>
      <w:sz w:val="32"/>
      <w:szCs w:val="32"/>
    </w:rPr>
  </w:style>
  <w:style w:type="paragraph" w:styleId="Heading2">
    <w:name w:val="heading 2"/>
    <w:basedOn w:val="Normal"/>
    <w:next w:val="Normal"/>
    <w:autoRedefine/>
    <w:qFormat/>
    <w:pPr>
      <w:keepNext/>
      <w:spacing w:before="240" w:after="120"/>
      <w:ind w:left="720" w:hanging="720"/>
      <w:outlineLvl w:val="1"/>
    </w:pPr>
    <w:rPr>
      <w:rFonts w:ascii="Arial" w:hAnsi="Arial" w:cs="Arial"/>
      <w:b/>
      <w:bCs/>
      <w:i/>
      <w:iCs/>
      <w:sz w:val="28"/>
      <w:szCs w:val="28"/>
    </w:rPr>
  </w:style>
  <w:style w:type="paragraph" w:styleId="Heading3">
    <w:name w:val="heading 3"/>
    <w:basedOn w:val="Normal"/>
    <w:next w:val="Normal"/>
    <w:autoRedefine/>
    <w:qFormat/>
    <w:pPr>
      <w:keepNext/>
      <w:numPr>
        <w:ilvl w:val="2"/>
      </w:numPr>
      <w:tabs>
        <w:tab w:val="num" w:pos="850"/>
      </w:tabs>
      <w:spacing w:before="120" w:after="120"/>
      <w:ind w:left="850" w:hanging="850"/>
      <w:jc w:val="both"/>
      <w:outlineLvl w:val="2"/>
    </w:pPr>
    <w:rPr>
      <w:rFonts w:ascii="Arial" w:hAnsi="Arial" w:cs="Arial"/>
      <w:b/>
      <w:bCs/>
      <w:i/>
      <w:sz w:val="26"/>
      <w:szCs w:val="26"/>
    </w:rPr>
  </w:style>
  <w:style w:type="paragraph" w:styleId="Heading4">
    <w:name w:val="heading 4"/>
    <w:basedOn w:val="Normal"/>
    <w:next w:val="Normal"/>
    <w:qFormat/>
    <w:pPr>
      <w:keepNext/>
      <w:numPr>
        <w:ilvl w:val="3"/>
      </w:numPr>
      <w:tabs>
        <w:tab w:val="num" w:pos="1030"/>
      </w:tabs>
      <w:spacing w:before="120" w:after="120"/>
      <w:ind w:left="1030" w:hanging="850"/>
      <w:jc w:val="both"/>
      <w:outlineLvl w:val="3"/>
    </w:pPr>
    <w:rPr>
      <w:b/>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5"/>
        <w:tab w:val="right" w:pos="9071"/>
        <w:tab w:val="right" w:pos="9921"/>
      </w:tabs>
      <w:spacing w:before="360"/>
      <w:ind w:left="-850" w:right="-850"/>
    </w:pPr>
  </w:style>
  <w:style w:type="paragraph" w:styleId="FootnoteText">
    <w:name w:val="footnote text"/>
    <w:basedOn w:val="Normal"/>
    <w:link w:val="FootnoteTextChar"/>
    <w:pPr>
      <w:ind w:left="720" w:hanging="720"/>
      <w:jc w:val="both"/>
    </w:pPr>
    <w:rPr>
      <w:sz w:val="20"/>
      <w:szCs w:val="20"/>
    </w:rPr>
  </w:style>
  <w:style w:type="paragraph" w:styleId="TOC1">
    <w:name w:val="toc 1"/>
    <w:basedOn w:val="Normal"/>
    <w:next w:val="Normal"/>
    <w:uiPriority w:val="39"/>
    <w:qFormat/>
    <w:pPr>
      <w:spacing w:before="120" w:after="120"/>
    </w:pPr>
    <w:rPr>
      <w:b/>
      <w:bCs/>
      <w:caps/>
      <w:sz w:val="20"/>
      <w:szCs w:val="20"/>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uiPriority w:val="99"/>
    <w:rPr>
      <w:vertAlign w:val="superscript"/>
    </w:rPr>
  </w:style>
  <w:style w:type="paragraph" w:customStyle="1" w:styleId="Text1">
    <w:name w:val="Text 1"/>
    <w:basedOn w:val="Normal"/>
    <w:pPr>
      <w:spacing w:before="120" w:after="120"/>
      <w:ind w:left="850"/>
      <w:jc w:val="both"/>
    </w:pPr>
  </w:style>
  <w:style w:type="paragraph" w:customStyle="1" w:styleId="Tiret0">
    <w:name w:val="Tiret 0"/>
    <w:basedOn w:val="Normal"/>
    <w:pPr>
      <w:numPr>
        <w:numId w:val="1"/>
      </w:numPr>
      <w:spacing w:before="120" w:after="120"/>
      <w:jc w:val="both"/>
    </w:pPr>
  </w:style>
  <w:style w:type="paragraph" w:customStyle="1" w:styleId="ManualHeading1">
    <w:name w:val="Manual Heading 1"/>
    <w:basedOn w:val="Normal"/>
    <w:next w:val="Text1"/>
    <w:pPr>
      <w:keepNext/>
      <w:tabs>
        <w:tab w:val="left" w:pos="850"/>
      </w:tabs>
      <w:spacing w:before="240" w:after="120"/>
      <w:ind w:left="851" w:hanging="851"/>
      <w:jc w:val="both"/>
      <w:outlineLvl w:val="0"/>
    </w:pPr>
    <w:rPr>
      <w:b/>
      <w:smallCaps/>
      <w:noProof/>
    </w:rPr>
  </w:style>
  <w:style w:type="paragraph" w:customStyle="1" w:styleId="ManualHeading2">
    <w:name w:val="Manual Heading 2"/>
    <w:basedOn w:val="Normal"/>
    <w:next w:val="Normal"/>
    <w:pPr>
      <w:keepNext/>
      <w:tabs>
        <w:tab w:val="left" w:pos="850"/>
      </w:tabs>
      <w:spacing w:before="360" w:after="120"/>
      <w:ind w:left="850" w:hanging="850"/>
      <w:jc w:val="both"/>
      <w:outlineLvl w:val="1"/>
    </w:pPr>
    <w:rPr>
      <w:rFonts w:eastAsia="Calibri"/>
      <w:b/>
      <w:noProof/>
    </w:rPr>
  </w:style>
  <w:style w:type="paragraph" w:customStyle="1" w:styleId="ListDash">
    <w:name w:val="List Dash"/>
    <w:basedOn w:val="Normal"/>
    <w:link w:val="ListDashChar"/>
    <w:pPr>
      <w:spacing w:before="120" w:after="120"/>
      <w:jc w:val="both"/>
    </w:pPr>
  </w:style>
  <w:style w:type="paragraph" w:styleId="TOCHeading">
    <w:name w:val="TOC Heading"/>
    <w:basedOn w:val="Normal"/>
    <w:next w:val="Normal"/>
    <w:uiPriority w:val="39"/>
    <w:qFormat/>
    <w:pPr>
      <w:spacing w:before="120" w:after="240"/>
      <w:jc w:val="center"/>
    </w:pPr>
    <w:rPr>
      <w:b/>
      <w:sz w:val="28"/>
    </w:rPr>
  </w:style>
  <w:style w:type="paragraph" w:customStyle="1" w:styleId="Prliminairetitre">
    <w:name w:val="Préliminaire titre"/>
    <w:basedOn w:val="Normal"/>
    <w:next w:val="Normal"/>
    <w:pPr>
      <w:spacing w:before="360" w:after="360"/>
      <w:jc w:val="center"/>
    </w:pPr>
    <w:rPr>
      <w:b/>
    </w:rPr>
  </w:style>
  <w:style w:type="paragraph" w:customStyle="1" w:styleId="Prliminairetype">
    <w:name w:val="Préliminaire type"/>
    <w:basedOn w:val="Normal"/>
    <w:next w:val="Normal"/>
    <w:pPr>
      <w:spacing w:before="360"/>
      <w:jc w:val="center"/>
    </w:pPr>
    <w:rPr>
      <w:b/>
    </w:rPr>
  </w:style>
  <w:style w:type="character" w:styleId="Hyperlink">
    <w:name w:val="Hyperlink"/>
    <w:uiPriority w:val="99"/>
    <w:rPr>
      <w:color w:val="0000FF"/>
      <w:u w:val="single"/>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120" w:after="120"/>
      <w:jc w:val="both"/>
    </w:pPr>
  </w:style>
  <w:style w:type="paragraph" w:styleId="Header">
    <w:name w:val="header"/>
    <w:basedOn w:val="Normal"/>
    <w:pPr>
      <w:tabs>
        <w:tab w:val="center" w:pos="4536"/>
        <w:tab w:val="right" w:pos="9072"/>
      </w:tabs>
    </w:p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HeaderCoverPage">
    <w:name w:val="Header Cover Page"/>
    <w:basedOn w:val="Normal"/>
    <w:pPr>
      <w:tabs>
        <w:tab w:val="center" w:pos="4535"/>
        <w:tab w:val="right" w:pos="9071"/>
      </w:tabs>
      <w:spacing w:after="120"/>
      <w:jc w:val="both"/>
    </w:pPr>
  </w:style>
  <w:style w:type="paragraph" w:styleId="TOC2">
    <w:name w:val="toc 2"/>
    <w:basedOn w:val="Normal"/>
    <w:next w:val="Normal"/>
    <w:autoRedefine/>
    <w:uiPriority w:val="39"/>
    <w:qFormat/>
    <w:pPr>
      <w:tabs>
        <w:tab w:val="left" w:pos="720"/>
        <w:tab w:val="right" w:leader="dot" w:pos="9061"/>
      </w:tabs>
      <w:ind w:left="709" w:hanging="469"/>
    </w:pPr>
    <w:rPr>
      <w:smallCaps/>
      <w:sz w:val="20"/>
      <w:szCs w:val="20"/>
    </w:rPr>
  </w:style>
  <w:style w:type="paragraph" w:styleId="TOC3">
    <w:name w:val="toc 3"/>
    <w:basedOn w:val="Normal"/>
    <w:next w:val="Normal"/>
    <w:autoRedefine/>
    <w:semiHidden/>
    <w:qFormat/>
    <w:pPr>
      <w:ind w:left="480"/>
    </w:pPr>
    <w:rPr>
      <w:i/>
      <w:iCs/>
      <w:sz w:val="20"/>
      <w:szCs w:val="20"/>
    </w:rPr>
  </w:style>
  <w:style w:type="paragraph" w:styleId="TOC4">
    <w:name w:val="toc 4"/>
    <w:basedOn w:val="Normal"/>
    <w:next w:val="Normal"/>
    <w:autoRedefine/>
    <w:semiHidden/>
    <w:pPr>
      <w:ind w:left="720"/>
    </w:pPr>
    <w:rPr>
      <w:sz w:val="18"/>
      <w:szCs w:val="18"/>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styleId="ListBullet">
    <w:name w:val="List Bullet"/>
    <w:basedOn w:val="Normal"/>
    <w:pPr>
      <w:numPr>
        <w:numId w:val="3"/>
      </w:numPr>
      <w:spacing w:before="120" w:after="120"/>
      <w:jc w:val="both"/>
    </w:pPr>
  </w:style>
  <w:style w:type="paragraph" w:customStyle="1" w:styleId="ListDash2">
    <w:name w:val="List Dash 2"/>
    <w:basedOn w:val="Normal"/>
    <w:pPr>
      <w:tabs>
        <w:tab w:val="num" w:pos="1134"/>
      </w:tabs>
      <w:spacing w:before="120" w:after="120"/>
      <w:ind w:left="1134" w:hanging="283"/>
      <w:jc w:val="both"/>
    </w:pPr>
  </w:style>
  <w:style w:type="paragraph" w:customStyle="1" w:styleId="ListBullet1">
    <w:name w:val="List Bullet 1"/>
    <w:basedOn w:val="Text1"/>
    <w:pPr>
      <w:numPr>
        <w:numId w:val="4"/>
      </w:numPr>
      <w:spacing w:before="0" w:after="240"/>
    </w:pPr>
    <w:rPr>
      <w:szCs w:val="20"/>
    </w:rPr>
  </w:style>
  <w:style w:type="paragraph" w:styleId="ListBullet2">
    <w:name w:val="List Bullet 2"/>
    <w:basedOn w:val="Normal"/>
    <w:pPr>
      <w:numPr>
        <w:numId w:val="5"/>
      </w:numPr>
      <w:spacing w:after="240"/>
      <w:jc w:val="both"/>
    </w:pPr>
    <w:rPr>
      <w:szCs w:val="20"/>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paragraph" w:customStyle="1" w:styleId="Typedudocument">
    <w:name w:val="Type du document"/>
    <w:basedOn w:val="Normal"/>
    <w:next w:val="Titreobjet"/>
    <w:pPr>
      <w:spacing w:before="360"/>
      <w:jc w:val="center"/>
    </w:pPr>
    <w:rPr>
      <w:b/>
    </w:rPr>
  </w:style>
  <w:style w:type="paragraph" w:customStyle="1" w:styleId="Titreobjet">
    <w:name w:val="Titre objet"/>
    <w:basedOn w:val="Normal"/>
    <w:next w:val="Normal"/>
    <w:pPr>
      <w:spacing w:before="360" w:after="360"/>
      <w:jc w:val="center"/>
    </w:pPr>
    <w:rPr>
      <w:b/>
    </w:rPr>
  </w:style>
  <w:style w:type="character" w:styleId="Emphasis">
    <w:name w:val="Emphasis"/>
    <w:uiPriority w:val="20"/>
    <w:qFormat/>
    <w:rPr>
      <w:i/>
      <w:iCs/>
    </w:rPr>
  </w:style>
  <w:style w:type="paragraph" w:styleId="NormalWeb">
    <w:name w:val="Normal (Web)"/>
    <w:basedOn w:val="Normal"/>
    <w:pPr>
      <w:spacing w:before="100" w:beforeAutospacing="1" w:after="100" w:afterAutospacing="1"/>
    </w:pPr>
  </w:style>
  <w:style w:type="paragraph" w:customStyle="1" w:styleId="Text2">
    <w:name w:val="Text 2"/>
    <w:basedOn w:val="Normal"/>
    <w:pPr>
      <w:spacing w:before="120" w:after="120"/>
      <w:ind w:left="850"/>
      <w:jc w:val="both"/>
    </w:pPr>
  </w:style>
  <w:style w:type="paragraph" w:styleId="BalloonText">
    <w:name w:val="Balloon Text"/>
    <w:basedOn w:val="Normal"/>
    <w:semiHidden/>
    <w:rPr>
      <w:rFonts w:ascii="Tahoma" w:hAnsi="Tahoma" w:cs="Tahoma"/>
      <w:sz w:val="16"/>
      <w:szCs w:val="16"/>
    </w:rPr>
  </w:style>
  <w:style w:type="paragraph" w:styleId="ListNumber">
    <w:name w:val="List Number"/>
    <w:basedOn w:val="Normal"/>
    <w:pPr>
      <w:numPr>
        <w:numId w:val="28"/>
      </w:numPr>
      <w:spacing w:before="120" w:after="120"/>
      <w:jc w:val="both"/>
    </w:pPr>
  </w:style>
  <w:style w:type="paragraph" w:customStyle="1" w:styleId="ListNumberLevel2">
    <w:name w:val="List Number (Level 2)"/>
    <w:basedOn w:val="Normal"/>
    <w:pPr>
      <w:numPr>
        <w:ilvl w:val="1"/>
        <w:numId w:val="28"/>
      </w:numPr>
      <w:spacing w:before="120" w:after="120"/>
      <w:jc w:val="both"/>
    </w:pPr>
  </w:style>
  <w:style w:type="paragraph" w:customStyle="1" w:styleId="ListNumberLevel3">
    <w:name w:val="List Number (Level 3)"/>
    <w:basedOn w:val="Normal"/>
    <w:pPr>
      <w:numPr>
        <w:ilvl w:val="2"/>
        <w:numId w:val="28"/>
      </w:numPr>
      <w:spacing w:before="120" w:after="120"/>
      <w:jc w:val="both"/>
    </w:pPr>
  </w:style>
  <w:style w:type="paragraph" w:customStyle="1" w:styleId="ListNumberLevel4">
    <w:name w:val="List Number (Level 4)"/>
    <w:basedOn w:val="Normal"/>
    <w:pPr>
      <w:numPr>
        <w:ilvl w:val="3"/>
        <w:numId w:val="28"/>
      </w:numPr>
      <w:tabs>
        <w:tab w:val="clear" w:pos="2835"/>
        <w:tab w:val="num" w:pos="360"/>
      </w:tabs>
      <w:spacing w:before="120" w:after="120"/>
      <w:ind w:left="0" w:firstLine="0"/>
      <w:jc w:val="both"/>
    </w:pPr>
  </w:style>
  <w:style w:type="character" w:customStyle="1" w:styleId="ListDashChar">
    <w:name w:val="List Dash Char"/>
    <w:link w:val="ListDash"/>
    <w:rPr>
      <w:sz w:val="24"/>
      <w:szCs w:val="24"/>
      <w:lang w:eastAsia="bg-BG"/>
    </w:rPr>
  </w:style>
  <w:style w:type="paragraph" w:customStyle="1" w:styleId="StyleManualHeading2Italic">
    <w:name w:val="Style Manual Heading 2 + Italic"/>
    <w:basedOn w:val="ManualHeading2"/>
    <w:autoRedefine/>
    <w:pPr>
      <w:spacing w:before="160" w:after="160"/>
      <w:ind w:left="851" w:hanging="851"/>
    </w:pPr>
    <w:rPr>
      <w:bCs/>
      <w:i/>
      <w:iCs/>
    </w:rPr>
  </w:style>
  <w:style w:type="character" w:customStyle="1" w:styleId="FootnoteTextChar">
    <w:name w:val="Footnote Text Char"/>
    <w:link w:val="FootnoteText"/>
    <w:rPr>
      <w:lang w:eastAsia="bg-BG"/>
    </w:rPr>
  </w:style>
  <w:style w:type="paragraph" w:customStyle="1" w:styleId="NormalCentered">
    <w:name w:val="Normal Centered"/>
    <w:basedOn w:val="Normal"/>
    <w:uiPriority w:val="99"/>
    <w:pPr>
      <w:spacing w:before="120" w:after="120"/>
      <w:jc w:val="center"/>
    </w:pPr>
  </w:style>
  <w:style w:type="paragraph" w:customStyle="1" w:styleId="NormalRight">
    <w:name w:val="Normal Right"/>
    <w:basedOn w:val="Normal"/>
    <w:uiPriority w:val="99"/>
    <w:pPr>
      <w:spacing w:before="120" w:after="120"/>
      <w:jc w:val="right"/>
    </w:pPr>
  </w:style>
  <w:style w:type="paragraph" w:customStyle="1" w:styleId="NormalLeft">
    <w:name w:val="Normal Left"/>
    <w:basedOn w:val="Normal"/>
    <w:uiPriority w:val="99"/>
    <w:pPr>
      <w:spacing w:before="120" w:after="120"/>
    </w:pPr>
  </w:style>
  <w:style w:type="paragraph" w:styleId="Revision">
    <w:name w:val="Revision"/>
    <w:hidden/>
    <w:uiPriority w:val="99"/>
    <w:semiHidden/>
    <w:rPr>
      <w:sz w:val="24"/>
      <w:szCs w:val="24"/>
    </w:rPr>
  </w:style>
  <w:style w:type="paragraph" w:customStyle="1" w:styleId="Statut">
    <w:name w:val="Statut"/>
    <w:basedOn w:val="Normal"/>
    <w:next w:val="Typedudocument"/>
    <w:pPr>
      <w:spacing w:before="360"/>
      <w:jc w:val="center"/>
    </w:pPr>
    <w:rPr>
      <w:rFonts w:eastAsia="Calibri"/>
      <w:szCs w:val="22"/>
    </w:rPr>
  </w:style>
  <w:style w:type="paragraph" w:customStyle="1" w:styleId="Footnoter">
    <w:name w:val="Footnote r"/>
    <w:basedOn w:val="Normal"/>
    <w:pPr>
      <w:shd w:val="clear" w:color="auto" w:fill="F2F8FB"/>
      <w:spacing w:before="100" w:beforeAutospacing="1" w:after="100" w:afterAutospacing="1"/>
    </w:pPr>
    <w:rPr>
      <w:szCs w:val="22"/>
    </w:rPr>
  </w:style>
  <w:style w:type="character" w:customStyle="1" w:styleId="hps">
    <w:name w:val="hps"/>
  </w:style>
  <w:style w:type="paragraph" w:customStyle="1" w:styleId="Point0number">
    <w:name w:val="Point 0 (number)"/>
    <w:basedOn w:val="Normal"/>
    <w:uiPriority w:val="99"/>
    <w:pPr>
      <w:numPr>
        <w:numId w:val="7"/>
      </w:numPr>
      <w:spacing w:before="120" w:after="120"/>
      <w:jc w:val="both"/>
    </w:pPr>
    <w:rPr>
      <w:szCs w:val="22"/>
    </w:rPr>
  </w:style>
  <w:style w:type="paragraph" w:customStyle="1" w:styleId="Point1number">
    <w:name w:val="Point 1 (number)"/>
    <w:basedOn w:val="Normal"/>
    <w:uiPriority w:val="99"/>
    <w:pPr>
      <w:numPr>
        <w:ilvl w:val="2"/>
        <w:numId w:val="7"/>
      </w:numPr>
      <w:spacing w:before="120" w:after="120"/>
      <w:jc w:val="both"/>
    </w:pPr>
    <w:rPr>
      <w:szCs w:val="22"/>
    </w:rPr>
  </w:style>
  <w:style w:type="paragraph" w:customStyle="1" w:styleId="Point2number">
    <w:name w:val="Point 2 (number)"/>
    <w:basedOn w:val="Normal"/>
    <w:uiPriority w:val="99"/>
    <w:pPr>
      <w:numPr>
        <w:ilvl w:val="4"/>
        <w:numId w:val="7"/>
      </w:numPr>
      <w:spacing w:before="120" w:after="120"/>
      <w:jc w:val="both"/>
    </w:pPr>
    <w:rPr>
      <w:szCs w:val="22"/>
    </w:rPr>
  </w:style>
  <w:style w:type="paragraph" w:customStyle="1" w:styleId="Point3number">
    <w:name w:val="Point 3 (number)"/>
    <w:basedOn w:val="Normal"/>
    <w:uiPriority w:val="99"/>
    <w:pPr>
      <w:numPr>
        <w:ilvl w:val="6"/>
        <w:numId w:val="7"/>
      </w:numPr>
      <w:spacing w:before="120" w:after="120"/>
      <w:jc w:val="both"/>
    </w:pPr>
    <w:rPr>
      <w:szCs w:val="22"/>
    </w:rPr>
  </w:style>
  <w:style w:type="paragraph" w:customStyle="1" w:styleId="Point0letter">
    <w:name w:val="Point 0 (letter)"/>
    <w:basedOn w:val="Normal"/>
    <w:uiPriority w:val="99"/>
    <w:pPr>
      <w:numPr>
        <w:ilvl w:val="1"/>
        <w:numId w:val="7"/>
      </w:numPr>
      <w:spacing w:before="120" w:after="120"/>
      <w:jc w:val="both"/>
    </w:pPr>
    <w:rPr>
      <w:szCs w:val="22"/>
    </w:rPr>
  </w:style>
  <w:style w:type="paragraph" w:customStyle="1" w:styleId="Point1letter">
    <w:name w:val="Point 1 (letter)"/>
    <w:basedOn w:val="Normal"/>
    <w:uiPriority w:val="99"/>
    <w:pPr>
      <w:numPr>
        <w:ilvl w:val="3"/>
        <w:numId w:val="7"/>
      </w:numPr>
      <w:spacing w:before="120" w:after="120"/>
      <w:jc w:val="both"/>
    </w:pPr>
    <w:rPr>
      <w:szCs w:val="22"/>
    </w:rPr>
  </w:style>
  <w:style w:type="paragraph" w:customStyle="1" w:styleId="Point2letter">
    <w:name w:val="Point 2 (letter)"/>
    <w:basedOn w:val="Normal"/>
    <w:uiPriority w:val="99"/>
    <w:pPr>
      <w:numPr>
        <w:ilvl w:val="5"/>
        <w:numId w:val="7"/>
      </w:numPr>
      <w:spacing w:before="120" w:after="120"/>
      <w:jc w:val="both"/>
    </w:pPr>
    <w:rPr>
      <w:szCs w:val="22"/>
    </w:rPr>
  </w:style>
  <w:style w:type="paragraph" w:customStyle="1" w:styleId="Point3letter">
    <w:name w:val="Point 3 (letter)"/>
    <w:basedOn w:val="Normal"/>
    <w:uiPriority w:val="99"/>
    <w:pPr>
      <w:numPr>
        <w:ilvl w:val="7"/>
        <w:numId w:val="7"/>
      </w:numPr>
      <w:spacing w:before="120" w:after="120"/>
      <w:jc w:val="both"/>
    </w:pPr>
    <w:rPr>
      <w:szCs w:val="22"/>
    </w:rPr>
  </w:style>
  <w:style w:type="paragraph" w:customStyle="1" w:styleId="Point4letter">
    <w:name w:val="Point 4 (letter)"/>
    <w:basedOn w:val="Normal"/>
    <w:uiPriority w:val="99"/>
    <w:pPr>
      <w:numPr>
        <w:ilvl w:val="8"/>
        <w:numId w:val="7"/>
      </w:numPr>
      <w:spacing w:before="120" w:after="120"/>
      <w:jc w:val="both"/>
    </w:pPr>
    <w:rPr>
      <w:szCs w:val="22"/>
    </w:rPr>
  </w:style>
  <w:style w:type="paragraph" w:customStyle="1" w:styleId="Tiret2">
    <w:name w:val="Tiret 2"/>
    <w:basedOn w:val="Normal"/>
    <w:pPr>
      <w:numPr>
        <w:numId w:val="8"/>
      </w:numPr>
      <w:spacing w:before="120" w:after="120"/>
      <w:jc w:val="both"/>
    </w:pPr>
    <w:rPr>
      <w:szCs w:val="22"/>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pPr>
      <w:spacing w:after="200" w:line="276" w:lineRule="auto"/>
      <w:ind w:left="720"/>
      <w:contextualSpacing/>
    </w:pPr>
    <w:rPr>
      <w:rFonts w:ascii="Calibri" w:eastAsia="MS Mincho" w:hAnsi="Calibri"/>
      <w:sz w:val="22"/>
      <w:szCs w:val="22"/>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Pr>
      <w:rFonts w:ascii="Calibri" w:eastAsia="MS Mincho" w:hAnsi="Calibri"/>
      <w:sz w:val="22"/>
      <w:szCs w:val="22"/>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styleId="ListNumber5">
    <w:name w:val="List Number 5"/>
    <w:basedOn w:val="Normal"/>
    <w:pPr>
      <w:numPr>
        <w:numId w:val="9"/>
      </w:numPr>
      <w:contextualSpacing/>
    </w:pPr>
  </w:style>
  <w:style w:type="character" w:styleId="Strong">
    <w:name w:val="Strong"/>
    <w:basedOn w:val="DefaultParagraphFont"/>
    <w:qFormat/>
    <w:rPr>
      <w:b/>
      <w:bCs/>
    </w:rPr>
  </w:style>
  <w:style w:type="paragraph" w:styleId="ListBullet3">
    <w:name w:val="List Bullet 3"/>
    <w:basedOn w:val="Normal"/>
    <w:uiPriority w:val="99"/>
    <w:unhideWhenUsed/>
    <w:pPr>
      <w:numPr>
        <w:numId w:val="10"/>
      </w:numPr>
      <w:spacing w:before="120" w:after="120"/>
      <w:contextualSpacing/>
      <w:jc w:val="both"/>
    </w:pPr>
    <w:rPr>
      <w:rFonts w:eastAsia="Calibri"/>
      <w:szCs w:val="22"/>
    </w:rPr>
  </w:style>
  <w:style w:type="paragraph" w:customStyle="1" w:styleId="Default">
    <w:name w:val="Default"/>
    <w:pPr>
      <w:autoSpaceDE w:val="0"/>
      <w:autoSpaceDN w:val="0"/>
      <w:adjustRightInd w:val="0"/>
    </w:pPr>
    <w:rPr>
      <w:color w:val="000000"/>
      <w:sz w:val="24"/>
      <w:szCs w:val="24"/>
    </w:rPr>
  </w:style>
  <w:style w:type="paragraph" w:customStyle="1" w:styleId="CM4">
    <w:name w:val="CM4"/>
    <w:basedOn w:val="Normal"/>
    <w:next w:val="Normal"/>
    <w:uiPriority w:val="99"/>
    <w:pPr>
      <w:autoSpaceDE w:val="0"/>
      <w:autoSpaceDN w:val="0"/>
      <w:adjustRightInd w:val="0"/>
    </w:pPr>
    <w:rPr>
      <w:rFonts w:ascii="EUAlbertina" w:hAnsi="EUAlbertina"/>
    </w:rPr>
  </w:style>
  <w:style w:type="character" w:customStyle="1" w:styleId="FooterChar">
    <w:name w:val="Footer Char"/>
    <w:basedOn w:val="DefaultParagraphFont"/>
    <w:link w:val="Footer"/>
    <w:uiPriority w:val="99"/>
    <w:rPr>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91381">
      <w:bodyDiv w:val="1"/>
      <w:marLeft w:val="0"/>
      <w:marRight w:val="0"/>
      <w:marTop w:val="0"/>
      <w:marBottom w:val="0"/>
      <w:divBdr>
        <w:top w:val="none" w:sz="0" w:space="0" w:color="auto"/>
        <w:left w:val="none" w:sz="0" w:space="0" w:color="auto"/>
        <w:bottom w:val="none" w:sz="0" w:space="0" w:color="auto"/>
        <w:right w:val="none" w:sz="0" w:space="0" w:color="auto"/>
      </w:divBdr>
    </w:div>
    <w:div w:id="77798609">
      <w:bodyDiv w:val="1"/>
      <w:marLeft w:val="0"/>
      <w:marRight w:val="0"/>
      <w:marTop w:val="0"/>
      <w:marBottom w:val="0"/>
      <w:divBdr>
        <w:top w:val="none" w:sz="0" w:space="0" w:color="auto"/>
        <w:left w:val="none" w:sz="0" w:space="0" w:color="auto"/>
        <w:bottom w:val="none" w:sz="0" w:space="0" w:color="auto"/>
        <w:right w:val="none" w:sz="0" w:space="0" w:color="auto"/>
      </w:divBdr>
    </w:div>
    <w:div w:id="127286090">
      <w:bodyDiv w:val="1"/>
      <w:marLeft w:val="0"/>
      <w:marRight w:val="0"/>
      <w:marTop w:val="0"/>
      <w:marBottom w:val="0"/>
      <w:divBdr>
        <w:top w:val="none" w:sz="0" w:space="0" w:color="auto"/>
        <w:left w:val="none" w:sz="0" w:space="0" w:color="auto"/>
        <w:bottom w:val="none" w:sz="0" w:space="0" w:color="auto"/>
        <w:right w:val="none" w:sz="0" w:space="0" w:color="auto"/>
      </w:divBdr>
      <w:divsChild>
        <w:div w:id="1952855758">
          <w:marLeft w:val="0"/>
          <w:marRight w:val="0"/>
          <w:marTop w:val="0"/>
          <w:marBottom w:val="0"/>
          <w:divBdr>
            <w:top w:val="none" w:sz="0" w:space="0" w:color="auto"/>
            <w:left w:val="none" w:sz="0" w:space="0" w:color="auto"/>
            <w:bottom w:val="none" w:sz="0" w:space="0" w:color="auto"/>
            <w:right w:val="none" w:sz="0" w:space="0" w:color="auto"/>
          </w:divBdr>
          <w:divsChild>
            <w:div w:id="1936203364">
              <w:marLeft w:val="0"/>
              <w:marRight w:val="0"/>
              <w:marTop w:val="0"/>
              <w:marBottom w:val="0"/>
              <w:divBdr>
                <w:top w:val="none" w:sz="0" w:space="0" w:color="auto"/>
                <w:left w:val="none" w:sz="0" w:space="0" w:color="auto"/>
                <w:bottom w:val="none" w:sz="0" w:space="0" w:color="auto"/>
                <w:right w:val="none" w:sz="0" w:space="0" w:color="auto"/>
              </w:divBdr>
              <w:divsChild>
                <w:div w:id="1099984863">
                  <w:marLeft w:val="0"/>
                  <w:marRight w:val="0"/>
                  <w:marTop w:val="0"/>
                  <w:marBottom w:val="0"/>
                  <w:divBdr>
                    <w:top w:val="none" w:sz="0" w:space="0" w:color="auto"/>
                    <w:left w:val="none" w:sz="0" w:space="0" w:color="auto"/>
                    <w:bottom w:val="none" w:sz="0" w:space="0" w:color="auto"/>
                    <w:right w:val="none" w:sz="0" w:space="0" w:color="auto"/>
                  </w:divBdr>
                  <w:divsChild>
                    <w:div w:id="1203328141">
                      <w:marLeft w:val="1"/>
                      <w:marRight w:val="1"/>
                      <w:marTop w:val="0"/>
                      <w:marBottom w:val="0"/>
                      <w:divBdr>
                        <w:top w:val="none" w:sz="0" w:space="0" w:color="auto"/>
                        <w:left w:val="none" w:sz="0" w:space="0" w:color="auto"/>
                        <w:bottom w:val="none" w:sz="0" w:space="0" w:color="auto"/>
                        <w:right w:val="none" w:sz="0" w:space="0" w:color="auto"/>
                      </w:divBdr>
                      <w:divsChild>
                        <w:div w:id="1936546657">
                          <w:marLeft w:val="0"/>
                          <w:marRight w:val="0"/>
                          <w:marTop w:val="0"/>
                          <w:marBottom w:val="0"/>
                          <w:divBdr>
                            <w:top w:val="none" w:sz="0" w:space="0" w:color="auto"/>
                            <w:left w:val="none" w:sz="0" w:space="0" w:color="auto"/>
                            <w:bottom w:val="none" w:sz="0" w:space="0" w:color="auto"/>
                            <w:right w:val="none" w:sz="0" w:space="0" w:color="auto"/>
                          </w:divBdr>
                          <w:divsChild>
                            <w:div w:id="1022240160">
                              <w:marLeft w:val="0"/>
                              <w:marRight w:val="0"/>
                              <w:marTop w:val="0"/>
                              <w:marBottom w:val="360"/>
                              <w:divBdr>
                                <w:top w:val="none" w:sz="0" w:space="0" w:color="auto"/>
                                <w:left w:val="none" w:sz="0" w:space="0" w:color="auto"/>
                                <w:bottom w:val="none" w:sz="0" w:space="0" w:color="auto"/>
                                <w:right w:val="none" w:sz="0" w:space="0" w:color="auto"/>
                              </w:divBdr>
                              <w:divsChild>
                                <w:div w:id="1375350455">
                                  <w:marLeft w:val="0"/>
                                  <w:marRight w:val="0"/>
                                  <w:marTop w:val="0"/>
                                  <w:marBottom w:val="0"/>
                                  <w:divBdr>
                                    <w:top w:val="none" w:sz="0" w:space="0" w:color="auto"/>
                                    <w:left w:val="none" w:sz="0" w:space="0" w:color="auto"/>
                                    <w:bottom w:val="none" w:sz="0" w:space="0" w:color="auto"/>
                                    <w:right w:val="none" w:sz="0" w:space="0" w:color="auto"/>
                                  </w:divBdr>
                                  <w:divsChild>
                                    <w:div w:id="154732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38071">
      <w:bodyDiv w:val="1"/>
      <w:marLeft w:val="0"/>
      <w:marRight w:val="0"/>
      <w:marTop w:val="0"/>
      <w:marBottom w:val="0"/>
      <w:divBdr>
        <w:top w:val="none" w:sz="0" w:space="0" w:color="auto"/>
        <w:left w:val="none" w:sz="0" w:space="0" w:color="auto"/>
        <w:bottom w:val="none" w:sz="0" w:space="0" w:color="auto"/>
        <w:right w:val="none" w:sz="0" w:space="0" w:color="auto"/>
      </w:divBdr>
    </w:div>
    <w:div w:id="203250459">
      <w:bodyDiv w:val="1"/>
      <w:marLeft w:val="0"/>
      <w:marRight w:val="0"/>
      <w:marTop w:val="0"/>
      <w:marBottom w:val="0"/>
      <w:divBdr>
        <w:top w:val="none" w:sz="0" w:space="0" w:color="auto"/>
        <w:left w:val="none" w:sz="0" w:space="0" w:color="auto"/>
        <w:bottom w:val="none" w:sz="0" w:space="0" w:color="auto"/>
        <w:right w:val="none" w:sz="0" w:space="0" w:color="auto"/>
      </w:divBdr>
    </w:div>
    <w:div w:id="217861079">
      <w:bodyDiv w:val="1"/>
      <w:marLeft w:val="0"/>
      <w:marRight w:val="0"/>
      <w:marTop w:val="0"/>
      <w:marBottom w:val="0"/>
      <w:divBdr>
        <w:top w:val="none" w:sz="0" w:space="0" w:color="auto"/>
        <w:left w:val="none" w:sz="0" w:space="0" w:color="auto"/>
        <w:bottom w:val="none" w:sz="0" w:space="0" w:color="auto"/>
        <w:right w:val="none" w:sz="0" w:space="0" w:color="auto"/>
      </w:divBdr>
    </w:div>
    <w:div w:id="280889594">
      <w:bodyDiv w:val="1"/>
      <w:marLeft w:val="0"/>
      <w:marRight w:val="0"/>
      <w:marTop w:val="0"/>
      <w:marBottom w:val="0"/>
      <w:divBdr>
        <w:top w:val="none" w:sz="0" w:space="0" w:color="auto"/>
        <w:left w:val="none" w:sz="0" w:space="0" w:color="auto"/>
        <w:bottom w:val="none" w:sz="0" w:space="0" w:color="auto"/>
        <w:right w:val="none" w:sz="0" w:space="0" w:color="auto"/>
      </w:divBdr>
    </w:div>
    <w:div w:id="354623949">
      <w:bodyDiv w:val="1"/>
      <w:marLeft w:val="0"/>
      <w:marRight w:val="0"/>
      <w:marTop w:val="0"/>
      <w:marBottom w:val="0"/>
      <w:divBdr>
        <w:top w:val="none" w:sz="0" w:space="0" w:color="auto"/>
        <w:left w:val="none" w:sz="0" w:space="0" w:color="auto"/>
        <w:bottom w:val="none" w:sz="0" w:space="0" w:color="auto"/>
        <w:right w:val="none" w:sz="0" w:space="0" w:color="auto"/>
      </w:divBdr>
    </w:div>
    <w:div w:id="369914543">
      <w:bodyDiv w:val="1"/>
      <w:marLeft w:val="0"/>
      <w:marRight w:val="0"/>
      <w:marTop w:val="0"/>
      <w:marBottom w:val="0"/>
      <w:divBdr>
        <w:top w:val="none" w:sz="0" w:space="0" w:color="auto"/>
        <w:left w:val="none" w:sz="0" w:space="0" w:color="auto"/>
        <w:bottom w:val="none" w:sz="0" w:space="0" w:color="auto"/>
        <w:right w:val="none" w:sz="0" w:space="0" w:color="auto"/>
      </w:divBdr>
    </w:div>
    <w:div w:id="370612037">
      <w:bodyDiv w:val="1"/>
      <w:marLeft w:val="0"/>
      <w:marRight w:val="0"/>
      <w:marTop w:val="0"/>
      <w:marBottom w:val="0"/>
      <w:divBdr>
        <w:top w:val="none" w:sz="0" w:space="0" w:color="auto"/>
        <w:left w:val="none" w:sz="0" w:space="0" w:color="auto"/>
        <w:bottom w:val="none" w:sz="0" w:space="0" w:color="auto"/>
        <w:right w:val="none" w:sz="0" w:space="0" w:color="auto"/>
      </w:divBdr>
    </w:div>
    <w:div w:id="383987845">
      <w:bodyDiv w:val="1"/>
      <w:marLeft w:val="0"/>
      <w:marRight w:val="0"/>
      <w:marTop w:val="0"/>
      <w:marBottom w:val="0"/>
      <w:divBdr>
        <w:top w:val="none" w:sz="0" w:space="0" w:color="auto"/>
        <w:left w:val="none" w:sz="0" w:space="0" w:color="auto"/>
        <w:bottom w:val="none" w:sz="0" w:space="0" w:color="auto"/>
        <w:right w:val="none" w:sz="0" w:space="0" w:color="auto"/>
      </w:divBdr>
    </w:div>
    <w:div w:id="390540002">
      <w:bodyDiv w:val="1"/>
      <w:marLeft w:val="0"/>
      <w:marRight w:val="0"/>
      <w:marTop w:val="0"/>
      <w:marBottom w:val="0"/>
      <w:divBdr>
        <w:top w:val="none" w:sz="0" w:space="0" w:color="auto"/>
        <w:left w:val="none" w:sz="0" w:space="0" w:color="auto"/>
        <w:bottom w:val="none" w:sz="0" w:space="0" w:color="auto"/>
        <w:right w:val="none" w:sz="0" w:space="0" w:color="auto"/>
      </w:divBdr>
    </w:div>
    <w:div w:id="397410386">
      <w:bodyDiv w:val="1"/>
      <w:marLeft w:val="0"/>
      <w:marRight w:val="0"/>
      <w:marTop w:val="0"/>
      <w:marBottom w:val="0"/>
      <w:divBdr>
        <w:top w:val="none" w:sz="0" w:space="0" w:color="auto"/>
        <w:left w:val="none" w:sz="0" w:space="0" w:color="auto"/>
        <w:bottom w:val="none" w:sz="0" w:space="0" w:color="auto"/>
        <w:right w:val="none" w:sz="0" w:space="0" w:color="auto"/>
      </w:divBdr>
    </w:div>
    <w:div w:id="405998438">
      <w:bodyDiv w:val="1"/>
      <w:marLeft w:val="0"/>
      <w:marRight w:val="0"/>
      <w:marTop w:val="0"/>
      <w:marBottom w:val="0"/>
      <w:divBdr>
        <w:top w:val="none" w:sz="0" w:space="0" w:color="auto"/>
        <w:left w:val="none" w:sz="0" w:space="0" w:color="auto"/>
        <w:bottom w:val="none" w:sz="0" w:space="0" w:color="auto"/>
        <w:right w:val="none" w:sz="0" w:space="0" w:color="auto"/>
      </w:divBdr>
    </w:div>
    <w:div w:id="471752386">
      <w:bodyDiv w:val="1"/>
      <w:marLeft w:val="0"/>
      <w:marRight w:val="0"/>
      <w:marTop w:val="0"/>
      <w:marBottom w:val="0"/>
      <w:divBdr>
        <w:top w:val="none" w:sz="0" w:space="0" w:color="auto"/>
        <w:left w:val="none" w:sz="0" w:space="0" w:color="auto"/>
        <w:bottom w:val="none" w:sz="0" w:space="0" w:color="auto"/>
        <w:right w:val="none" w:sz="0" w:space="0" w:color="auto"/>
      </w:divBdr>
    </w:div>
    <w:div w:id="476648652">
      <w:bodyDiv w:val="1"/>
      <w:marLeft w:val="0"/>
      <w:marRight w:val="0"/>
      <w:marTop w:val="0"/>
      <w:marBottom w:val="0"/>
      <w:divBdr>
        <w:top w:val="none" w:sz="0" w:space="0" w:color="auto"/>
        <w:left w:val="none" w:sz="0" w:space="0" w:color="auto"/>
        <w:bottom w:val="none" w:sz="0" w:space="0" w:color="auto"/>
        <w:right w:val="none" w:sz="0" w:space="0" w:color="auto"/>
      </w:divBdr>
    </w:div>
    <w:div w:id="531504382">
      <w:bodyDiv w:val="1"/>
      <w:marLeft w:val="0"/>
      <w:marRight w:val="0"/>
      <w:marTop w:val="0"/>
      <w:marBottom w:val="0"/>
      <w:divBdr>
        <w:top w:val="none" w:sz="0" w:space="0" w:color="auto"/>
        <w:left w:val="none" w:sz="0" w:space="0" w:color="auto"/>
        <w:bottom w:val="none" w:sz="0" w:space="0" w:color="auto"/>
        <w:right w:val="none" w:sz="0" w:space="0" w:color="auto"/>
      </w:divBdr>
    </w:div>
    <w:div w:id="631600828">
      <w:bodyDiv w:val="1"/>
      <w:marLeft w:val="0"/>
      <w:marRight w:val="0"/>
      <w:marTop w:val="0"/>
      <w:marBottom w:val="0"/>
      <w:divBdr>
        <w:top w:val="none" w:sz="0" w:space="0" w:color="auto"/>
        <w:left w:val="none" w:sz="0" w:space="0" w:color="auto"/>
        <w:bottom w:val="none" w:sz="0" w:space="0" w:color="auto"/>
        <w:right w:val="none" w:sz="0" w:space="0" w:color="auto"/>
      </w:divBdr>
    </w:div>
    <w:div w:id="671955280">
      <w:bodyDiv w:val="1"/>
      <w:marLeft w:val="0"/>
      <w:marRight w:val="0"/>
      <w:marTop w:val="0"/>
      <w:marBottom w:val="0"/>
      <w:divBdr>
        <w:top w:val="none" w:sz="0" w:space="0" w:color="auto"/>
        <w:left w:val="none" w:sz="0" w:space="0" w:color="auto"/>
        <w:bottom w:val="none" w:sz="0" w:space="0" w:color="auto"/>
        <w:right w:val="none" w:sz="0" w:space="0" w:color="auto"/>
      </w:divBdr>
    </w:div>
    <w:div w:id="693187629">
      <w:bodyDiv w:val="1"/>
      <w:marLeft w:val="0"/>
      <w:marRight w:val="0"/>
      <w:marTop w:val="0"/>
      <w:marBottom w:val="0"/>
      <w:divBdr>
        <w:top w:val="none" w:sz="0" w:space="0" w:color="auto"/>
        <w:left w:val="none" w:sz="0" w:space="0" w:color="auto"/>
        <w:bottom w:val="none" w:sz="0" w:space="0" w:color="auto"/>
        <w:right w:val="none" w:sz="0" w:space="0" w:color="auto"/>
      </w:divBdr>
    </w:div>
    <w:div w:id="703360353">
      <w:bodyDiv w:val="1"/>
      <w:marLeft w:val="0"/>
      <w:marRight w:val="0"/>
      <w:marTop w:val="0"/>
      <w:marBottom w:val="0"/>
      <w:divBdr>
        <w:top w:val="none" w:sz="0" w:space="0" w:color="auto"/>
        <w:left w:val="none" w:sz="0" w:space="0" w:color="auto"/>
        <w:bottom w:val="none" w:sz="0" w:space="0" w:color="auto"/>
        <w:right w:val="none" w:sz="0" w:space="0" w:color="auto"/>
      </w:divBdr>
    </w:div>
    <w:div w:id="778990717">
      <w:bodyDiv w:val="1"/>
      <w:marLeft w:val="0"/>
      <w:marRight w:val="0"/>
      <w:marTop w:val="0"/>
      <w:marBottom w:val="0"/>
      <w:divBdr>
        <w:top w:val="none" w:sz="0" w:space="0" w:color="auto"/>
        <w:left w:val="none" w:sz="0" w:space="0" w:color="auto"/>
        <w:bottom w:val="none" w:sz="0" w:space="0" w:color="auto"/>
        <w:right w:val="none" w:sz="0" w:space="0" w:color="auto"/>
      </w:divBdr>
    </w:div>
    <w:div w:id="788663921">
      <w:bodyDiv w:val="1"/>
      <w:marLeft w:val="0"/>
      <w:marRight w:val="0"/>
      <w:marTop w:val="0"/>
      <w:marBottom w:val="0"/>
      <w:divBdr>
        <w:top w:val="none" w:sz="0" w:space="0" w:color="auto"/>
        <w:left w:val="none" w:sz="0" w:space="0" w:color="auto"/>
        <w:bottom w:val="none" w:sz="0" w:space="0" w:color="auto"/>
        <w:right w:val="none" w:sz="0" w:space="0" w:color="auto"/>
      </w:divBdr>
    </w:div>
    <w:div w:id="794904518">
      <w:bodyDiv w:val="1"/>
      <w:marLeft w:val="0"/>
      <w:marRight w:val="0"/>
      <w:marTop w:val="0"/>
      <w:marBottom w:val="0"/>
      <w:divBdr>
        <w:top w:val="none" w:sz="0" w:space="0" w:color="auto"/>
        <w:left w:val="none" w:sz="0" w:space="0" w:color="auto"/>
        <w:bottom w:val="none" w:sz="0" w:space="0" w:color="auto"/>
        <w:right w:val="none" w:sz="0" w:space="0" w:color="auto"/>
      </w:divBdr>
    </w:div>
    <w:div w:id="831144332">
      <w:bodyDiv w:val="1"/>
      <w:marLeft w:val="0"/>
      <w:marRight w:val="0"/>
      <w:marTop w:val="0"/>
      <w:marBottom w:val="0"/>
      <w:divBdr>
        <w:top w:val="none" w:sz="0" w:space="0" w:color="auto"/>
        <w:left w:val="none" w:sz="0" w:space="0" w:color="auto"/>
        <w:bottom w:val="none" w:sz="0" w:space="0" w:color="auto"/>
        <w:right w:val="none" w:sz="0" w:space="0" w:color="auto"/>
      </w:divBdr>
    </w:div>
    <w:div w:id="864634236">
      <w:bodyDiv w:val="1"/>
      <w:marLeft w:val="0"/>
      <w:marRight w:val="0"/>
      <w:marTop w:val="0"/>
      <w:marBottom w:val="0"/>
      <w:divBdr>
        <w:top w:val="none" w:sz="0" w:space="0" w:color="auto"/>
        <w:left w:val="none" w:sz="0" w:space="0" w:color="auto"/>
        <w:bottom w:val="none" w:sz="0" w:space="0" w:color="auto"/>
        <w:right w:val="none" w:sz="0" w:space="0" w:color="auto"/>
      </w:divBdr>
    </w:div>
    <w:div w:id="898131723">
      <w:bodyDiv w:val="1"/>
      <w:marLeft w:val="0"/>
      <w:marRight w:val="0"/>
      <w:marTop w:val="0"/>
      <w:marBottom w:val="0"/>
      <w:divBdr>
        <w:top w:val="none" w:sz="0" w:space="0" w:color="auto"/>
        <w:left w:val="none" w:sz="0" w:space="0" w:color="auto"/>
        <w:bottom w:val="none" w:sz="0" w:space="0" w:color="auto"/>
        <w:right w:val="none" w:sz="0" w:space="0" w:color="auto"/>
      </w:divBdr>
    </w:div>
    <w:div w:id="932513043">
      <w:bodyDiv w:val="1"/>
      <w:marLeft w:val="0"/>
      <w:marRight w:val="0"/>
      <w:marTop w:val="0"/>
      <w:marBottom w:val="0"/>
      <w:divBdr>
        <w:top w:val="none" w:sz="0" w:space="0" w:color="auto"/>
        <w:left w:val="none" w:sz="0" w:space="0" w:color="auto"/>
        <w:bottom w:val="none" w:sz="0" w:space="0" w:color="auto"/>
        <w:right w:val="none" w:sz="0" w:space="0" w:color="auto"/>
      </w:divBdr>
    </w:div>
    <w:div w:id="941377147">
      <w:bodyDiv w:val="1"/>
      <w:marLeft w:val="0"/>
      <w:marRight w:val="0"/>
      <w:marTop w:val="0"/>
      <w:marBottom w:val="0"/>
      <w:divBdr>
        <w:top w:val="none" w:sz="0" w:space="0" w:color="auto"/>
        <w:left w:val="none" w:sz="0" w:space="0" w:color="auto"/>
        <w:bottom w:val="none" w:sz="0" w:space="0" w:color="auto"/>
        <w:right w:val="none" w:sz="0" w:space="0" w:color="auto"/>
      </w:divBdr>
    </w:div>
    <w:div w:id="967663377">
      <w:bodyDiv w:val="1"/>
      <w:marLeft w:val="0"/>
      <w:marRight w:val="0"/>
      <w:marTop w:val="0"/>
      <w:marBottom w:val="0"/>
      <w:divBdr>
        <w:top w:val="none" w:sz="0" w:space="0" w:color="auto"/>
        <w:left w:val="none" w:sz="0" w:space="0" w:color="auto"/>
        <w:bottom w:val="none" w:sz="0" w:space="0" w:color="auto"/>
        <w:right w:val="none" w:sz="0" w:space="0" w:color="auto"/>
      </w:divBdr>
    </w:div>
    <w:div w:id="1012269513">
      <w:bodyDiv w:val="1"/>
      <w:marLeft w:val="0"/>
      <w:marRight w:val="0"/>
      <w:marTop w:val="0"/>
      <w:marBottom w:val="0"/>
      <w:divBdr>
        <w:top w:val="none" w:sz="0" w:space="0" w:color="auto"/>
        <w:left w:val="none" w:sz="0" w:space="0" w:color="auto"/>
        <w:bottom w:val="none" w:sz="0" w:space="0" w:color="auto"/>
        <w:right w:val="none" w:sz="0" w:space="0" w:color="auto"/>
      </w:divBdr>
    </w:div>
    <w:div w:id="1012801597">
      <w:bodyDiv w:val="1"/>
      <w:marLeft w:val="0"/>
      <w:marRight w:val="0"/>
      <w:marTop w:val="0"/>
      <w:marBottom w:val="0"/>
      <w:divBdr>
        <w:top w:val="none" w:sz="0" w:space="0" w:color="auto"/>
        <w:left w:val="none" w:sz="0" w:space="0" w:color="auto"/>
        <w:bottom w:val="none" w:sz="0" w:space="0" w:color="auto"/>
        <w:right w:val="none" w:sz="0" w:space="0" w:color="auto"/>
      </w:divBdr>
    </w:div>
    <w:div w:id="1019045255">
      <w:bodyDiv w:val="1"/>
      <w:marLeft w:val="0"/>
      <w:marRight w:val="0"/>
      <w:marTop w:val="0"/>
      <w:marBottom w:val="0"/>
      <w:divBdr>
        <w:top w:val="none" w:sz="0" w:space="0" w:color="auto"/>
        <w:left w:val="none" w:sz="0" w:space="0" w:color="auto"/>
        <w:bottom w:val="none" w:sz="0" w:space="0" w:color="auto"/>
        <w:right w:val="none" w:sz="0" w:space="0" w:color="auto"/>
      </w:divBdr>
    </w:div>
    <w:div w:id="1073502690">
      <w:bodyDiv w:val="1"/>
      <w:marLeft w:val="0"/>
      <w:marRight w:val="0"/>
      <w:marTop w:val="0"/>
      <w:marBottom w:val="0"/>
      <w:divBdr>
        <w:top w:val="none" w:sz="0" w:space="0" w:color="auto"/>
        <w:left w:val="none" w:sz="0" w:space="0" w:color="auto"/>
        <w:bottom w:val="none" w:sz="0" w:space="0" w:color="auto"/>
        <w:right w:val="none" w:sz="0" w:space="0" w:color="auto"/>
      </w:divBdr>
    </w:div>
    <w:div w:id="1083726096">
      <w:bodyDiv w:val="1"/>
      <w:marLeft w:val="0"/>
      <w:marRight w:val="0"/>
      <w:marTop w:val="0"/>
      <w:marBottom w:val="0"/>
      <w:divBdr>
        <w:top w:val="none" w:sz="0" w:space="0" w:color="auto"/>
        <w:left w:val="none" w:sz="0" w:space="0" w:color="auto"/>
        <w:bottom w:val="none" w:sz="0" w:space="0" w:color="auto"/>
        <w:right w:val="none" w:sz="0" w:space="0" w:color="auto"/>
      </w:divBdr>
    </w:div>
    <w:div w:id="1092891715">
      <w:bodyDiv w:val="1"/>
      <w:marLeft w:val="0"/>
      <w:marRight w:val="0"/>
      <w:marTop w:val="0"/>
      <w:marBottom w:val="0"/>
      <w:divBdr>
        <w:top w:val="none" w:sz="0" w:space="0" w:color="auto"/>
        <w:left w:val="none" w:sz="0" w:space="0" w:color="auto"/>
        <w:bottom w:val="none" w:sz="0" w:space="0" w:color="auto"/>
        <w:right w:val="none" w:sz="0" w:space="0" w:color="auto"/>
      </w:divBdr>
    </w:div>
    <w:div w:id="1098478650">
      <w:bodyDiv w:val="1"/>
      <w:marLeft w:val="0"/>
      <w:marRight w:val="0"/>
      <w:marTop w:val="0"/>
      <w:marBottom w:val="0"/>
      <w:divBdr>
        <w:top w:val="none" w:sz="0" w:space="0" w:color="auto"/>
        <w:left w:val="none" w:sz="0" w:space="0" w:color="auto"/>
        <w:bottom w:val="none" w:sz="0" w:space="0" w:color="auto"/>
        <w:right w:val="none" w:sz="0" w:space="0" w:color="auto"/>
      </w:divBdr>
    </w:div>
    <w:div w:id="1237476849">
      <w:bodyDiv w:val="1"/>
      <w:marLeft w:val="0"/>
      <w:marRight w:val="0"/>
      <w:marTop w:val="0"/>
      <w:marBottom w:val="0"/>
      <w:divBdr>
        <w:top w:val="none" w:sz="0" w:space="0" w:color="auto"/>
        <w:left w:val="none" w:sz="0" w:space="0" w:color="auto"/>
        <w:bottom w:val="none" w:sz="0" w:space="0" w:color="auto"/>
        <w:right w:val="none" w:sz="0" w:space="0" w:color="auto"/>
      </w:divBdr>
    </w:div>
    <w:div w:id="1288586908">
      <w:bodyDiv w:val="1"/>
      <w:marLeft w:val="0"/>
      <w:marRight w:val="0"/>
      <w:marTop w:val="0"/>
      <w:marBottom w:val="0"/>
      <w:divBdr>
        <w:top w:val="none" w:sz="0" w:space="0" w:color="auto"/>
        <w:left w:val="none" w:sz="0" w:space="0" w:color="auto"/>
        <w:bottom w:val="none" w:sz="0" w:space="0" w:color="auto"/>
        <w:right w:val="none" w:sz="0" w:space="0" w:color="auto"/>
      </w:divBdr>
    </w:div>
    <w:div w:id="1314526834">
      <w:bodyDiv w:val="1"/>
      <w:marLeft w:val="0"/>
      <w:marRight w:val="0"/>
      <w:marTop w:val="0"/>
      <w:marBottom w:val="0"/>
      <w:divBdr>
        <w:top w:val="none" w:sz="0" w:space="0" w:color="auto"/>
        <w:left w:val="none" w:sz="0" w:space="0" w:color="auto"/>
        <w:bottom w:val="none" w:sz="0" w:space="0" w:color="auto"/>
        <w:right w:val="none" w:sz="0" w:space="0" w:color="auto"/>
      </w:divBdr>
    </w:div>
    <w:div w:id="1331906149">
      <w:bodyDiv w:val="1"/>
      <w:marLeft w:val="0"/>
      <w:marRight w:val="0"/>
      <w:marTop w:val="0"/>
      <w:marBottom w:val="0"/>
      <w:divBdr>
        <w:top w:val="none" w:sz="0" w:space="0" w:color="auto"/>
        <w:left w:val="none" w:sz="0" w:space="0" w:color="auto"/>
        <w:bottom w:val="none" w:sz="0" w:space="0" w:color="auto"/>
        <w:right w:val="none" w:sz="0" w:space="0" w:color="auto"/>
      </w:divBdr>
    </w:div>
    <w:div w:id="1383212917">
      <w:bodyDiv w:val="1"/>
      <w:marLeft w:val="0"/>
      <w:marRight w:val="0"/>
      <w:marTop w:val="0"/>
      <w:marBottom w:val="0"/>
      <w:divBdr>
        <w:top w:val="none" w:sz="0" w:space="0" w:color="auto"/>
        <w:left w:val="none" w:sz="0" w:space="0" w:color="auto"/>
        <w:bottom w:val="none" w:sz="0" w:space="0" w:color="auto"/>
        <w:right w:val="none" w:sz="0" w:space="0" w:color="auto"/>
      </w:divBdr>
    </w:div>
    <w:div w:id="1433477716">
      <w:bodyDiv w:val="1"/>
      <w:marLeft w:val="0"/>
      <w:marRight w:val="0"/>
      <w:marTop w:val="0"/>
      <w:marBottom w:val="0"/>
      <w:divBdr>
        <w:top w:val="none" w:sz="0" w:space="0" w:color="auto"/>
        <w:left w:val="none" w:sz="0" w:space="0" w:color="auto"/>
        <w:bottom w:val="none" w:sz="0" w:space="0" w:color="auto"/>
        <w:right w:val="none" w:sz="0" w:space="0" w:color="auto"/>
      </w:divBdr>
    </w:div>
    <w:div w:id="1481313754">
      <w:bodyDiv w:val="1"/>
      <w:marLeft w:val="0"/>
      <w:marRight w:val="0"/>
      <w:marTop w:val="0"/>
      <w:marBottom w:val="0"/>
      <w:divBdr>
        <w:top w:val="none" w:sz="0" w:space="0" w:color="auto"/>
        <w:left w:val="none" w:sz="0" w:space="0" w:color="auto"/>
        <w:bottom w:val="none" w:sz="0" w:space="0" w:color="auto"/>
        <w:right w:val="none" w:sz="0" w:space="0" w:color="auto"/>
      </w:divBdr>
    </w:div>
    <w:div w:id="1536893397">
      <w:bodyDiv w:val="1"/>
      <w:marLeft w:val="0"/>
      <w:marRight w:val="0"/>
      <w:marTop w:val="0"/>
      <w:marBottom w:val="0"/>
      <w:divBdr>
        <w:top w:val="none" w:sz="0" w:space="0" w:color="auto"/>
        <w:left w:val="none" w:sz="0" w:space="0" w:color="auto"/>
        <w:bottom w:val="none" w:sz="0" w:space="0" w:color="auto"/>
        <w:right w:val="none" w:sz="0" w:space="0" w:color="auto"/>
      </w:divBdr>
    </w:div>
    <w:div w:id="1725518721">
      <w:bodyDiv w:val="1"/>
      <w:marLeft w:val="0"/>
      <w:marRight w:val="0"/>
      <w:marTop w:val="0"/>
      <w:marBottom w:val="0"/>
      <w:divBdr>
        <w:top w:val="none" w:sz="0" w:space="0" w:color="auto"/>
        <w:left w:val="none" w:sz="0" w:space="0" w:color="auto"/>
        <w:bottom w:val="none" w:sz="0" w:space="0" w:color="auto"/>
        <w:right w:val="none" w:sz="0" w:space="0" w:color="auto"/>
      </w:divBdr>
    </w:div>
    <w:div w:id="1777287212">
      <w:bodyDiv w:val="1"/>
      <w:marLeft w:val="0"/>
      <w:marRight w:val="0"/>
      <w:marTop w:val="0"/>
      <w:marBottom w:val="0"/>
      <w:divBdr>
        <w:top w:val="none" w:sz="0" w:space="0" w:color="auto"/>
        <w:left w:val="none" w:sz="0" w:space="0" w:color="auto"/>
        <w:bottom w:val="none" w:sz="0" w:space="0" w:color="auto"/>
        <w:right w:val="none" w:sz="0" w:space="0" w:color="auto"/>
      </w:divBdr>
    </w:div>
    <w:div w:id="1796096263">
      <w:bodyDiv w:val="1"/>
      <w:marLeft w:val="0"/>
      <w:marRight w:val="0"/>
      <w:marTop w:val="0"/>
      <w:marBottom w:val="0"/>
      <w:divBdr>
        <w:top w:val="none" w:sz="0" w:space="0" w:color="auto"/>
        <w:left w:val="none" w:sz="0" w:space="0" w:color="auto"/>
        <w:bottom w:val="none" w:sz="0" w:space="0" w:color="auto"/>
        <w:right w:val="none" w:sz="0" w:space="0" w:color="auto"/>
      </w:divBdr>
    </w:div>
    <w:div w:id="1805272530">
      <w:bodyDiv w:val="1"/>
      <w:marLeft w:val="0"/>
      <w:marRight w:val="0"/>
      <w:marTop w:val="0"/>
      <w:marBottom w:val="0"/>
      <w:divBdr>
        <w:top w:val="none" w:sz="0" w:space="0" w:color="auto"/>
        <w:left w:val="none" w:sz="0" w:space="0" w:color="auto"/>
        <w:bottom w:val="none" w:sz="0" w:space="0" w:color="auto"/>
        <w:right w:val="none" w:sz="0" w:space="0" w:color="auto"/>
      </w:divBdr>
    </w:div>
    <w:div w:id="1809590868">
      <w:bodyDiv w:val="1"/>
      <w:marLeft w:val="0"/>
      <w:marRight w:val="0"/>
      <w:marTop w:val="0"/>
      <w:marBottom w:val="0"/>
      <w:divBdr>
        <w:top w:val="none" w:sz="0" w:space="0" w:color="auto"/>
        <w:left w:val="none" w:sz="0" w:space="0" w:color="auto"/>
        <w:bottom w:val="none" w:sz="0" w:space="0" w:color="auto"/>
        <w:right w:val="none" w:sz="0" w:space="0" w:color="auto"/>
      </w:divBdr>
    </w:div>
    <w:div w:id="1899397083">
      <w:bodyDiv w:val="1"/>
      <w:marLeft w:val="0"/>
      <w:marRight w:val="0"/>
      <w:marTop w:val="0"/>
      <w:marBottom w:val="0"/>
      <w:divBdr>
        <w:top w:val="none" w:sz="0" w:space="0" w:color="auto"/>
        <w:left w:val="none" w:sz="0" w:space="0" w:color="auto"/>
        <w:bottom w:val="none" w:sz="0" w:space="0" w:color="auto"/>
        <w:right w:val="none" w:sz="0" w:space="0" w:color="auto"/>
      </w:divBdr>
    </w:div>
    <w:div w:id="1906259906">
      <w:bodyDiv w:val="1"/>
      <w:marLeft w:val="0"/>
      <w:marRight w:val="0"/>
      <w:marTop w:val="0"/>
      <w:marBottom w:val="0"/>
      <w:divBdr>
        <w:top w:val="none" w:sz="0" w:space="0" w:color="auto"/>
        <w:left w:val="none" w:sz="0" w:space="0" w:color="auto"/>
        <w:bottom w:val="none" w:sz="0" w:space="0" w:color="auto"/>
        <w:right w:val="none" w:sz="0" w:space="0" w:color="auto"/>
      </w:divBdr>
    </w:div>
    <w:div w:id="1914198131">
      <w:bodyDiv w:val="1"/>
      <w:marLeft w:val="0"/>
      <w:marRight w:val="0"/>
      <w:marTop w:val="0"/>
      <w:marBottom w:val="0"/>
      <w:divBdr>
        <w:top w:val="none" w:sz="0" w:space="0" w:color="auto"/>
        <w:left w:val="none" w:sz="0" w:space="0" w:color="auto"/>
        <w:bottom w:val="none" w:sz="0" w:space="0" w:color="auto"/>
        <w:right w:val="none" w:sz="0" w:space="0" w:color="auto"/>
      </w:divBdr>
    </w:div>
    <w:div w:id="2053576692">
      <w:bodyDiv w:val="1"/>
      <w:marLeft w:val="0"/>
      <w:marRight w:val="0"/>
      <w:marTop w:val="0"/>
      <w:marBottom w:val="0"/>
      <w:divBdr>
        <w:top w:val="none" w:sz="0" w:space="0" w:color="auto"/>
        <w:left w:val="none" w:sz="0" w:space="0" w:color="auto"/>
        <w:bottom w:val="none" w:sz="0" w:space="0" w:color="auto"/>
        <w:right w:val="none" w:sz="0" w:space="0" w:color="auto"/>
      </w:divBdr>
    </w:div>
    <w:div w:id="2054231704">
      <w:bodyDiv w:val="1"/>
      <w:marLeft w:val="0"/>
      <w:marRight w:val="0"/>
      <w:marTop w:val="0"/>
      <w:marBottom w:val="0"/>
      <w:divBdr>
        <w:top w:val="none" w:sz="0" w:space="0" w:color="auto"/>
        <w:left w:val="none" w:sz="0" w:space="0" w:color="auto"/>
        <w:bottom w:val="none" w:sz="0" w:space="0" w:color="auto"/>
        <w:right w:val="none" w:sz="0" w:space="0" w:color="auto"/>
      </w:divBdr>
    </w:div>
    <w:div w:id="2089960601">
      <w:bodyDiv w:val="1"/>
      <w:marLeft w:val="0"/>
      <w:marRight w:val="0"/>
      <w:marTop w:val="0"/>
      <w:marBottom w:val="0"/>
      <w:divBdr>
        <w:top w:val="none" w:sz="0" w:space="0" w:color="auto"/>
        <w:left w:val="none" w:sz="0" w:space="0" w:color="auto"/>
        <w:bottom w:val="none" w:sz="0" w:space="0" w:color="auto"/>
        <w:right w:val="none" w:sz="0" w:space="0" w:color="auto"/>
      </w:divBdr>
    </w:div>
    <w:div w:id="2125686423">
      <w:bodyDiv w:val="1"/>
      <w:marLeft w:val="0"/>
      <w:marRight w:val="0"/>
      <w:marTop w:val="0"/>
      <w:marBottom w:val="0"/>
      <w:divBdr>
        <w:top w:val="none" w:sz="0" w:space="0" w:color="auto"/>
        <w:left w:val="none" w:sz="0" w:space="0" w:color="auto"/>
        <w:bottom w:val="none" w:sz="0" w:space="0" w:color="auto"/>
        <w:right w:val="none" w:sz="0" w:space="0" w:color="auto"/>
      </w:divBdr>
    </w:div>
    <w:div w:id="21347116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eur-lex.europa.eu/budget/www/index-bg.htm" TargetMode="Externa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uroparl.europa.eu/sides/getDoc.do?pubRef=-//EP//TEXT+TA+P8-TA-2016-0475+0+DOC+XML+V0//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8DB4C-9457-4282-8CB6-731A7CEB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2112</Words>
  <Characters>9866</Characters>
  <Application>Microsoft Office Word</Application>
  <DocSecurity>0</DocSecurity>
  <Lines>548</Lines>
  <Paragraphs>307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11671</CharactersWithSpaces>
  <SharedDoc>false</SharedDoc>
  <HLinks>
    <vt:vector size="72" baseType="variant">
      <vt:variant>
        <vt:i4>1245239</vt:i4>
      </vt:variant>
      <vt:variant>
        <vt:i4>59</vt:i4>
      </vt:variant>
      <vt:variant>
        <vt:i4>0</vt:i4>
      </vt:variant>
      <vt:variant>
        <vt:i4>5</vt:i4>
      </vt:variant>
      <vt:variant>
        <vt:lpwstr/>
      </vt:variant>
      <vt:variant>
        <vt:lpwstr>_Toc421700214</vt:lpwstr>
      </vt:variant>
      <vt:variant>
        <vt:i4>1245239</vt:i4>
      </vt:variant>
      <vt:variant>
        <vt:i4>53</vt:i4>
      </vt:variant>
      <vt:variant>
        <vt:i4>0</vt:i4>
      </vt:variant>
      <vt:variant>
        <vt:i4>5</vt:i4>
      </vt:variant>
      <vt:variant>
        <vt:lpwstr/>
      </vt:variant>
      <vt:variant>
        <vt:lpwstr>_Toc421700213</vt:lpwstr>
      </vt:variant>
      <vt:variant>
        <vt:i4>1245239</vt:i4>
      </vt:variant>
      <vt:variant>
        <vt:i4>47</vt:i4>
      </vt:variant>
      <vt:variant>
        <vt:i4>0</vt:i4>
      </vt:variant>
      <vt:variant>
        <vt:i4>5</vt:i4>
      </vt:variant>
      <vt:variant>
        <vt:lpwstr/>
      </vt:variant>
      <vt:variant>
        <vt:lpwstr>_Toc421700212</vt:lpwstr>
      </vt:variant>
      <vt:variant>
        <vt:i4>1245239</vt:i4>
      </vt:variant>
      <vt:variant>
        <vt:i4>41</vt:i4>
      </vt:variant>
      <vt:variant>
        <vt:i4>0</vt:i4>
      </vt:variant>
      <vt:variant>
        <vt:i4>5</vt:i4>
      </vt:variant>
      <vt:variant>
        <vt:lpwstr/>
      </vt:variant>
      <vt:variant>
        <vt:lpwstr>_Toc421700211</vt:lpwstr>
      </vt:variant>
      <vt:variant>
        <vt:i4>1245239</vt:i4>
      </vt:variant>
      <vt:variant>
        <vt:i4>35</vt:i4>
      </vt:variant>
      <vt:variant>
        <vt:i4>0</vt:i4>
      </vt:variant>
      <vt:variant>
        <vt:i4>5</vt:i4>
      </vt:variant>
      <vt:variant>
        <vt:lpwstr/>
      </vt:variant>
      <vt:variant>
        <vt:lpwstr>_Toc421700210</vt:lpwstr>
      </vt:variant>
      <vt:variant>
        <vt:i4>1179703</vt:i4>
      </vt:variant>
      <vt:variant>
        <vt:i4>29</vt:i4>
      </vt:variant>
      <vt:variant>
        <vt:i4>0</vt:i4>
      </vt:variant>
      <vt:variant>
        <vt:i4>5</vt:i4>
      </vt:variant>
      <vt:variant>
        <vt:lpwstr/>
      </vt:variant>
      <vt:variant>
        <vt:lpwstr>_Toc421700209</vt:lpwstr>
      </vt:variant>
      <vt:variant>
        <vt:i4>1179703</vt:i4>
      </vt:variant>
      <vt:variant>
        <vt:i4>23</vt:i4>
      </vt:variant>
      <vt:variant>
        <vt:i4>0</vt:i4>
      </vt:variant>
      <vt:variant>
        <vt:i4>5</vt:i4>
      </vt:variant>
      <vt:variant>
        <vt:lpwstr/>
      </vt:variant>
      <vt:variant>
        <vt:lpwstr>_Toc421700208</vt:lpwstr>
      </vt:variant>
      <vt:variant>
        <vt:i4>1179703</vt:i4>
      </vt:variant>
      <vt:variant>
        <vt:i4>17</vt:i4>
      </vt:variant>
      <vt:variant>
        <vt:i4>0</vt:i4>
      </vt:variant>
      <vt:variant>
        <vt:i4>5</vt:i4>
      </vt:variant>
      <vt:variant>
        <vt:lpwstr/>
      </vt:variant>
      <vt:variant>
        <vt:lpwstr>_Toc421700207</vt:lpwstr>
      </vt:variant>
      <vt:variant>
        <vt:i4>1179703</vt:i4>
      </vt:variant>
      <vt:variant>
        <vt:i4>11</vt:i4>
      </vt:variant>
      <vt:variant>
        <vt:i4>0</vt:i4>
      </vt:variant>
      <vt:variant>
        <vt:i4>5</vt:i4>
      </vt:variant>
      <vt:variant>
        <vt:lpwstr/>
      </vt:variant>
      <vt:variant>
        <vt:lpwstr>_Toc421700206</vt:lpwstr>
      </vt:variant>
      <vt:variant>
        <vt:i4>1179703</vt:i4>
      </vt:variant>
      <vt:variant>
        <vt:i4>5</vt:i4>
      </vt:variant>
      <vt:variant>
        <vt:i4>0</vt:i4>
      </vt:variant>
      <vt:variant>
        <vt:i4>5</vt:i4>
      </vt:variant>
      <vt:variant>
        <vt:lpwstr/>
      </vt:variant>
      <vt:variant>
        <vt:lpwstr>_Toc421700205</vt:lpwstr>
      </vt:variant>
      <vt:variant>
        <vt:i4>5046279</vt:i4>
      </vt:variant>
      <vt:variant>
        <vt:i4>0</vt:i4>
      </vt:variant>
      <vt:variant>
        <vt:i4>0</vt:i4>
      </vt:variant>
      <vt:variant>
        <vt:i4>5</vt:i4>
      </vt:variant>
      <vt:variant>
        <vt:lpwstr>http://eur-lex.europa.eu/budget/www/index-en.htm</vt:lpwstr>
      </vt:variant>
      <vt:variant>
        <vt:lpwstr/>
      </vt:variant>
      <vt:variant>
        <vt:i4>5111875</vt:i4>
      </vt:variant>
      <vt:variant>
        <vt:i4>0</vt:i4>
      </vt:variant>
      <vt:variant>
        <vt:i4>0</vt:i4>
      </vt:variant>
      <vt:variant>
        <vt:i4>5</vt:i4>
      </vt:variant>
      <vt:variant>
        <vt:lpwstr>http://ec.europa.eu/budget/library/biblio/documents/financing/calc_own_res_2007_en.pdf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2017-07-18T14:11:00Z</dcterms:created>
  <dcterms:modified xsi:type="dcterms:W3CDTF">2017-08-14T08:20:00Z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