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04" w:rsidRDefault="00D55ECA" w:rsidP="00D55ECA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5E67E1AF36CB475FA6B8B1E25AB48BCA" style="width:450.8pt;height:393.2pt">
            <v:imagedata r:id="rId8" o:title=""/>
          </v:shape>
        </w:pict>
      </w:r>
    </w:p>
    <w:p w:rsidR="00C01504" w:rsidRDefault="00C01504">
      <w:pPr>
        <w:rPr>
          <w:noProof/>
        </w:rPr>
        <w:sectPr w:rsidR="00C01504" w:rsidSect="00D55E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C01504" w:rsidRDefault="00D55ECA"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ОБЯСНИТЕЛЕН МЕМОРАНДУМ</w:t>
      </w:r>
    </w:p>
    <w:p w:rsidR="00C01504" w:rsidRDefault="00D55ECA"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КОНТЕКСТ НА ПРЕДЛОЖЕНИЕТО</w:t>
      </w:r>
    </w:p>
    <w:p w:rsidR="00C01504" w:rsidRDefault="00D55ECA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Основания и цели на предложението</w:t>
      </w:r>
    </w:p>
    <w:p w:rsidR="00C01504" w:rsidRDefault="00D55ECA">
      <w:pPr>
        <w:rPr>
          <w:noProof/>
        </w:rPr>
      </w:pPr>
      <w:r>
        <w:rPr>
          <w:noProof/>
        </w:rPr>
        <w:t xml:space="preserve">Предложеният </w:t>
      </w:r>
      <w:r>
        <w:rPr>
          <w:noProof/>
        </w:rPr>
        <w:t>регламент ще позволи на Съюза да изпълнява международното си задължение съгласно Маракешкия договор за улесняване на достъпа до публикувани произведения за слепи хора, лица с нарушено зрение или с други увреждания, които не позволяват четенето на печатни м</w:t>
      </w:r>
      <w:r>
        <w:rPr>
          <w:noProof/>
        </w:rPr>
        <w:t>атериали (наричан по-долу „Маракешкият договор“). Маракешкият договор беше приет през 2013 г. по линия на Световната организация за интелектуална собственост (СОИС) с цел да се улеснят предоставянето и трансграничният обмен на книги и други печатни материа</w:t>
      </w:r>
      <w:r>
        <w:rPr>
          <w:noProof/>
        </w:rPr>
        <w:t>ли в достъпни формати по целия свят. Той беше подписан от Съюза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през април 2014 г. Съгласно Договора страните по него се задължават да предоставят изключения от авторското право и сродните му права или ограничения в тях в полза на слепи хора, лица с наруш</w:t>
      </w:r>
      <w:r>
        <w:rPr>
          <w:noProof/>
        </w:rPr>
        <w:t>ено зрение или с други увреждания, които не им позволяват четенето на печатни материали, и се дава възможност за трансграничен обмен на копия в специални формати от книги, включително аудиокниги и други печатни материали, между държавите, които са страни п</w:t>
      </w:r>
      <w:r>
        <w:rPr>
          <w:noProof/>
        </w:rPr>
        <w:t>о Договора.</w:t>
      </w:r>
    </w:p>
    <w:p w:rsidR="00C01504" w:rsidRDefault="00D55ECA">
      <w:pPr>
        <w:rPr>
          <w:noProof/>
        </w:rPr>
      </w:pPr>
      <w:r>
        <w:rPr>
          <w:noProof/>
        </w:rPr>
        <w:t xml:space="preserve">По този начин Съюзът пое политически ангажимент за прилагане на Договора, потвърден впоследствие още по-категорично както от Съвета, така и от Европейския парламент. Комисията отделно представи предложение за Решение на Съвета за ратификацията </w:t>
      </w:r>
      <w:r>
        <w:rPr>
          <w:noProof/>
        </w:rPr>
        <w:t>на Маракешкия договор от Съюза през октомври 2014 г. През май 2015 г. Съветът отправи искане към Комисията съгласно член 241 от Договора за функционирането на Европейския съюз (ДФЕС), в което подчертава своята пълна ангажираност за бързото влизане в сила н</w:t>
      </w:r>
      <w:r>
        <w:rPr>
          <w:noProof/>
        </w:rPr>
        <w:t>а Маракешкия договор и изисква от Комисията незабавно да представи законодателно предложение за изменение на правната рамка на Съюза в съответствие с Договора.</w:t>
      </w:r>
    </w:p>
    <w:p w:rsidR="00C01504" w:rsidRDefault="00D55ECA">
      <w:pPr>
        <w:rPr>
          <w:noProof/>
        </w:rPr>
      </w:pPr>
      <w:r>
        <w:rPr>
          <w:noProof/>
        </w:rPr>
        <w:t>Бенефициерите по Маракешкия договор, т.е. слепи хора, лица с нарушено зрение или с други уврежда</w:t>
      </w:r>
      <w:r>
        <w:rPr>
          <w:noProof/>
        </w:rPr>
        <w:t xml:space="preserve">ния, които не позволяват четенето на печатни материали, се сблъскват с множество пречки пред достъпа до книги и други печатни материали, защитени от авторското право и сродните му права. Процентът на книгите, налични в такива формати, че да са достъпни за </w:t>
      </w:r>
      <w:r>
        <w:rPr>
          <w:noProof/>
        </w:rPr>
        <w:t>лица с увреждания, които не им позволяват четенето на печатни материали, се оценява на между 7 %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и 20 %</w:t>
      </w:r>
      <w:r>
        <w:rPr>
          <w:rStyle w:val="FootnoteReference"/>
          <w:noProof/>
        </w:rPr>
        <w:footnoteReference w:id="3"/>
      </w:r>
      <w:r>
        <w:rPr>
          <w:noProof/>
        </w:rPr>
        <w:t>, въпреки факта че цифровите технологии значително улесняват публикуването в достъпни формати</w:t>
      </w:r>
      <w:r>
        <w:rPr>
          <w:rStyle w:val="FootnoteReference"/>
          <w:noProof/>
        </w:rPr>
        <w:footnoteReference w:id="4"/>
      </w:r>
      <w:r>
        <w:rPr>
          <w:noProof/>
        </w:rPr>
        <w:t>. Достъпните формати включват например брайлово писмо, ед</w:t>
      </w:r>
      <w:r>
        <w:rPr>
          <w:noProof/>
        </w:rPr>
        <w:t>ър шрифт, електронни книги и аудиокниги със специална навигация, аудиоописание и радиопредавания.</w:t>
      </w:r>
    </w:p>
    <w:p w:rsidR="00C01504" w:rsidRDefault="00D55ECA">
      <w:pPr>
        <w:rPr>
          <w:noProof/>
        </w:rPr>
      </w:pPr>
      <w:r>
        <w:rPr>
          <w:noProof/>
        </w:rPr>
        <w:t>Маракешкият договор задължава договарящите се страни, от една страна, да приведат своите вътрешни правни разпоредби в съответствие с Договора и от друга стран</w:t>
      </w:r>
      <w:r>
        <w:rPr>
          <w:noProof/>
        </w:rPr>
        <w:t xml:space="preserve">а, да </w:t>
      </w:r>
      <w:r>
        <w:rPr>
          <w:noProof/>
        </w:rPr>
        <w:lastRenderedPageBreak/>
        <w:t>дават възможност за трансграничен обмен на копия в достъпен формат, направени съгласно изключения или ограничения по националното право, с трети държави, които са страни по Договора. С цел прилагане на Маракешкия договор в рамките на Съюза, Директива</w:t>
      </w:r>
      <w:r>
        <w:rPr>
          <w:noProof/>
        </w:rPr>
        <w:t xml:space="preserve"> [...] задължава държавите членки да въведат задължително изключение от някои права на носителите им, хармонизирани от правото на Съюза, в полза на бенефициерите и да гарантират трансграничен достъп до копия в специални формати в рамките на вътрешния пазар</w:t>
      </w:r>
      <w:r>
        <w:rPr>
          <w:noProof/>
        </w:rPr>
        <w:t>. Целта на предложения регламент е да се изпълнят задълженията на Съюза съгласно Маракешкия договор по отношение на обмена на копия в достъпни формати между Съюза и трети държави, които са страни по Договора, в полза на бенефициерите.</w:t>
      </w:r>
    </w:p>
    <w:p w:rsidR="00C01504" w:rsidRDefault="00D55ECA">
      <w:pPr>
        <w:rPr>
          <w:noProof/>
        </w:rPr>
      </w:pPr>
      <w:r>
        <w:rPr>
          <w:noProof/>
        </w:rPr>
        <w:t>Следователно предложе</w:t>
      </w:r>
      <w:r>
        <w:rPr>
          <w:noProof/>
        </w:rPr>
        <w:t xml:space="preserve">ният настоящ регламент гарантира, че копия в достъпен формат, направени в някоя държава членка в съответствие с националните разпоредби, приети съгласно Директива [...], могат да бъдат изнасяни в трети държави, които са страни по Маракешкия договор. Освен </w:t>
      </w:r>
      <w:r>
        <w:rPr>
          <w:noProof/>
        </w:rPr>
        <w:t>това Регламентът позволява вноса на копия в достъпен формат, направени в съответствие с Маракешкия договор в трети държави, които са страни по Договора, в полза на бенефициери в Съюза. Както бенефициери, така и оправомощени субекти, установени в Съюза, сле</w:t>
      </w:r>
      <w:r>
        <w:rPr>
          <w:noProof/>
        </w:rPr>
        <w:t>два да могат да получават такива копия, а за тези копия следва да е възможно движението им в рамките на вътрешния пазар при същите условия, както за копията в достъпен формат, направени в Съюза в съответствие с националните разпоредби, приети съгласно Дире</w:t>
      </w:r>
      <w:r>
        <w:rPr>
          <w:noProof/>
        </w:rPr>
        <w:t>ктива [...].</w:t>
      </w:r>
    </w:p>
    <w:p w:rsidR="00C01504" w:rsidRDefault="00D55ECA">
      <w:pPr>
        <w:spacing w:after="240"/>
        <w:rPr>
          <w:noProof/>
        </w:rPr>
      </w:pPr>
      <w:r>
        <w:rPr>
          <w:noProof/>
        </w:rPr>
        <w:t xml:space="preserve">Предложеният регламент е в съответствие и със задълженията на Съюза, произтичащи от Конвенцията на Организацията на обединените нации (ООН) за правата на хората с увреждания </w:t>
      </w:r>
      <w:r>
        <w:rPr>
          <w:noProof/>
          <w:color w:val="000000"/>
          <w:bdr w:val="none" w:sz="0" w:space="0" w:color="auto" w:frame="1"/>
        </w:rPr>
        <w:t xml:space="preserve">(„КПХУ на ООН“). </w:t>
      </w:r>
      <w:r>
        <w:rPr>
          <w:noProof/>
        </w:rPr>
        <w:t>ЕС</w:t>
      </w:r>
      <w:r>
        <w:rPr>
          <w:noProof/>
          <w:color w:val="000000"/>
          <w:bdr w:val="none" w:sz="0" w:space="0" w:color="auto" w:frame="1"/>
        </w:rPr>
        <w:t xml:space="preserve"> е обвързан от </w:t>
      </w:r>
      <w:r>
        <w:rPr>
          <w:noProof/>
        </w:rPr>
        <w:t>КПХУ на ООН</w:t>
      </w:r>
      <w:r>
        <w:rPr>
          <w:noProof/>
          <w:color w:val="000000"/>
          <w:bdr w:val="none" w:sz="0" w:space="0" w:color="auto" w:frame="1"/>
        </w:rPr>
        <w:t xml:space="preserve"> от </w:t>
      </w:r>
      <w:r>
        <w:rPr>
          <w:noProof/>
        </w:rPr>
        <w:t>януари 2011 г. съгла</w:t>
      </w:r>
      <w:r>
        <w:rPr>
          <w:noProof/>
        </w:rPr>
        <w:t>сно Решение 2010/48/ЕО на Съвета</w:t>
      </w:r>
      <w:r>
        <w:rPr>
          <w:rStyle w:val="FootnoteReference"/>
          <w:noProof/>
        </w:rPr>
        <w:footnoteReference w:id="5"/>
      </w:r>
      <w:r>
        <w:rPr>
          <w:noProof/>
        </w:rPr>
        <w:t>. Така разпоредбите на КПХУ на ООН станаха неразделна част от правния ред на Съюза. В КПХУ на ООН са заложени правото на достъп до информация и правото на хората с увреждания да участват в културния живот равноправно с всич</w:t>
      </w:r>
      <w:r>
        <w:rPr>
          <w:noProof/>
        </w:rPr>
        <w:t xml:space="preserve">ки останали хора. Член 30 от Конвенцията задължава страните по нея да предприемат всички подходящи мерки в съответствие с международното право, за да гарантират, че законите за закрила на правата върху интелектуална собственост не служат като необоснована </w:t>
      </w:r>
      <w:r>
        <w:rPr>
          <w:noProof/>
        </w:rPr>
        <w:t>или дискриминационна преграда пред достъпа на лица с увреждания до материали с културен характер. В своите заключителни бележки относно първоначалния доклад на Европейския съюз</w:t>
      </w:r>
      <w:r>
        <w:rPr>
          <w:rStyle w:val="FootnoteReference"/>
          <w:noProof/>
        </w:rPr>
        <w:footnoteReference w:id="6"/>
      </w:r>
      <w:r>
        <w:rPr>
          <w:noProof/>
        </w:rPr>
        <w:t>, приети на 4 септември 2015 г., Комитетът на ООН за правата на хората с уврежд</w:t>
      </w:r>
      <w:r>
        <w:rPr>
          <w:noProof/>
        </w:rPr>
        <w:t>ания насърчи Европейския съюз да предприеме всички подходящи мерки, за да започне прилагането на Маракешкия договор възможно най-скоро.</w:t>
      </w:r>
    </w:p>
    <w:p w:rsidR="00C01504" w:rsidRDefault="00D55ECA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Съгласуваност със съществуващите разпоредби в тази област на политиката</w:t>
      </w:r>
    </w:p>
    <w:p w:rsidR="00C01504" w:rsidRDefault="00D55ECA">
      <w:pPr>
        <w:rPr>
          <w:noProof/>
        </w:rPr>
      </w:pPr>
      <w:r>
        <w:rPr>
          <w:noProof/>
        </w:rPr>
        <w:t xml:space="preserve">Предложеният регламент се отнася за обмена на </w:t>
      </w:r>
      <w:r>
        <w:rPr>
          <w:noProof/>
        </w:rPr>
        <w:t xml:space="preserve">копия в достъпни формати на определено, защитено с авторско право съдържание с трети държави, които са страни по Маракешкия договор. Той служи, заедно с Директива [...], за прилагане на Маракешкия договор в правото на Съюза. Предложеният регламент ще бъде </w:t>
      </w:r>
      <w:r>
        <w:rPr>
          <w:noProof/>
        </w:rPr>
        <w:t>първият акт от законодателството на ЕС, с който се въвеждат специални разпоредби относно международния обмен на копия в достъпни формати за бенефициери.</w:t>
      </w:r>
    </w:p>
    <w:p w:rsidR="00C01504" w:rsidRDefault="00D55ECA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Съгласуваност с другите политики на Съюза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/>
        <w:rPr>
          <w:rFonts w:eastAsia="Arial Unicode MS"/>
          <w:noProof/>
          <w:color w:val="000000"/>
          <w:szCs w:val="24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 xml:space="preserve">Предложеният регламент, заедно с Директива [...], е в </w:t>
      </w:r>
      <w:r>
        <w:rPr>
          <w:noProof/>
          <w:color w:val="000000"/>
          <w:u w:color="000000"/>
          <w:bdr w:val="nil"/>
        </w:rPr>
        <w:t>изпълнение на ангажиментите на Съюза и задълженията, свързани с интеграцията на лицата с увреждания, както е посочено по-горе. Той е съгласуван с други законодателни актове на ЕС и с неговата политика в тази област.</w:t>
      </w:r>
    </w:p>
    <w:p w:rsidR="00C01504" w:rsidRDefault="00D55ECA"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ПРАВНО ОСНОВАНИЕ, СУБСИДИАРНОСТ И ПРО</w:t>
      </w:r>
      <w:r>
        <w:rPr>
          <w:noProof/>
        </w:rPr>
        <w:t>ПОРЦИОНАЛНОСТ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Правно основание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Правното основание на предложението е член 207 от Договора за функционирането на Европейския съюз (ДФЕС).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Пропорционалност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Съюзът е длъжен да спазва международните си задължения по Маракешкия договор. Настоящият регламент</w:t>
      </w:r>
      <w:r>
        <w:rPr>
          <w:noProof/>
        </w:rPr>
        <w:t xml:space="preserve"> служи за изпълнение на разпоредбите, съдържащи се в Договора, относно обмена на произведения в достъпни формати с трети държави, които са страни по Договора. Такива мерки могат да бъдат предприети единствено на равнището на Съюза, тъй като обменът на копи</w:t>
      </w:r>
      <w:r>
        <w:rPr>
          <w:noProof/>
        </w:rPr>
        <w:t>я в достъпни формати на произведения и други закриляни обекти засяга търговските аспекти на интелектуалната собственост. Следователно единственият подходящ инструмент е регламент. В съответствие с принципа на пропорционалност, определен в член 5 от Договор</w:t>
      </w:r>
      <w:r>
        <w:rPr>
          <w:noProof/>
        </w:rPr>
        <w:t>а за Европейския съюз, настоящият регламент не надхвърля необходимото за постигане на тази цел.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Избор на инструмент</w:t>
      </w:r>
    </w:p>
    <w:p w:rsidR="00C01504" w:rsidRDefault="00D55ECA">
      <w:pPr>
        <w:spacing w:after="240"/>
        <w:rPr>
          <w:rFonts w:eastAsia="Arial Unicode MS"/>
          <w:noProof/>
          <w:color w:val="000000"/>
          <w:szCs w:val="24"/>
          <w:bdr w:val="none" w:sz="0" w:space="0" w:color="auto" w:frame="1"/>
        </w:rPr>
      </w:pPr>
      <w:r>
        <w:rPr>
          <w:noProof/>
          <w:color w:val="000000"/>
          <w:bdr w:val="none" w:sz="0" w:space="0" w:color="auto" w:frame="1"/>
        </w:rPr>
        <w:t xml:space="preserve">Предложеният инструмент е регламент в съответствие с </w:t>
      </w:r>
      <w:r>
        <w:rPr>
          <w:noProof/>
        </w:rPr>
        <w:t>член 207 от ДФЕС.</w:t>
      </w:r>
    </w:p>
    <w:p w:rsidR="00C01504" w:rsidRDefault="00D55ECA"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РЕЗУЛТАТИ ОТ ПОСЛЕДВАЩИТЕ ОЦЕНКИ, КОНСУЛТАЦИИ СЪС ЗАИНТЕРЕСОВАНИ</w:t>
      </w:r>
      <w:r>
        <w:rPr>
          <w:noProof/>
        </w:rPr>
        <w:t>ТЕ СТРАНИ И ОЦЕНКИ НА ВЪЗДЕЙСТВИЕТО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Последващи оценки/проверки за пригодност на действащото законодателство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Целта на предложения регламент е да се изпълнят нови международни задължения по отношение на правото на Съюза. Поради това ретроспективната оценка</w:t>
      </w:r>
      <w:r>
        <w:rPr>
          <w:noProof/>
        </w:rPr>
        <w:t xml:space="preserve"> на съществуващото европейско законодателство не е уместна и не се изисква в този контекст. Наличната информация относно съответното европейско законодателство обаче беше взета под внимание, по-специално резултатите от обществените консултации и съществува</w:t>
      </w:r>
      <w:r>
        <w:rPr>
          <w:noProof/>
        </w:rPr>
        <w:t>щите експертни материали.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Консултации със заинтересованите страни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За целите на предложения регламент, с който се въвеждат разпоредби, установени на международно равнище, не беше проведена специална консултация със заинтересованите страни. Широката общест</w:t>
      </w:r>
      <w:r>
        <w:rPr>
          <w:noProof/>
          <w:color w:val="000000"/>
          <w:u w:color="000000"/>
          <w:bdr w:val="nil"/>
        </w:rPr>
        <w:t>вена консултация относно преразглеждането на правилата на ЕС в областта на авторското право, проведена от Комисията между декември 2013 г. и март 2014 г., включваше и раздел относно ограничения и изключения в полза на лица с увреждания и относно достъпа до</w:t>
      </w:r>
      <w:r>
        <w:rPr>
          <w:noProof/>
          <w:color w:val="000000"/>
          <w:u w:color="000000"/>
          <w:bdr w:val="nil"/>
        </w:rPr>
        <w:t xml:space="preserve"> произведения в достъпни формати и разпространението им с позоваване и на Маракешкия договор</w:t>
      </w:r>
      <w:r>
        <w:rPr>
          <w:rStyle w:val="FootnoteReference"/>
          <w:noProof/>
        </w:rPr>
        <w:footnoteReference w:id="7"/>
      </w:r>
      <w:r>
        <w:rPr>
          <w:noProof/>
          <w:color w:val="000000"/>
          <w:u w:color="000000"/>
          <w:bdr w:val="nil"/>
        </w:rPr>
        <w:t>. Наред с други аспекти, крайните ползватели, потребителите и институционалните ползватели (включително организации за удовлетворяване на потребностите на хора с у</w:t>
      </w:r>
      <w:r>
        <w:rPr>
          <w:noProof/>
          <w:color w:val="000000"/>
          <w:u w:color="000000"/>
          <w:bdr w:val="nil"/>
        </w:rPr>
        <w:t xml:space="preserve">вреждания и библиотеки) посочиха в мненията си различията в обхвата на изключенията или ограниченията на национално равнище, в резултат на което е трудно да се гарантира </w:t>
      </w:r>
      <w:r>
        <w:rPr>
          <w:noProof/>
          <w:color w:val="000000"/>
          <w:bdr w:val="nil"/>
        </w:rPr>
        <w:t>правна сигурност при износа и вноса на копия в достъпен формат, направени съгласно огр</w:t>
      </w:r>
      <w:r>
        <w:rPr>
          <w:noProof/>
          <w:color w:val="000000"/>
          <w:bdr w:val="nil"/>
        </w:rPr>
        <w:t xml:space="preserve">аничение на авторското право или изключение от него по силата на националното законодателство. Институционалните респонденти бяха на едно мнение, че Маракешкият договор би отговорил задоволително на тези опасения. </w:t>
      </w:r>
      <w:r>
        <w:rPr>
          <w:noProof/>
        </w:rPr>
        <w:t>Носителите на права и организациите за кол</w:t>
      </w:r>
      <w:r>
        <w:rPr>
          <w:noProof/>
        </w:rPr>
        <w:t>ективно управление на права като цяло бяха на мнение, че не са налице проблеми, произтичащи от прилагането на национално равнище на незадължителното изключение или ограничение, предвидено в законодателството на Съюза. Те също така отбелязаха, че със същест</w:t>
      </w:r>
      <w:r>
        <w:rPr>
          <w:noProof/>
        </w:rPr>
        <w:t>вуващите пазарни механизми ефективно се решава проблемът с достъпа на лица с увреждания до произведения. Този възглед не беше споделен от крайните ползватели, потребителите и институционалните ползватели.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Събиране и използване на експертни становища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Не с</w:t>
      </w:r>
      <w:r>
        <w:rPr>
          <w:noProof/>
        </w:rPr>
        <w:t>а събирани експертни становища специално за подготовката на настоящото предложение. Комисията взе под внимание проучване от 2013 г. относно прилагането на Директива 2001/29/ЕО</w:t>
      </w:r>
      <w:r>
        <w:rPr>
          <w:rStyle w:val="FootnoteReference"/>
          <w:noProof/>
        </w:rPr>
        <w:footnoteReference w:id="8"/>
      </w:r>
      <w:r>
        <w:rPr>
          <w:noProof/>
        </w:rPr>
        <w:t>, в рамките на което е направена оценка, наред с другото, на прилагането в 11 дъ</w:t>
      </w:r>
      <w:r>
        <w:rPr>
          <w:noProof/>
        </w:rPr>
        <w:t>ржави — членки на ЕС, на незадължителното изключение или ограничение за лица с увреждания съгласно член 5, параграф 3, буква б) от същата директива.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Оценка на въздействието</w:t>
      </w:r>
    </w:p>
    <w:p w:rsidR="00C01504" w:rsidRDefault="00D55ECA">
      <w:pPr>
        <w:spacing w:after="240"/>
        <w:rPr>
          <w:rFonts w:eastAsia="Arial Unicode MS"/>
          <w:noProof/>
          <w:color w:val="000000"/>
          <w:szCs w:val="24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 xml:space="preserve">С предложения регламент ще се изпълнят задълженията, породени от Маракешкия </w:t>
      </w:r>
      <w:r>
        <w:rPr>
          <w:noProof/>
          <w:color w:val="000000"/>
          <w:u w:color="000000"/>
          <w:bdr w:val="nil"/>
        </w:rPr>
        <w:t>договор за обмена на копия в достъпни формати с трети държави, и се цели правото на Съюза да бъде приведено в съответствие с Договора в това отношение. Съгласно Насоките за по-добро регулиране</w:t>
      </w:r>
      <w:r>
        <w:rPr>
          <w:rStyle w:val="FootnoteReference"/>
          <w:noProof/>
        </w:rPr>
        <w:footnoteReference w:id="9"/>
      </w:r>
      <w:r>
        <w:rPr>
          <w:noProof/>
          <w:color w:val="000000"/>
          <w:u w:color="000000"/>
          <w:bdr w:val="nil"/>
        </w:rPr>
        <w:t xml:space="preserve"> не се изисква извършването на оценка на въздействието, когато </w:t>
      </w:r>
      <w:r>
        <w:rPr>
          <w:noProof/>
          <w:color w:val="000000"/>
          <w:u w:color="000000"/>
          <w:bdr w:val="nil"/>
        </w:rPr>
        <w:t>Комисията не разполага със свобода на преценка по отношение на съдържанието на политиката.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Основни права</w:t>
      </w:r>
    </w:p>
    <w:p w:rsidR="00C01504" w:rsidRDefault="00D55ECA">
      <w:pPr>
        <w:rPr>
          <w:noProof/>
        </w:rPr>
      </w:pPr>
      <w:r>
        <w:rPr>
          <w:noProof/>
          <w:color w:val="000000"/>
          <w:u w:color="000000"/>
          <w:bdr w:val="nil"/>
        </w:rPr>
        <w:t xml:space="preserve">Предложеният регламент </w:t>
      </w:r>
      <w:r>
        <w:rPr>
          <w:noProof/>
        </w:rPr>
        <w:t>е в подкрепа на правото на лицата с увреждания да се ползват от мерки, които осигуряват тяхната автономност, социалната и проф</w:t>
      </w:r>
      <w:r>
        <w:rPr>
          <w:noProof/>
        </w:rPr>
        <w:t xml:space="preserve">есионалната им интеграция и участието им в живота на Общността, както е заложено в член 26 от Хартата на основните права на Европейския съюз („Хартата“). </w:t>
      </w:r>
      <w:r>
        <w:rPr>
          <w:noProof/>
          <w:color w:val="000000"/>
          <w:u w:color="000000"/>
          <w:bdr w:val="nil"/>
        </w:rPr>
        <w:t>Регламентът също така отразява поетите от Съюза ангажименти по</w:t>
      </w:r>
      <w:r>
        <w:rPr>
          <w:noProof/>
        </w:rPr>
        <w:t xml:space="preserve"> КПХУ на ООН. КПХУ на ООН гарантира на х</w:t>
      </w:r>
      <w:r>
        <w:rPr>
          <w:noProof/>
        </w:rPr>
        <w:t>ората с увреждания правото на достъп до информация и правото на участие в културния, социалния и икономическия живот на равна основа с другите хора. С оглед на това е оправдано да се ограничат правата на собственост на носителите на такива права във връзка</w:t>
      </w:r>
      <w:r>
        <w:rPr>
          <w:noProof/>
        </w:rPr>
        <w:t xml:space="preserve"> със задълженията на Съюза съгласно Хартата</w:t>
      </w:r>
      <w:r>
        <w:rPr>
          <w:rStyle w:val="FootnoteReference"/>
          <w:noProof/>
        </w:rPr>
        <w:footnoteReference w:id="10"/>
      </w:r>
      <w:r>
        <w:rPr>
          <w:noProof/>
        </w:rPr>
        <w:t>.</w:t>
      </w:r>
    </w:p>
    <w:p w:rsidR="00C01504" w:rsidRDefault="00D55ECA">
      <w:pPr>
        <w:rPr>
          <w:noProof/>
        </w:rPr>
      </w:pPr>
      <w:r>
        <w:rPr>
          <w:noProof/>
        </w:rPr>
        <w:t>Предложението би оказало ограничено въздействие върху авторското право като право на собственост, признато от Хартата (член 17, параграф 2)</w:t>
      </w:r>
      <w:r>
        <w:rPr>
          <w:rStyle w:val="FootnoteReference"/>
          <w:noProof/>
        </w:rPr>
        <w:footnoteReference w:id="11"/>
      </w:r>
      <w:r>
        <w:rPr>
          <w:noProof/>
        </w:rPr>
        <w:t>. В този контекст следва да се отбележи, че с Директива [...] се въвед</w:t>
      </w:r>
      <w:r>
        <w:rPr>
          <w:noProof/>
        </w:rPr>
        <w:t xml:space="preserve">е задължително изключение от авторското право в полза на бенефициерите по настоящото предложение. Така въздействието на настоящия регламент ще бъде ограничено до уреждане на обмена на копия в достъпни формати с трети държави, които са страни по Маракешкия </w:t>
      </w:r>
      <w:r>
        <w:rPr>
          <w:noProof/>
        </w:rPr>
        <w:t>договор.</w:t>
      </w:r>
    </w:p>
    <w:p w:rsidR="00C01504" w:rsidRDefault="00D55ECA"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ОТРАЖЕНИЕ ВЪРХУ БЮДЖЕТА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Предложението не оказва въздействие върху бюджета на Съюза.</w:t>
      </w:r>
    </w:p>
    <w:p w:rsidR="00C01504" w:rsidRDefault="00D55ECA"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ДРУГИ ЕЛЕМЕНТИ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Планове за изпълнение и механизъм за мониторинг, оценка и докладване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В съответствие с Насоките за по-добро регулиране и не по-рано от пет го</w:t>
      </w:r>
      <w:r>
        <w:rPr>
          <w:noProof/>
        </w:rPr>
        <w:t>дини след датата, от която се прилага Регламентът, Комисията извършва оценка на Регламента и да представя основните констатации на Европейския парламент, Съвета и Европейския икономически и социален комитет, придружени при необходимост от предложения за из</w:t>
      </w:r>
      <w:r>
        <w:rPr>
          <w:noProof/>
        </w:rPr>
        <w:t>менение на Регламента. По същия начин тя извършва оценка и на Директива [...].</w:t>
      </w:r>
    </w:p>
    <w:p w:rsidR="00C01504" w:rsidRDefault="00D55ECA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Подробно разяснение на конкретните разпоредби на предложението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В член 1 се определят предметът и приложното поле на предложението. С предложения регламент се урежда обменът на</w:t>
      </w:r>
      <w:r>
        <w:rPr>
          <w:noProof/>
        </w:rPr>
        <w:t xml:space="preserve"> копия в достъпни формати на някои произведения и други закриляни обекти, защитени с авторско право или сродните му права, между Съюза и трети държави в съответствие с Маракешкия договор. 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Член 2 съдържа определенията на термините „произведение или друг за</w:t>
      </w:r>
      <w:r>
        <w:rPr>
          <w:noProof/>
        </w:rPr>
        <w:t>крилян обект“, „бенефициер“, „копие в достъпен формат“ и „оправомощен субект“, които се прилагат за целите на предложения регламент.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Член 3 съдържа разпоредби относно износа на копия в достъпни формати от Съюза в трети държави.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Член 4 съдържа разпоредби от</w:t>
      </w:r>
      <w:r>
        <w:rPr>
          <w:noProof/>
        </w:rPr>
        <w:t xml:space="preserve">носно вноса на копия в достъпни формати от трети държави в Съюза. </w:t>
      </w:r>
    </w:p>
    <w:p w:rsidR="00C01504" w:rsidRDefault="00D55ECA">
      <w:pPr>
        <w:spacing w:before="0" w:after="240"/>
        <w:rPr>
          <w:rFonts w:eastAsia="Arial Unicode MS" w:hAnsi="Arial Unicode MS" w:cs="Arial Unicode MS"/>
          <w:noProof/>
          <w:color w:val="000000"/>
          <w:szCs w:val="24"/>
          <w:u w:color="000000"/>
        </w:rPr>
      </w:pPr>
      <w:r>
        <w:rPr>
          <w:noProof/>
          <w:color w:val="000000"/>
          <w:u w:color="000000"/>
        </w:rPr>
        <w:t>Член </w:t>
      </w:r>
      <w:r>
        <w:rPr>
          <w:rFonts w:hAnsi="Arial Unicode MS"/>
          <w:noProof/>
          <w:color w:val="000000"/>
          <w:u w:color="000000"/>
        </w:rPr>
        <w:t xml:space="preserve">5 </w:t>
      </w:r>
      <w:r>
        <w:rPr>
          <w:noProof/>
          <w:color w:val="000000"/>
          <w:u w:color="000000"/>
        </w:rPr>
        <w:t>има за цел да определи задълженията</w:t>
      </w:r>
      <w:r>
        <w:rPr>
          <w:rFonts w:hAnsi="Arial Unicode MS"/>
          <w:noProof/>
          <w:color w:val="000000"/>
          <w:u w:color="000000"/>
        </w:rPr>
        <w:t>,</w:t>
      </w:r>
      <w:r>
        <w:rPr>
          <w:noProof/>
          <w:color w:val="000000"/>
          <w:u w:color="000000"/>
        </w:rPr>
        <w:t xml:space="preserve"> които оправомощените субекти трябва да изпълняват при обмена на копия в достъпен формат с трети държави</w:t>
      </w:r>
      <w:r>
        <w:rPr>
          <w:rFonts w:hAnsi="Arial Unicode MS"/>
          <w:noProof/>
          <w:color w:val="000000"/>
          <w:u w:color="000000"/>
        </w:rPr>
        <w:t xml:space="preserve">. 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Член 6 определя приложимите правила за защита на личните данни. 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Член 7 определя механизма за оценка на настоящия регламент в съответствие с правилата за по-добро регулиране.</w:t>
      </w:r>
    </w:p>
    <w:p w:rsidR="00C01504" w:rsidRDefault="00D55ECA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Член 8 определя влизането в сила на Регламента, а член 9 — прилагането му във вре</w:t>
      </w:r>
      <w:r>
        <w:rPr>
          <w:noProof/>
        </w:rPr>
        <w:t>мето.</w:t>
      </w:r>
    </w:p>
    <w:p w:rsidR="00C01504" w:rsidRDefault="00C01504">
      <w:pPr>
        <w:rPr>
          <w:noProof/>
        </w:rPr>
        <w:sectPr w:rsidR="00C01504" w:rsidSect="00D55ECA">
          <w:footerReference w:type="default" r:id="rId15"/>
          <w:footerReference w:type="first" r:id="rId16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:rsidR="00C01504" w:rsidRDefault="00D55ECA" w:rsidP="00D55ECA">
      <w:pPr>
        <w:pStyle w:val="Rfrenceinterinstitutionnelle"/>
        <w:rPr>
          <w:noProof/>
        </w:rPr>
      </w:pPr>
      <w:r w:rsidRPr="00D55ECA">
        <w:t>2016/0279 (COD)</w:t>
      </w:r>
    </w:p>
    <w:p w:rsidR="00C01504" w:rsidRDefault="00D55ECA" w:rsidP="00D55ECA">
      <w:pPr>
        <w:pStyle w:val="Statut"/>
        <w:rPr>
          <w:noProof/>
        </w:rPr>
      </w:pPr>
      <w:r w:rsidRPr="00D55ECA">
        <w:t>Предложение за</w:t>
      </w:r>
    </w:p>
    <w:p w:rsidR="00C01504" w:rsidRDefault="00D55ECA" w:rsidP="00D55ECA">
      <w:pPr>
        <w:pStyle w:val="Typedudocument"/>
        <w:rPr>
          <w:noProof/>
        </w:rPr>
      </w:pPr>
      <w:r w:rsidRPr="00D55ECA">
        <w:t>РЕГЛАМЕНТ НА ЕВРОПЕЙСКИЯ ПАРЛАМЕНТ И НА СЪВЕТА</w:t>
      </w:r>
    </w:p>
    <w:p w:rsidR="00C01504" w:rsidRDefault="00D55ECA" w:rsidP="00D55ECA">
      <w:pPr>
        <w:pStyle w:val="Titreobjet"/>
        <w:rPr>
          <w:noProof/>
        </w:rPr>
      </w:pPr>
      <w:r w:rsidRPr="00D55ECA">
        <w:t xml:space="preserve">относно трансграничния обмен между Съюза и трети държави на копия в достъпни формати от определени произведения и други закриляни обекти, защитени с авторско право и сродните му права, в полза на слепи хора, лица с нарушено зрение или с други увреждания, които не позволяват четенето на печатни материали </w:t>
      </w:r>
    </w:p>
    <w:p w:rsidR="00C01504" w:rsidRDefault="00D55ECA">
      <w:pPr>
        <w:pStyle w:val="Institutionquiagit"/>
        <w:rPr>
          <w:noProof/>
        </w:rPr>
      </w:pPr>
      <w:r>
        <w:rPr>
          <w:noProof/>
        </w:rPr>
        <w:t>ЕВРОПЕЙСКИЯТ ПАРЛАМЕНТ И СЪВЕТЪТ НА ЕВРОПЕЙСКИЯ СЪЮЗ,</w:t>
      </w:r>
    </w:p>
    <w:p w:rsidR="00C01504" w:rsidRDefault="00D55ECA">
      <w:pPr>
        <w:rPr>
          <w:noProof/>
        </w:rPr>
      </w:pPr>
      <w:r>
        <w:rPr>
          <w:noProof/>
        </w:rPr>
        <w:t>като взеха предвид Договора за функционирането на Европейския съюз, и по-специално член 207 от него,</w:t>
      </w:r>
    </w:p>
    <w:p w:rsidR="00C01504" w:rsidRDefault="00D55ECA">
      <w:pPr>
        <w:rPr>
          <w:noProof/>
        </w:rPr>
      </w:pPr>
      <w:r>
        <w:rPr>
          <w:noProof/>
        </w:rPr>
        <w:t>като взеха предвид предложението на Европейската ко</w:t>
      </w:r>
      <w:r>
        <w:rPr>
          <w:noProof/>
        </w:rPr>
        <w:t>мисия,</w:t>
      </w:r>
    </w:p>
    <w:p w:rsidR="00C01504" w:rsidRDefault="00D55ECA">
      <w:pPr>
        <w:rPr>
          <w:noProof/>
        </w:rPr>
      </w:pPr>
      <w:r>
        <w:rPr>
          <w:noProof/>
        </w:rPr>
        <w:t>след предаване на проекта на законодателния акт на националните парламенти,</w:t>
      </w:r>
    </w:p>
    <w:p w:rsidR="00C01504" w:rsidRDefault="00D55ECA">
      <w:pPr>
        <w:rPr>
          <w:noProof/>
        </w:rPr>
      </w:pPr>
      <w:r>
        <w:rPr>
          <w:noProof/>
        </w:rPr>
        <w:t>в съответствие с обикновената законодателна процедура,</w:t>
      </w:r>
    </w:p>
    <w:p w:rsidR="00C01504" w:rsidRDefault="00D55ECA">
      <w:pPr>
        <w:rPr>
          <w:noProof/>
        </w:rPr>
      </w:pPr>
      <w:r>
        <w:rPr>
          <w:noProof/>
        </w:rPr>
        <w:t>като имат предвид, че:</w:t>
      </w:r>
    </w:p>
    <w:p w:rsidR="00C01504" w:rsidRDefault="00D55ECA"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  <w:t>Лицата, които са слепи, с нарушено зрение или с други увреждания, които не им позволяват че</w:t>
      </w:r>
      <w:r>
        <w:rPr>
          <w:noProof/>
        </w:rPr>
        <w:t xml:space="preserve">тенето на печатни материали, продължават да се сблъскват с множество пречки пред достъпа до книги и други печатни материали. Необходимостта от увеличаване на броя на произведенията и другите закриляни обекти в достъпни формати, които са на разположение на </w:t>
      </w:r>
      <w:r>
        <w:rPr>
          <w:noProof/>
        </w:rPr>
        <w:t>тези лица, и от подобряване на тяхното движение и разпространение беше призната на международно равнище. Маракешкият договор за улесняване на достъпа до публикувани произведения за слепи хора, лица с нарушено зрение или с други увреждания, които не позволя</w:t>
      </w:r>
      <w:r>
        <w:rPr>
          <w:noProof/>
        </w:rPr>
        <w:t>ват четенето на печатни материали („Маракешкият договор“), беше приет на 30 април 2014 г.</w:t>
      </w:r>
      <w:r>
        <w:rPr>
          <w:rStyle w:val="FootnoteReference"/>
          <w:noProof/>
        </w:rPr>
        <w:footnoteReference w:id="12"/>
      </w:r>
      <w:r>
        <w:rPr>
          <w:noProof/>
        </w:rPr>
        <w:t xml:space="preserve"> Той задължава договарящите се страни да предоставят изключения или ограничения от/на изключителното право на носителите на авторско право и сродните му права за създ</w:t>
      </w:r>
      <w:r>
        <w:rPr>
          <w:noProof/>
        </w:rPr>
        <w:t xml:space="preserve">аването и разпространението на копия в достъпни формати на някои произведения и други закриляни обекти, и за трансграничен обмен на копия в достъпни формати. Бенефициери по Маракешкия договор са лицата, които са слепи, с нарушено зрение, сетивно увреждане </w:t>
      </w:r>
      <w:r>
        <w:rPr>
          <w:noProof/>
        </w:rPr>
        <w:t>или друго увреждане — включително дислексия, което ги възпрепятства да четат печатни материали в същата степен, както лица без такова увреждане, или поради физическо увреждане не са в състояние да държат книга или да боравят с нея, или не могат да фокусира</w:t>
      </w:r>
      <w:r>
        <w:rPr>
          <w:noProof/>
        </w:rPr>
        <w:t>т зрението си или да движат очите си в степента, която обикновено е необходима за четене.</w:t>
      </w:r>
    </w:p>
    <w:p w:rsidR="00C01504" w:rsidRDefault="00D55ECA"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С Директива [...] се цели изпълнението по хармонизиран начин на задълженията на Съюза съгласно Маракешкия договор, за да се подобри наличието за бенефициерите на </w:t>
      </w:r>
      <w:r>
        <w:rPr>
          <w:noProof/>
        </w:rPr>
        <w:t xml:space="preserve">копия в достъпни формати и тяхното разпространение в рамките на вътрешния пазар. Съгласно Директивата от държавите членки се изисква да въведат задължително изключение от някои права на носителите им, хармонизирани от правото на Съюза. Целите на настоящия </w:t>
      </w:r>
      <w:r>
        <w:rPr>
          <w:noProof/>
        </w:rPr>
        <w:t xml:space="preserve">регламент са да се изпълнят задълженията съгласно Маракешкия договор по отношение на износа и вноса на копия в достъпни формати в полза на бенефициери между Съюза и трети държави, които са страни по Маракешкия договор, и да се определят условията за такъв </w:t>
      </w:r>
      <w:r>
        <w:rPr>
          <w:noProof/>
        </w:rPr>
        <w:t>износ и внос. Такива мерки могат да бъдат предприети единствено на равнището на Съюза, тъй като обменът на копия в достъпни формати на произведения и други закриляни обекти засяга търговските аспекти на интелектуалната собственост. Единственият подходящ ин</w:t>
      </w:r>
      <w:r>
        <w:rPr>
          <w:noProof/>
        </w:rPr>
        <w:t>струмент е регламент.</w:t>
      </w:r>
    </w:p>
    <w:p w:rsidR="00C01504" w:rsidRDefault="00D55ECA"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  <w:t>Регламентът следва да гарантира, че копия в достъпни формати от книги, специализирани издания, вестници, списания и други писмени произведения, музикални партитури и други печатни материали, направени в някоя държава членка в съот</w:t>
      </w:r>
      <w:r>
        <w:rPr>
          <w:noProof/>
        </w:rPr>
        <w:t>ветствие с националните разпоредби, приети съгласно Директива [...], могат да бъдат изнасяни в трети държави, които са страни по Маракешкия договор. Достъпните формати включват брайлово писмо, едър шрифт, адаптирани електронни книги, аудиокниги и радиопред</w:t>
      </w:r>
      <w:r>
        <w:rPr>
          <w:noProof/>
        </w:rPr>
        <w:t>авания. Разпространението, разгласяването или предоставянето на копия в достъпни формати за лица с увреждания, които не позволяват четенето на печатни материали, или за оправомощени субекти в трети държави следва да се осъществява само с нестопанска цел от</w:t>
      </w:r>
      <w:r>
        <w:rPr>
          <w:noProof/>
        </w:rPr>
        <w:t xml:space="preserve"> оправомощени субекти, установени в Съюза.</w:t>
      </w:r>
    </w:p>
    <w:p w:rsidR="00C01504" w:rsidRDefault="00D55ECA"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  <w:t>Настоящият регламент следва също така да даде възможност за внос и достъп до копия в достъпни формати, направени на основание Маракешкия договор от трета държава, от бенефициери в Съюза и оправомощени субекти,</w:t>
      </w:r>
      <w:r>
        <w:rPr>
          <w:noProof/>
        </w:rPr>
        <w:t xml:space="preserve"> установени в Съюза, в полза на лица с увреждания, които не им позволяват четенето на печатни материали. Следва да бъде възможно тези копия в достъпен формат да бъдат разпространявани на вътрешния пазар при същите условия както копията в достъпен формат, н</w:t>
      </w:r>
      <w:r>
        <w:rPr>
          <w:noProof/>
        </w:rPr>
        <w:t>аправени в Съюза в съответствие с Директива [...].</w:t>
      </w:r>
    </w:p>
    <w:p w:rsidR="00C01504" w:rsidRDefault="00D55ECA">
      <w:pPr>
        <w:pStyle w:val="ManualConsidrant"/>
        <w:rPr>
          <w:noProof/>
        </w:rPr>
      </w:pPr>
      <w:r>
        <w:rPr>
          <w:noProof/>
        </w:rPr>
        <w:t>(5)</w:t>
      </w:r>
      <w:r>
        <w:rPr>
          <w:noProof/>
        </w:rPr>
        <w:tab/>
        <w:t>С цел да се повиши наличието на копия в достъпни формати и да се предотврати незаконното разпространение на произведения и други закриляни обекти, оправомощените субекти, които извършват дейности по ра</w:t>
      </w:r>
      <w:r>
        <w:rPr>
          <w:noProof/>
        </w:rPr>
        <w:t>зпространение или предоставяне на копия в достъпни формати, следва да спазват определени задължения.</w:t>
      </w:r>
    </w:p>
    <w:p w:rsidR="00C01504" w:rsidRDefault="00D55ECA">
      <w:pPr>
        <w:pStyle w:val="ManualConsidrant"/>
        <w:rPr>
          <w:noProof/>
          <w:color w:val="000000" w:themeColor="text1"/>
        </w:rPr>
      </w:pPr>
      <w:r>
        <w:rPr>
          <w:noProof/>
        </w:rPr>
        <w:t>(6)</w:t>
      </w:r>
      <w:r>
        <w:rPr>
          <w:noProof/>
        </w:rPr>
        <w:tab/>
        <w:t>При всяко обработване на лични данни съгласно настоящия регламент следва да се спазват основните права, включително правото на зачитане на личния и сем</w:t>
      </w:r>
      <w:r>
        <w:rPr>
          <w:noProof/>
        </w:rPr>
        <w:t>ейния живот и правото на защита на личните данни съгласно членове 7 и 8 от Хартата на основните права на Европейския съюз, и то трябва да бъде в съответствие с Директива 95/46/ЕО на Европейския парламент и на Съвета</w:t>
      </w:r>
      <w:r>
        <w:rPr>
          <w:rStyle w:val="FootnoteReference"/>
          <w:noProof/>
        </w:rPr>
        <w:footnoteReference w:id="13"/>
      </w:r>
      <w:r>
        <w:rPr>
          <w:noProof/>
        </w:rPr>
        <w:t>, уреждаща обработването на лични данни,</w:t>
      </w:r>
      <w:r>
        <w:rPr>
          <w:noProof/>
        </w:rPr>
        <w:t xml:space="preserve"> което може да се извършва от оправомощените субекти в рамките на настоящия регламент и под надзора на компетентните органи на държавите членки, по-специално публичните независими органи, определени от държавите членки. </w:t>
      </w:r>
    </w:p>
    <w:p w:rsidR="00C01504" w:rsidRDefault="00D55ECA">
      <w:pPr>
        <w:pStyle w:val="ManualConsidrant"/>
        <w:rPr>
          <w:noProof/>
        </w:rPr>
      </w:pPr>
      <w:r>
        <w:rPr>
          <w:noProof/>
        </w:rPr>
        <w:t>(7)</w:t>
      </w:r>
      <w:r>
        <w:rPr>
          <w:noProof/>
        </w:rPr>
        <w:tab/>
        <w:t>Конвенцията на Организацията на</w:t>
      </w:r>
      <w:r>
        <w:rPr>
          <w:noProof/>
        </w:rPr>
        <w:t xml:space="preserve"> обединените нации за правата на хората с увреждания („КПХУ на ООН“), по която ЕС е страна, гарантира на хората с увреждания правото на достъп до информация и правото на участие в културния, икономическия и социалния живот на равна основа с другите хора. К</w:t>
      </w:r>
      <w:r>
        <w:rPr>
          <w:noProof/>
        </w:rPr>
        <w:t>ПХУ на ООН задължава страните по Конвенцията да предприемат всички подходящи мерки в съответствие с международното право, за да гарантират, че разпоредбите за закрила на правата върху интелектуална собственост не служат като необоснована или дискриминацион</w:t>
      </w:r>
      <w:r>
        <w:rPr>
          <w:noProof/>
        </w:rPr>
        <w:t>на преграда пред достъпа на хора с увреждания до материали с културен характер.</w:t>
      </w:r>
    </w:p>
    <w:p w:rsidR="00C01504" w:rsidRDefault="00D55ECA">
      <w:pPr>
        <w:pStyle w:val="ManualConsidrant"/>
        <w:rPr>
          <w:noProof/>
        </w:rPr>
      </w:pPr>
      <w:r>
        <w:rPr>
          <w:noProof/>
        </w:rPr>
        <w:t>(8)</w:t>
      </w:r>
      <w:r>
        <w:rPr>
          <w:noProof/>
        </w:rPr>
        <w:tab/>
        <w:t xml:space="preserve">Настоящият регламент зачита основните права и съблюдава принципите, признати в Хартата на основните права на Европейския съюз. Настоящият регламент следва да бъде тълкуван </w:t>
      </w:r>
      <w:r>
        <w:rPr>
          <w:noProof/>
        </w:rPr>
        <w:t>и прилаган в съответствие с тези права и принципи.</w:t>
      </w:r>
    </w:p>
    <w:p w:rsidR="00C01504" w:rsidRDefault="00D55ECA">
      <w:pPr>
        <w:pStyle w:val="Formuledadoption"/>
        <w:rPr>
          <w:noProof/>
        </w:rPr>
      </w:pPr>
      <w:r>
        <w:rPr>
          <w:noProof/>
        </w:rPr>
        <w:t>ПРИЕХА НАСТОЯЩИЯ РЕГЛАМЕНТ:</w:t>
      </w:r>
    </w:p>
    <w:p w:rsidR="00C01504" w:rsidRDefault="00D55ECA">
      <w:pPr>
        <w:pStyle w:val="Titrearticle"/>
        <w:rPr>
          <w:i w:val="0"/>
          <w:noProof/>
        </w:rPr>
      </w:pPr>
      <w:r>
        <w:rPr>
          <w:noProof/>
        </w:rPr>
        <w:t>Член 1</w:t>
      </w:r>
      <w:r>
        <w:rPr>
          <w:noProof/>
        </w:rPr>
        <w:br/>
        <w:t>Предмет и приложно поле</w:t>
      </w:r>
    </w:p>
    <w:p w:rsidR="00C01504" w:rsidRDefault="00D55ECA">
      <w:pPr>
        <w:rPr>
          <w:noProof/>
        </w:rPr>
      </w:pPr>
      <w:r>
        <w:rPr>
          <w:noProof/>
        </w:rPr>
        <w:t>С настоящия регламент се определят правилата за трансграничен обмен на копия в достъпни формати на определени произведения и други закриляни обект</w:t>
      </w:r>
      <w:r>
        <w:rPr>
          <w:noProof/>
        </w:rPr>
        <w:t>и между Съюза и трети държави, които са страни по Маракешкия договор, без разрешение от страна на притежателя на съответното право, в полза на слепи хора, лица с нарушено зрение или с други увреждания, които не им позволяват четенето на печатни материали.</w:t>
      </w:r>
    </w:p>
    <w:p w:rsidR="00C01504" w:rsidRDefault="00D55ECA">
      <w:pPr>
        <w:pStyle w:val="Titrearticle"/>
        <w:rPr>
          <w:i w:val="0"/>
          <w:noProof/>
        </w:rPr>
      </w:pPr>
      <w:r>
        <w:rPr>
          <w:noProof/>
        </w:rPr>
        <w:t>Член 2</w:t>
      </w:r>
      <w:r>
        <w:rPr>
          <w:noProof/>
        </w:rPr>
        <w:br/>
        <w:t>Определения</w:t>
      </w:r>
    </w:p>
    <w:p w:rsidR="00C01504" w:rsidRDefault="00D55ECA">
      <w:pPr>
        <w:rPr>
          <w:noProof/>
        </w:rPr>
      </w:pPr>
      <w:r>
        <w:rPr>
          <w:noProof/>
        </w:rPr>
        <w:t>За целите на настоящия регламент се прилагат следните определения:</w:t>
      </w:r>
    </w:p>
    <w:p w:rsidR="00C01504" w:rsidRDefault="00D55ECA">
      <w:pPr>
        <w:pStyle w:val="Point0number"/>
        <w:numPr>
          <w:ilvl w:val="0"/>
          <w:numId w:val="9"/>
        </w:numPr>
        <w:rPr>
          <w:noProof/>
        </w:rPr>
      </w:pPr>
      <w:r>
        <w:rPr>
          <w:noProof/>
        </w:rPr>
        <w:t>„произведение или друг закрилян обект“ означава творба под формата на книга, специализирано издание, вестник, списание или друг писмен материал, включително музикална пар</w:t>
      </w:r>
      <w:r>
        <w:rPr>
          <w:noProof/>
        </w:rPr>
        <w:t xml:space="preserve">титура, и съответните илюстрации върху всякакви носители и във всякаква форма, включително под формата на звукозапис — например аудиокнига, която е защитена с авторско право или сродните му права и която е публикувана или по друг законен начин е направена </w:t>
      </w:r>
      <w:r>
        <w:rPr>
          <w:noProof/>
        </w:rPr>
        <w:t>публично достояние;</w:t>
      </w:r>
    </w:p>
    <w:p w:rsidR="00C01504" w:rsidRDefault="00D55ECA">
      <w:pPr>
        <w:pStyle w:val="Point0number"/>
        <w:rPr>
          <w:noProof/>
        </w:rPr>
      </w:pPr>
      <w:r>
        <w:rPr>
          <w:noProof/>
        </w:rPr>
        <w:t xml:space="preserve">„бенефициер“ е: 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а)</w:t>
      </w:r>
      <w:r>
        <w:rPr>
          <w:noProof/>
        </w:rPr>
        <w:tab/>
        <w:t xml:space="preserve">лице, което е сляпо; 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б)</w:t>
      </w:r>
      <w:r>
        <w:rPr>
          <w:noProof/>
        </w:rPr>
        <w:tab/>
        <w:t xml:space="preserve">лице с нарушено зрение, което не може да бъде подобрено така, че практически да се изравни с това на лице, което не страда от такова увреждане; 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в)</w:t>
      </w:r>
      <w:r>
        <w:rPr>
          <w:noProof/>
        </w:rPr>
        <w:tab/>
        <w:t xml:space="preserve">лице със сетивно увреждане или друго </w:t>
      </w:r>
      <w:r>
        <w:rPr>
          <w:noProof/>
        </w:rPr>
        <w:t>увреждане — включително дислексия, в резултат на което практически не може да чете печатни материали в същата степен, както лице без такова увреждане; или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г)</w:t>
      </w:r>
      <w:r>
        <w:rPr>
          <w:noProof/>
        </w:rPr>
        <w:tab/>
        <w:t>лице, което поради физическо увреждане не е в състояние да държи книга или да борави с нея, или не</w:t>
      </w:r>
      <w:r>
        <w:rPr>
          <w:noProof/>
        </w:rPr>
        <w:t xml:space="preserve"> може да фокусира зрението си или да движи очите си в степента, която обикновено е необходима за четене;</w:t>
      </w:r>
    </w:p>
    <w:p w:rsidR="00C01504" w:rsidRDefault="00D55ECA">
      <w:pPr>
        <w:pStyle w:val="Point0number"/>
        <w:rPr>
          <w:noProof/>
        </w:rPr>
      </w:pPr>
      <w:r>
        <w:rPr>
          <w:noProof/>
        </w:rPr>
        <w:t>„копие в достъпен формат“ означава копие от произведение или от друг закрилян обект в алтернативен вид или форма, чрез което бенефициерът получава дост</w:t>
      </w:r>
      <w:r>
        <w:rPr>
          <w:noProof/>
        </w:rPr>
        <w:t>ъп до произведението или другия закрилян обект — включително по също толкова практичен и удобен начин, какъвто е достъпът за лице без нарушено зрение или без никое от уврежданията, посочени в параграф 2;</w:t>
      </w:r>
    </w:p>
    <w:p w:rsidR="00C01504" w:rsidRDefault="00D55ECA">
      <w:pPr>
        <w:pStyle w:val="Point0number"/>
        <w:rPr>
          <w:noProof/>
        </w:rPr>
      </w:pPr>
      <w:r>
        <w:rPr>
          <w:noProof/>
        </w:rPr>
        <w:t>„оправомощен субект“ означава организация, чиято осн</w:t>
      </w:r>
      <w:r>
        <w:rPr>
          <w:noProof/>
        </w:rPr>
        <w:t>овна дейност или една от основните ѝ дейности или обществено предназначение е да предоставя с нестопанска цел на бенефициери достъп до образование, обучение, адаптивно четене или информация.</w:t>
      </w:r>
    </w:p>
    <w:p w:rsidR="00C01504" w:rsidRDefault="00D55ECA">
      <w:pPr>
        <w:pStyle w:val="Titrearticle"/>
        <w:rPr>
          <w:i w:val="0"/>
          <w:noProof/>
        </w:rPr>
      </w:pPr>
      <w:r>
        <w:rPr>
          <w:noProof/>
        </w:rPr>
        <w:t>Член 3</w:t>
      </w:r>
      <w:r>
        <w:rPr>
          <w:noProof/>
        </w:rPr>
        <w:br/>
        <w:t>Износ на копия в достъпни формати в трети държави</w:t>
      </w:r>
    </w:p>
    <w:p w:rsidR="00C01504" w:rsidRDefault="00D55ECA">
      <w:pPr>
        <w:rPr>
          <w:noProof/>
        </w:rPr>
      </w:pPr>
      <w:r>
        <w:rPr>
          <w:noProof/>
        </w:rPr>
        <w:t>Оправомо</w:t>
      </w:r>
      <w:r>
        <w:rPr>
          <w:noProof/>
        </w:rPr>
        <w:t>щен субект, установен в държава членка, може да разпространява, разгласява или предоставя на бенефициери или оправомощен субект, установен в трета държава, която е страна по Маракешкия договор, копие в достъпен формат, направено в съответствие с национално</w:t>
      </w:r>
      <w:r>
        <w:rPr>
          <w:noProof/>
        </w:rPr>
        <w:t>то законодателство, прието съгласно Директива [...].</w:t>
      </w:r>
    </w:p>
    <w:p w:rsidR="00C01504" w:rsidRDefault="00D55ECA">
      <w:pPr>
        <w:pStyle w:val="Titrearticle"/>
        <w:rPr>
          <w:i w:val="0"/>
          <w:noProof/>
        </w:rPr>
      </w:pPr>
      <w:r>
        <w:rPr>
          <w:noProof/>
        </w:rPr>
        <w:t>Член 4</w:t>
      </w:r>
      <w:r>
        <w:rPr>
          <w:noProof/>
        </w:rPr>
        <w:br/>
        <w:t xml:space="preserve">Внос на копия в достъпни формати от трети държави </w:t>
      </w:r>
    </w:p>
    <w:p w:rsidR="00C01504" w:rsidRDefault="00D55ECA">
      <w:pPr>
        <w:rPr>
          <w:noProof/>
        </w:rPr>
      </w:pPr>
      <w:r>
        <w:rPr>
          <w:noProof/>
        </w:rPr>
        <w:t>Бенефициер или оправомощен субект, установен в държава членка, може да внесе или да придобие по друг начин, или да получи достъп, след което да и</w:t>
      </w:r>
      <w:r>
        <w:rPr>
          <w:noProof/>
        </w:rPr>
        <w:t>зползва, в съответствие с националното законодателство, прието съгласно Директива [...], копие в достъпен формат, което е било разпространено, разгласено или предоставено на разположение на бенефициери или оправомощени субекти от оправомощен субект в трета</w:t>
      </w:r>
      <w:r>
        <w:rPr>
          <w:noProof/>
        </w:rPr>
        <w:t xml:space="preserve"> държава, която е страна по Маракешкия договор.</w:t>
      </w:r>
    </w:p>
    <w:p w:rsidR="00C01504" w:rsidRDefault="00D55ECA">
      <w:pPr>
        <w:pStyle w:val="Titrearticle"/>
        <w:rPr>
          <w:i w:val="0"/>
          <w:noProof/>
        </w:rPr>
      </w:pPr>
      <w:r>
        <w:rPr>
          <w:noProof/>
        </w:rPr>
        <w:t>Член 5</w:t>
      </w:r>
      <w:r>
        <w:rPr>
          <w:noProof/>
        </w:rPr>
        <w:br/>
        <w:t>Задължения на оправомощените субекти</w:t>
      </w:r>
    </w:p>
    <w:p w:rsidR="00C01504" w:rsidRDefault="00D55ECA">
      <w:pPr>
        <w:pStyle w:val="ManualNumPar1"/>
        <w:rPr>
          <w:noProof/>
        </w:rPr>
      </w:pPr>
      <w:r>
        <w:rPr>
          <w:noProof/>
        </w:rPr>
        <w:t>1.</w:t>
      </w:r>
      <w:r>
        <w:rPr>
          <w:noProof/>
        </w:rPr>
        <w:tab/>
        <w:t>Оправомощен субект, установен в държава членка, който извършва действията, посочени в членове 3 и 4, гарантира, че: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а)</w:t>
      </w:r>
      <w:r>
        <w:rPr>
          <w:noProof/>
        </w:rPr>
        <w:tab/>
        <w:t>разпространява, разгласява и предоставя на</w:t>
      </w:r>
      <w:r>
        <w:rPr>
          <w:noProof/>
        </w:rPr>
        <w:t xml:space="preserve"> разположение копия в достъпни формати единствено за бенефициери или други оправомощени субекти;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б)</w:t>
      </w:r>
      <w:r>
        <w:rPr>
          <w:noProof/>
        </w:rPr>
        <w:tab/>
        <w:t>предприема необходимите мерки за предотвратяване на незаконното възпроизвеждане, разпространение, разгласяване и предоставяне на разположение на копия в дос</w:t>
      </w:r>
      <w:r>
        <w:rPr>
          <w:noProof/>
        </w:rPr>
        <w:t>тъпни формати;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в)</w:t>
      </w:r>
      <w:r>
        <w:rPr>
          <w:noProof/>
        </w:rPr>
        <w:tab/>
        <w:t>показва надлежно старание и документира действията си с произведения и други закриляни обекти, както и с техните копия в достъпни формати; и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г)</w:t>
      </w:r>
      <w:r>
        <w:rPr>
          <w:noProof/>
        </w:rPr>
        <w:tab/>
        <w:t>публикува и актуализира — по възможност на свой уебсайт, информация за начина, по който изпълн</w:t>
      </w:r>
      <w:r>
        <w:rPr>
          <w:noProof/>
        </w:rPr>
        <w:t>ява задълженията, определени в букви а) до в).</w:t>
      </w:r>
    </w:p>
    <w:p w:rsidR="00C01504" w:rsidRDefault="00D55ECA">
      <w:pPr>
        <w:pStyle w:val="ManualNumPar1"/>
        <w:rPr>
          <w:noProof/>
        </w:rPr>
      </w:pPr>
      <w:r>
        <w:rPr>
          <w:noProof/>
        </w:rPr>
        <w:t>2.</w:t>
      </w:r>
      <w:r>
        <w:rPr>
          <w:noProof/>
        </w:rPr>
        <w:tab/>
        <w:t>Оправомощен субект, установен в държава членка, който извършва действията, посочени в членове 3 и 4, предоставя при поискване на всеки бенефициер или носител на права следната информация: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а)</w:t>
      </w:r>
      <w:r>
        <w:rPr>
          <w:noProof/>
        </w:rPr>
        <w:tab/>
        <w:t>списък на произ</w:t>
      </w:r>
      <w:r>
        <w:rPr>
          <w:noProof/>
        </w:rPr>
        <w:t>веденията и другите закриляни обекти, от които разполага с копия в достъпни формати, и на наличните достъпни формати; и</w:t>
      </w:r>
    </w:p>
    <w:p w:rsidR="00C01504" w:rsidRDefault="00D55ECA">
      <w:pPr>
        <w:pStyle w:val="Point1"/>
        <w:rPr>
          <w:noProof/>
        </w:rPr>
      </w:pPr>
      <w:r>
        <w:rPr>
          <w:noProof/>
        </w:rPr>
        <w:t>б)</w:t>
      </w:r>
      <w:r>
        <w:rPr>
          <w:noProof/>
        </w:rPr>
        <w:tab/>
        <w:t xml:space="preserve">името на оправомощените субекти и други данни за тях, с които се е ангажирал да обменя копия в достъпни формати съгласно членове 3 и </w:t>
      </w:r>
      <w:r>
        <w:rPr>
          <w:noProof/>
        </w:rPr>
        <w:t>4.</w:t>
      </w:r>
    </w:p>
    <w:p w:rsidR="00C01504" w:rsidRDefault="00D55ECA">
      <w:pPr>
        <w:pStyle w:val="Titrearticle"/>
        <w:rPr>
          <w:noProof/>
        </w:rPr>
      </w:pPr>
      <w:r>
        <w:rPr>
          <w:noProof/>
        </w:rPr>
        <w:t>Член 6</w:t>
      </w:r>
      <w:r>
        <w:rPr>
          <w:noProof/>
        </w:rPr>
        <w:br/>
        <w:t>Защита на личните данни</w:t>
      </w:r>
    </w:p>
    <w:p w:rsidR="00C01504" w:rsidRDefault="00D55ECA">
      <w:pPr>
        <w:rPr>
          <w:noProof/>
        </w:rPr>
      </w:pPr>
      <w:r>
        <w:rPr>
          <w:noProof/>
        </w:rPr>
        <w:t>Обработването на лични данни, извършвано в рамките на настоящия регламент, се осъществява в съответствие с Директива 95/46/ЕО.</w:t>
      </w:r>
    </w:p>
    <w:p w:rsidR="00C01504" w:rsidRDefault="00D55ECA">
      <w:pPr>
        <w:pStyle w:val="Titrearticle"/>
        <w:rPr>
          <w:noProof/>
        </w:rPr>
      </w:pPr>
      <w:r>
        <w:rPr>
          <w:noProof/>
        </w:rPr>
        <w:t>Член 7</w:t>
      </w:r>
      <w:r>
        <w:rPr>
          <w:noProof/>
        </w:rPr>
        <w:br/>
        <w:t>Преглед</w:t>
      </w:r>
    </w:p>
    <w:p w:rsidR="00C01504" w:rsidRDefault="00D55ECA">
      <w:pPr>
        <w:rPr>
          <w:noProof/>
        </w:rPr>
      </w:pPr>
      <w:r>
        <w:rPr>
          <w:noProof/>
        </w:rPr>
        <w:t>Не по-рано от [пет години след датата, от която се прилага] Комисията оценява на</w:t>
      </w:r>
      <w:r>
        <w:rPr>
          <w:noProof/>
        </w:rPr>
        <w:t>стоящия регламент и представя основните констатации на Европейския парламент, Съвета и Европейския икономически и социален комитет, придружени при необходимост от предложения за изменение на настоящия регламент.</w:t>
      </w:r>
    </w:p>
    <w:p w:rsidR="00C01504" w:rsidRDefault="00D55ECA">
      <w:pPr>
        <w:rPr>
          <w:noProof/>
        </w:rPr>
      </w:pPr>
      <w:r>
        <w:rPr>
          <w:noProof/>
        </w:rPr>
        <w:t>Държавите членки предоставят на Комисията ин</w:t>
      </w:r>
      <w:r>
        <w:rPr>
          <w:noProof/>
        </w:rPr>
        <w:t>формацията, необходима за изготвянето на доклада за оценка.</w:t>
      </w:r>
    </w:p>
    <w:p w:rsidR="00C01504" w:rsidRDefault="00D55ECA">
      <w:pPr>
        <w:pStyle w:val="Titrearticle"/>
        <w:rPr>
          <w:noProof/>
        </w:rPr>
      </w:pPr>
      <w:r>
        <w:rPr>
          <w:noProof/>
        </w:rPr>
        <w:t>Член 8</w:t>
      </w:r>
      <w:r>
        <w:rPr>
          <w:noProof/>
        </w:rPr>
        <w:br/>
        <w:t>Влизане в сила</w:t>
      </w:r>
    </w:p>
    <w:p w:rsidR="00C01504" w:rsidRDefault="00D55ECA">
      <w:pPr>
        <w:rPr>
          <w:noProof/>
        </w:rPr>
      </w:pPr>
      <w:r>
        <w:rPr>
          <w:noProof/>
        </w:rPr>
        <w:t xml:space="preserve">Настоящият регламент влиза в сила на двадесетия ден след деня на публикуването му в </w:t>
      </w:r>
      <w:r>
        <w:rPr>
          <w:i/>
          <w:noProof/>
        </w:rPr>
        <w:t>Официален вестник на Европейския съюз</w:t>
      </w:r>
      <w:r>
        <w:rPr>
          <w:noProof/>
        </w:rPr>
        <w:t>.</w:t>
      </w:r>
    </w:p>
    <w:p w:rsidR="00C01504" w:rsidRDefault="00D55ECA">
      <w:pPr>
        <w:pStyle w:val="Titrearticle"/>
        <w:rPr>
          <w:noProof/>
        </w:rPr>
      </w:pPr>
      <w:r>
        <w:rPr>
          <w:noProof/>
        </w:rPr>
        <w:t>Член 9</w:t>
      </w:r>
      <w:r>
        <w:rPr>
          <w:noProof/>
        </w:rPr>
        <w:br/>
        <w:t>Прилагане</w:t>
      </w:r>
    </w:p>
    <w:p w:rsidR="00C01504" w:rsidRDefault="00D55ECA">
      <w:pPr>
        <w:pStyle w:val="Applicationdirecte"/>
        <w:rPr>
          <w:noProof/>
        </w:rPr>
      </w:pPr>
      <w:r>
        <w:rPr>
          <w:noProof/>
        </w:rPr>
        <w:t xml:space="preserve">Настоящият регламент се прилага, </w:t>
      </w:r>
      <w:r>
        <w:rPr>
          <w:noProof/>
        </w:rPr>
        <w:t>считано от [дата на транспонирането на Директива [...]].</w:t>
      </w:r>
    </w:p>
    <w:p w:rsidR="00C01504" w:rsidRDefault="00D55ECA">
      <w:pPr>
        <w:pStyle w:val="Applicationdirecte"/>
        <w:keepNext/>
        <w:keepLines/>
        <w:rPr>
          <w:noProof/>
        </w:rPr>
      </w:pPr>
      <w:r>
        <w:rPr>
          <w:noProof/>
        </w:rPr>
        <w:t>Настоящият регламент е задължителен в своята цялост и се прилага пряко във всички държави членки.</w:t>
      </w:r>
    </w:p>
    <w:p w:rsidR="00C01504" w:rsidRDefault="00D55ECA" w:rsidP="00D55ECA">
      <w:pPr>
        <w:pStyle w:val="Fait"/>
        <w:rPr>
          <w:noProof/>
        </w:rPr>
      </w:pPr>
      <w:r w:rsidRPr="00D55ECA">
        <w:t xml:space="preserve">Съставено в Брюксел на </w:t>
      </w:r>
      <w:r w:rsidRPr="00D55ECA">
        <w:rPr>
          <w:rStyle w:val="Marker2"/>
        </w:rPr>
        <w:t>[…]</w:t>
      </w:r>
      <w:r w:rsidRPr="00D55ECA">
        <w:t xml:space="preserve"> година.</w:t>
      </w:r>
    </w:p>
    <w:p w:rsidR="00C01504" w:rsidRDefault="00D55ECA">
      <w:pPr>
        <w:pStyle w:val="Institutionquisigne"/>
        <w:rPr>
          <w:noProof/>
        </w:rPr>
      </w:pPr>
      <w:r>
        <w:rPr>
          <w:noProof/>
        </w:rPr>
        <w:t>За Европейския парламент</w:t>
      </w:r>
      <w:r>
        <w:rPr>
          <w:noProof/>
        </w:rPr>
        <w:tab/>
        <w:t>За Съвета</w:t>
      </w:r>
    </w:p>
    <w:p w:rsidR="00C01504" w:rsidRDefault="00D55ECA">
      <w:pPr>
        <w:pStyle w:val="Personnequisigne"/>
        <w:rPr>
          <w:noProof/>
        </w:rPr>
      </w:pPr>
      <w:r>
        <w:rPr>
          <w:noProof/>
        </w:rPr>
        <w:t>Председател</w:t>
      </w:r>
      <w:r>
        <w:rPr>
          <w:noProof/>
        </w:rPr>
        <w:tab/>
        <w:t>Председател</w:t>
      </w:r>
    </w:p>
    <w:sectPr w:rsidR="00C01504" w:rsidSect="00D55ECA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04" w:rsidRDefault="00D55ECA">
      <w:pPr>
        <w:spacing w:before="0" w:after="0"/>
      </w:pPr>
      <w:r>
        <w:separator/>
      </w:r>
    </w:p>
  </w:endnote>
  <w:endnote w:type="continuationSeparator" w:id="0">
    <w:p w:rsidR="00C01504" w:rsidRDefault="00D55E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CA" w:rsidRPr="00D55ECA" w:rsidRDefault="00D55ECA" w:rsidP="00D55E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504" w:rsidRPr="00D55ECA" w:rsidRDefault="00D55ECA" w:rsidP="00D55ECA">
    <w:pPr>
      <w:pStyle w:val="Footer"/>
      <w:rPr>
        <w:rFonts w:ascii="Arial" w:hAnsi="Arial" w:cs="Arial"/>
        <w:b/>
        <w:sz w:val="48"/>
      </w:rPr>
    </w:pPr>
    <w:r w:rsidRPr="00D55ECA">
      <w:rPr>
        <w:rFonts w:ascii="Arial" w:hAnsi="Arial" w:cs="Arial"/>
        <w:b/>
        <w:sz w:val="48"/>
      </w:rPr>
      <w:t>BG</w:t>
    </w:r>
    <w:r w:rsidRPr="00D55ECA">
      <w:rPr>
        <w:rFonts w:ascii="Arial" w:hAnsi="Arial" w:cs="Arial"/>
        <w:b/>
        <w:sz w:val="48"/>
      </w:rPr>
      <w:tab/>
    </w:r>
    <w:r w:rsidRPr="00D55ECA">
      <w:rPr>
        <w:rFonts w:ascii="Arial" w:hAnsi="Arial" w:cs="Arial"/>
        <w:b/>
        <w:sz w:val="48"/>
      </w:rPr>
      <w:tab/>
    </w:r>
    <w:fldSimple w:instr=" DOCVARIABLE &quot;LW_Confidence&quot; \* MERGEFORMAT ">
      <w:r>
        <w:t xml:space="preserve"> </w:t>
      </w:r>
    </w:fldSimple>
    <w:r w:rsidRPr="00D55ECA">
      <w:tab/>
    </w:r>
    <w:proofErr w:type="spellStart"/>
    <w:r w:rsidRPr="00D55ECA">
      <w:rPr>
        <w:rFonts w:ascii="Arial" w:hAnsi="Arial" w:cs="Arial"/>
        <w:b/>
        <w:sz w:val="48"/>
      </w:rPr>
      <w:t>BG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CA" w:rsidRPr="00D55ECA" w:rsidRDefault="00D55ECA" w:rsidP="00D55EC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CA" w:rsidRPr="00D55ECA" w:rsidRDefault="00D55ECA" w:rsidP="00D55ECA">
    <w:pPr>
      <w:pStyle w:val="Footer"/>
      <w:rPr>
        <w:rFonts w:ascii="Arial" w:hAnsi="Arial" w:cs="Arial"/>
        <w:b/>
        <w:sz w:val="48"/>
      </w:rPr>
    </w:pPr>
    <w:r w:rsidRPr="00D55ECA">
      <w:rPr>
        <w:rFonts w:ascii="Arial" w:hAnsi="Arial" w:cs="Arial"/>
        <w:b/>
        <w:sz w:val="48"/>
      </w:rPr>
      <w:t>BG</w:t>
    </w:r>
    <w:r w:rsidRPr="00D55ECA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  <w:r w:rsidRPr="00D55ECA">
      <w:tab/>
    </w:r>
    <w:r w:rsidRPr="00D55ECA"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CA" w:rsidRPr="00D55ECA" w:rsidRDefault="00D55ECA" w:rsidP="00D55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04" w:rsidRDefault="00D55ECA">
      <w:pPr>
        <w:spacing w:before="0" w:after="0"/>
      </w:pPr>
      <w:r>
        <w:separator/>
      </w:r>
    </w:p>
  </w:footnote>
  <w:footnote w:type="continuationSeparator" w:id="0">
    <w:p w:rsidR="00C01504" w:rsidRDefault="00D55ECA">
      <w:pPr>
        <w:spacing w:before="0" w:after="0"/>
      </w:pPr>
      <w:r>
        <w:continuationSeparator/>
      </w:r>
    </w:p>
  </w:footnote>
  <w:footnote w:id="1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  <w:t>Реше</w:t>
      </w:r>
      <w:r>
        <w:t>ние 2014/221/ЕС на Съвета от 14 април 2014 г. за подписване от името на Европейския съюз на Маракешкия договор за улесняване на достъпа до публикувани произведения за слепи хора, лица с нарушено зрение или с други увреждания, които не позволяват четенето н</w:t>
      </w:r>
      <w:r>
        <w:t>а печатни материали (ОВ L 115, 17.4.2014 г., стр. 1).</w:t>
      </w:r>
    </w:p>
  </w:footnote>
  <w:footnote w:id="2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LISU за Кралския национален институт на слепите (Royal National Institute of </w:t>
      </w:r>
      <w:proofErr w:type="spellStart"/>
      <w:r>
        <w:t>Blind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— RNIB). </w:t>
      </w:r>
      <w:proofErr w:type="spellStart"/>
      <w:r>
        <w:rPr>
          <w:i/>
        </w:rPr>
        <w:t>Availability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accessible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publications</w:t>
      </w:r>
      <w:proofErr w:type="spellEnd"/>
      <w:r>
        <w:rPr>
          <w:i/>
        </w:rPr>
        <w:t xml:space="preserve"> - 2011 </w:t>
      </w:r>
      <w:proofErr w:type="spellStart"/>
      <w:r>
        <w:rPr>
          <w:i/>
        </w:rPr>
        <w:t>update</w:t>
      </w:r>
      <w:proofErr w:type="spellEnd"/>
      <w:r>
        <w:t xml:space="preserve"> (Наличие на достъпни публикации — актуализация </w:t>
      </w:r>
      <w:r>
        <w:t>2011 г.), октомври 2011 г.</w:t>
      </w:r>
    </w:p>
  </w:footnote>
  <w:footnote w:id="3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rPr>
          <w:rStyle w:val="FootnoteReference"/>
        </w:rPr>
        <w:footnoteRef/>
      </w:r>
      <w:r>
        <w:rPr>
          <w:i/>
        </w:rPr>
        <w:t xml:space="preserve">Catherine </w:t>
      </w:r>
      <w:proofErr w:type="spellStart"/>
      <w:r>
        <w:rPr>
          <w:i/>
        </w:rPr>
        <w:t>Meyer-Lereculeur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ʻException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ʻhandicapʼ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droit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d’auteur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développement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l’offre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publications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accessibles</w:t>
      </w:r>
      <w:proofErr w:type="spellEnd"/>
      <w:r>
        <w:rPr>
          <w:i/>
        </w:rPr>
        <w:t xml:space="preserve"> à </w:t>
      </w:r>
      <w:proofErr w:type="spellStart"/>
      <w:r>
        <w:rPr>
          <w:i/>
        </w:rPr>
        <w:t>l’ère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numériqueʼ</w:t>
      </w:r>
      <w:proofErr w:type="spellEnd"/>
      <w:r>
        <w:rPr>
          <w:i/>
        </w:rPr>
        <w:t xml:space="preserve"> </w:t>
      </w:r>
      <w:r>
        <w:t xml:space="preserve">(Изключението за лица с увреждания от авторското право и развитие на предлагането </w:t>
      </w:r>
      <w:r>
        <w:t>на достъпни публикации в цифровата ера), май 2013 г.</w:t>
      </w:r>
    </w:p>
  </w:footnote>
  <w:footnote w:id="4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>Тези данни се отнасят за наличието в някои достъпни формати, а не във всички тях.</w:t>
      </w:r>
    </w:p>
  </w:footnote>
  <w:footnote w:id="5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>Решение 2010/48/ЕО на Съвета от 26 ноември 2009 г. относно сключването от Европейската общност на Конвенцията на Орга</w:t>
      </w:r>
      <w:r>
        <w:t>низацията на обединените нации за правата на хората с увреждания (ОВ L 23, 27.1.2010 г., стр. 35).</w:t>
      </w:r>
    </w:p>
  </w:footnote>
  <w:footnote w:id="6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>CRPD/C/EU/CO/1, публикувани на: http://tbinternet.ohchr.org/Treaties/CRPD/Shared%20Documents/EUR/CRPD_C_EU_CO_1_21617_E.doc.</w:t>
      </w:r>
    </w:p>
  </w:footnote>
  <w:footnote w:id="7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proofErr w:type="spellStart"/>
      <w:r>
        <w:rPr>
          <w:i/>
        </w:rPr>
        <w:t>Report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responses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t</w:t>
      </w:r>
      <w:r>
        <w:rPr>
          <w:i/>
        </w:rPr>
        <w:t>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Consultation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EU </w:t>
      </w:r>
      <w:proofErr w:type="spellStart"/>
      <w:r>
        <w:rPr>
          <w:i/>
        </w:rPr>
        <w:t>Copyright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Rules</w:t>
      </w:r>
      <w:proofErr w:type="spellEnd"/>
      <w:r>
        <w:t xml:space="preserve"> (Доклад относно отговорите от обществената консултация относно преразглеждането на правилата на ЕС в областта на авторското право), юли 2014 г., стр. 61—63, </w:t>
      </w:r>
      <w:hyperlink r:id="rId1">
        <w:r>
          <w:rPr>
            <w:rStyle w:val="Hyperlink"/>
          </w:rPr>
          <w:t>http://ec.europa.eu/internal_market/consultations/2013/copyright-rules/index_en.htm.</w:t>
        </w:r>
      </w:hyperlink>
      <w:r>
        <w:t xml:space="preserve"> </w:t>
      </w:r>
    </w:p>
  </w:footnote>
  <w:footnote w:id="8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proofErr w:type="spellStart"/>
      <w:r>
        <w:rPr>
          <w:i/>
        </w:rPr>
        <w:t>Study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application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Directive</w:t>
      </w:r>
      <w:proofErr w:type="spellEnd"/>
      <w:r>
        <w:rPr>
          <w:i/>
        </w:rPr>
        <w:t xml:space="preserve"> 2001/29/EC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copyright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</w:t>
      </w:r>
      <w:r>
        <w:rPr>
          <w:i/>
        </w:rPr>
        <w:t>ociety</w:t>
      </w:r>
      <w:proofErr w:type="spellEnd"/>
      <w:r>
        <w:t xml:space="preserve"> (Проучване относно прилагането на Директива 2001/29/ЕО относно авторското право и сродните му права в информационното общество), декември 2013 г., De </w:t>
      </w:r>
      <w:proofErr w:type="spellStart"/>
      <w:r>
        <w:t>Wolf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, на разположение на: </w:t>
      </w:r>
      <w:hyperlink r:id="rId2">
        <w:r>
          <w:rPr>
            <w:rStyle w:val="Hyperlink"/>
          </w:rPr>
          <w:t>http://ec.europa.eu/internal_market/copyright/docs/studies/131216_study_en.pdf</w:t>
        </w:r>
      </w:hyperlink>
      <w:r>
        <w:t xml:space="preserve"> , стр. 417 и сл.</w:t>
      </w:r>
    </w:p>
  </w:footnote>
  <w:footnote w:id="9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 xml:space="preserve">Работен документ на службите на Комисията SWD (2015) 111 </w:t>
      </w:r>
      <w:proofErr w:type="spellStart"/>
      <w:r>
        <w:t>final</w:t>
      </w:r>
      <w:proofErr w:type="spellEnd"/>
      <w:r>
        <w:t>.</w:t>
      </w:r>
    </w:p>
  </w:footnote>
  <w:footnote w:id="10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>Съгласно член 52, параграф 1 от Хартата се допускат ог</w:t>
      </w:r>
      <w:r>
        <w:t>раничения, засягащи упражняването на свободите по Хартата: тези ограничения трябва: i) да бъдат предвидени в закон; и ii) да зачитат основното съдържание на същите права и свободи. Освен това ограниченията са: iii) „при спазване на принципа на пропорционал</w:t>
      </w:r>
      <w:r>
        <w:t xml:space="preserve">ност“ и „могат да бъдат налагани, само ако са необходими и ако действително отговарят на признати от Съюза цели от общ интерес или на необходимостта да се защитят правата и свободите на други хора“. </w:t>
      </w:r>
    </w:p>
  </w:footnote>
  <w:footnote w:id="11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>ОВ C 83, 30.3.2010 г., стр. 389–403.</w:t>
      </w:r>
    </w:p>
  </w:footnote>
  <w:footnote w:id="12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>Решение 2014/22</w:t>
      </w:r>
      <w:r>
        <w:t>1/ЕС на Съвета от 14 април 2014 г. за подписване от името на Европейския съюз на Маракешкия договор за улесняване на достъпа до публикувани произведения за слепи хора, лица с нарушено зрение или с други увреждания, които не позволяват четенето на печатни м</w:t>
      </w:r>
      <w:r>
        <w:t>атериали (ОВ L 115, 17.4.2014 г., стр. 1).</w:t>
      </w:r>
    </w:p>
  </w:footnote>
  <w:footnote w:id="13">
    <w:p w:rsidR="00C01504" w:rsidRDefault="00D55ECA">
      <w:pPr>
        <w:pStyle w:val="FootnoteText"/>
      </w:pPr>
      <w:r>
        <w:rPr>
          <w:rStyle w:val="FootnoteReference"/>
        </w:rPr>
        <w:footnoteRef/>
      </w:r>
      <w:r>
        <w:tab/>
      </w:r>
      <w:r>
        <w:t>Директива 95/46/ЕО на Европейския парламент и на Съвета от 24 октомври 1995 г. за защита на физическите лица при обработването на лични данни и за свободното движение на тези данни (ОВ L 281, 23.11.1995 г., стр.</w:t>
      </w:r>
      <w:r>
        <w:t> 31).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CA" w:rsidRPr="00D55ECA" w:rsidRDefault="00D55ECA" w:rsidP="00D55E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CA" w:rsidRPr="00D55ECA" w:rsidRDefault="00D55ECA" w:rsidP="00D55E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ECA" w:rsidRPr="00D55ECA" w:rsidRDefault="00D55ECA" w:rsidP="00D55E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A56823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42C72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252A40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BC5815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F62A32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A590F8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B5811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FD81B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6-10-03 09:49:3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NFIDENCE" w:val=" "/>
    <w:docVar w:name="LW_CONST_RESTREINT_UE" w:val="RESTREINT UE/EU RESTRICTED"/>
    <w:docVar w:name="LW_CORRIGENDUM" w:val="&lt;UNUSED&gt;"/>
    <w:docVar w:name="LW_COVERPAGE_GUID" w:val="5E67E1AF36CB475FA6B8B1E25AB48BCA"/>
    <w:docVar w:name="LW_CROSSREFERENCE" w:val="&lt;UNUSED&gt;"/>
    <w:docVar w:name="LW_DocType" w:val="COM"/>
    <w:docVar w:name="LW_EMISSION" w:val="14.9.2016"/>
    <w:docVar w:name="LW_EMISSION_ISODATE" w:val="2016-09-14"/>
    <w:docVar w:name="LW_EMISSION_LOCATION" w:val="BRX"/>
    <w:docVar w:name="LW_EMISSION_PREFIX" w:val="\u1041?\u1088?\u1102?\u1082?\u1089?\u1077?\u1083?, "/>
    <w:docVar w:name="LW_EMISSION_SUFFIX" w:val=" \u1075?.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TERETEEE.CP" w:val="&lt;UNUSED&gt;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279"/>
    <w:docVar w:name="LW_REF.II.NEW.CP_YEAR" w:val="2016"/>
    <w:docVar w:name="LW_REF.INST.NEW" w:val="COM"/>
    <w:docVar w:name="LW_REF.INST.NEW_ADOPTED" w:val="final"/>
    <w:docVar w:name="LW_REF.INST.NEW_TEXT" w:val="(2016) 595"/>
    <w:docVar w:name="LW_REF.INTERNE" w:val="&lt;UNUSED&gt;"/>
    <w:docVar w:name="LW_SOUS.TITRE.OBJ.CP" w:val="&lt;UNUSED&gt;"/>
    <w:docVar w:name="LW_STATUT.CP" w:val="\u1055?\u1088?\u1077?\u1076?\u1083?\u1086?\u1078?\u1077?\u1085?\u1080?\u1077? \u1079?\u1072?"/>
    <w:docVar w:name="LW_SUPERTITRE" w:val="&lt;UNUSED&gt;"/>
    <w:docVar w:name="LW_TITRE.OBJ.CP" w:val="\u1086?\u1090?\u1085?\u1086?\u1089?\u1085?\u1086? \u1090?\u1088?\u1072?\u1085?\u1089?\u1075?\u1088?\u1072?\u1085?\u1080?\u1095?\u1085?\u1080?\u1103? \u1086?\u1073?\u1084?\u1077?\u1085? \u1084?\u1077?\u1078?\u1076?\u1091? \u1057?\u1098?\u1102?\u1079?\u1072? \u1080? \u1090?\u1088?\u1077?\u1090?\u1080? \u1076?\u1098?\u1088?\u1078?\u1072?\u1074?\u1080? \u1085?\u1072? \u1082?\u1086?\u1087?\u1080?\u1103? \u1074? \u1076?\u1086?\u1089?\u1090?\u1098?\u1087?\u1085?\u1080? \u1092?\u1086?\u1088?\u1084?\u1072?\u1090?\u1080? \u1086?\u1090? \u1086?\u1087?\u1088?\u1077?\u1076?\u1077?\u1083?\u1077?\u1085?\u1080? \u1087?\u1088?\u1086?\u1080?\u1079?\u1074?\u1077?\u1076?\u1077?\u1085?\u1080?\u1103? \u1080? \u1076?\u1088?\u1091?\u1075?\u1080? \u1079?\u1072?\u1082?\u1088?\u1080?\u1083?\u1103?\u1085?\u1080? \u1086?\u1073?\u1077?\u1082?\u1090?\u1080?, \u1079?\u1072?\u1097?\u1080?\u1090?\u1077?\u1085?\u1080? \u1089? \u1072?\u1074?\u1090?\u1086?\u1088?\u1089?\u1082?\u1086? \u1087?\u1088?\u1072?\u1074?\u1086? \u1080? \u1089?\u1088?\u1086?\u1076?\u1085?\u1080?\u1090?\u1077? \u1084?\u1091? \u1087?\u1088?\u1072?\u1074?\u1072?, \u1074? \u1087?\u1086?\u1083?\u1079?\u1072? \u1085?\u1072? \u1089?\u1083?\u1077?\u1087?\u1080? \u1093?\u1086?\u1088?\u1072?, \u1083?\u1080?\u1094?\u1072? \u1089? \u1085?\u1072?\u1088?\u1091?\u1096?\u1077?\u1085?\u1086? \u1079?\u1088?\u1077?\u1085?\u1080?\u1077? \u1080?\u1083?\u1080? \u1089? \u1076?\u1088?\u1091?\u1075?\u1080? \u1091?\u1074?\u1088?\u1077?\u1078?\u1076?\u1072?\u1085?\u1080?\u1103?, \u1082?\u1086?\u1080?\u1090?\u1086? \u1085?\u1077? \u1087?\u1086?\u1079?\u1074?\u1086?\u1083?\u1103?\u1074?\u1072?\u1090? \u1095?\u1077?\u1090?\u1077?\u1085?\u1077?\u1090?\u1086? \u1085?\u1072? \u1087?\u1077?\u1095?\u1072?\u1090?\u1085?\u1080? \u1084?\u1072?\u1090?\u1077?\u1088?\u1080?\u1072?\u1083?\u1080? "/>
    <w:docVar w:name="LW_TYPE.DOC.CP" w:val="\u1056?\u1045?\u1043?\u1051?\u1040?\u1052?\u1045?\u1053?\u1058? \u1053?\u1040? \u1045?\u1042?\u1056?\u1054?\u1055?\u1045?\u1049?\u1057?\u1050?\u1048?\u1071? \u1055?\u1040?\u1056?\u1051?\u1040?\u1052?\u1045?\u1053?\u1058? \u1048? \u1053?\u1040? \u1057?\u1066?\u1042?\u1045?\u1058?\u1040?"/>
  </w:docVars>
  <w:rsids>
    <w:rsidRoot w:val="00C01504"/>
    <w:rsid w:val="00C01504"/>
    <w:rsid w:val="00D5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D55ECA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D55ECA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D55ECA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D55ECA"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D55ECA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D55ECA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'1.0' encoding='UTF-8' standalone='yes'?>
<Relationships xmlns="http://schemas.openxmlformats.org/package/2006/relationships"><Relationship Id="rId2" Type="http://schemas.openxmlformats.org/officeDocument/2006/relationships/hyperlink" Target="http://ec.europa.eu/internal_market/copyright/docs/studies/131216_study_en.pdf" TargetMode="External"/><Relationship Id="rId1" Type="http://schemas.openxmlformats.org/officeDocument/2006/relationships/hyperlink" Target="http://ec.europa.eu/internal_market/consultations/2013/copyright-rules/index_en.htm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wadhwna\AppData\Roaming\Microsoft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12</Pages>
  <Words>3686</Words>
  <Characters>21272</Characters>
  <Application>Microsoft Office Word</Application>
  <DocSecurity>0</DocSecurity>
  <Lines>393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19</cp:revision>
  <cp:lastPrinted>2016-09-08T11:52:00Z</cp:lastPrinted>
  <dcterms:created xsi:type="dcterms:W3CDTF">2016-09-30T08:26:00Z</dcterms:created>
  <dcterms:modified xsi:type="dcterms:W3CDTF">2016-10-03T07:56:00Z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SJ-023</vt:lpwstr>
  </property>
  <property fmtid="{D5CDD505-2E9C-101B-9397-08002B2CF9AE}" pid="10" name="DQCStatus">
    <vt:lpwstr>Yellow (DQC version 03)</vt:lpwstr>
  </property>
  <property name="OP_sanitized" fmtid="{D5CDD505-2E9C-101B-9397-08002B2CF9AE}" pid="11">
    <vt:lpwstr>True</vt:lpwstr>
  </property>
</Properties>
</file>